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AD27AC" w14:textId="26B80A34" w:rsidR="00301880" w:rsidRDefault="008139D1" w:rsidP="00301880">
      <w:pPr>
        <w:pStyle w:val="BodyText"/>
      </w:pPr>
      <w:r>
        <w:rPr>
          <w:noProof/>
        </w:rPr>
        <w:drawing>
          <wp:anchor distT="0" distB="0" distL="114300" distR="114300" simplePos="0" relativeHeight="251659264" behindDoc="0" locked="0" layoutInCell="1" allowOverlap="1" wp14:anchorId="7D98E240" wp14:editId="6947464F">
            <wp:simplePos x="0" y="0"/>
            <wp:positionH relativeFrom="page">
              <wp:align>right</wp:align>
            </wp:positionH>
            <wp:positionV relativeFrom="paragraph">
              <wp:posOffset>-721995</wp:posOffset>
            </wp:positionV>
            <wp:extent cx="7561553" cy="10695940"/>
            <wp:effectExtent l="0" t="0" r="190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stretch>
                      <a:fillRect/>
                    </a:stretch>
                  </pic:blipFill>
                  <pic:spPr>
                    <a:xfrm>
                      <a:off x="0" y="0"/>
                      <a:ext cx="7561553" cy="10695940"/>
                    </a:xfrm>
                    <a:prstGeom prst="rect">
                      <a:avLst/>
                    </a:prstGeom>
                  </pic:spPr>
                </pic:pic>
              </a:graphicData>
            </a:graphic>
            <wp14:sizeRelH relativeFrom="margin">
              <wp14:pctWidth>0</wp14:pctWidth>
            </wp14:sizeRelH>
            <wp14:sizeRelV relativeFrom="margin">
              <wp14:pctHeight>0</wp14:pctHeight>
            </wp14:sizeRelV>
          </wp:anchor>
        </w:drawing>
      </w:r>
      <w:r>
        <w:rPr>
          <w:noProof/>
        </w:rPr>
        <w:t>Autralia PNG Golvernemnt Transport Partnership</w:t>
      </w:r>
    </w:p>
    <w:p w14:paraId="734547D3" w14:textId="55F6B46E" w:rsidR="000E14B0" w:rsidRDefault="008139D1" w:rsidP="00301880">
      <w:pPr>
        <w:pStyle w:val="BodyText"/>
      </w:pPr>
      <w:r>
        <w:t>Review Report</w:t>
      </w:r>
    </w:p>
    <w:p w14:paraId="7474BC7F" w14:textId="3162648C" w:rsidR="008139D1" w:rsidRDefault="008139D1" w:rsidP="00301880">
      <w:pPr>
        <w:pStyle w:val="BodyText"/>
      </w:pPr>
      <w:r>
        <w:t>March 2022</w:t>
      </w:r>
    </w:p>
    <w:p w14:paraId="3538CB5D" w14:textId="07E53C66" w:rsidR="008139D1" w:rsidRDefault="008139D1" w:rsidP="00301880">
      <w:pPr>
        <w:pStyle w:val="BodyText"/>
      </w:pPr>
    </w:p>
    <w:p w14:paraId="7AACBD91" w14:textId="43E14C4C" w:rsidR="008139D1" w:rsidRDefault="008139D1" w:rsidP="00301880">
      <w:pPr>
        <w:pStyle w:val="BodyText"/>
        <w:sectPr w:rsidR="008139D1" w:rsidSect="00395767">
          <w:footerReference w:type="default" r:id="rId9"/>
          <w:footerReference w:type="first" r:id="rId10"/>
          <w:pgSz w:w="11906" w:h="16838"/>
          <w:pgMar w:top="1134" w:right="1134" w:bottom="1134" w:left="1134" w:header="1304" w:footer="567" w:gutter="0"/>
          <w:pgNumType w:fmt="lowerRoman" w:start="1"/>
          <w:cols w:num="2" w:space="708"/>
          <w:titlePg/>
          <w:docGrid w:linePitch="360"/>
        </w:sectPr>
      </w:pPr>
    </w:p>
    <w:p w14:paraId="485B101B" w14:textId="0BEA6580" w:rsidR="00301880" w:rsidRDefault="00301880" w:rsidP="00301880">
      <w:pPr>
        <w:pStyle w:val="BodyText"/>
      </w:pPr>
    </w:p>
    <w:p w14:paraId="0EC738E4" w14:textId="77777777" w:rsidR="00301880" w:rsidRDefault="00301880" w:rsidP="00301880">
      <w:pPr>
        <w:pStyle w:val="BodyText"/>
      </w:pPr>
    </w:p>
    <w:p w14:paraId="699EFFEF" w14:textId="77777777" w:rsidR="008B095E" w:rsidRDefault="008B095E" w:rsidP="00301880">
      <w:pPr>
        <w:pStyle w:val="BodyText"/>
      </w:pPr>
    </w:p>
    <w:p w14:paraId="2CF82E6A" w14:textId="0BDE48E4" w:rsidR="008B095E" w:rsidRDefault="008B095E" w:rsidP="00301880">
      <w:pPr>
        <w:pStyle w:val="BodyText"/>
        <w:sectPr w:rsidR="008B095E" w:rsidSect="008B095E">
          <w:footerReference w:type="first" r:id="rId11"/>
          <w:pgSz w:w="11906" w:h="16838"/>
          <w:pgMar w:top="1134" w:right="1134" w:bottom="1134" w:left="1134" w:header="567" w:footer="567" w:gutter="0"/>
          <w:pgNumType w:start="1"/>
          <w:cols w:num="2" w:space="708"/>
          <w:titlePg/>
          <w:docGrid w:linePitch="360"/>
        </w:sectPr>
      </w:pPr>
    </w:p>
    <w:p w14:paraId="0D3CDF80" w14:textId="608E89F7" w:rsidR="00301880" w:rsidRPr="00301880" w:rsidRDefault="00301880" w:rsidP="00301880">
      <w:pPr>
        <w:pStyle w:val="Heading1"/>
      </w:pPr>
      <w:bookmarkStart w:id="0" w:name="_Toc96441089"/>
      <w:bookmarkStart w:id="1" w:name="_Toc98526253"/>
      <w:r w:rsidRPr="00301880">
        <w:t>Executive Summary</w:t>
      </w:r>
      <w:bookmarkEnd w:id="0"/>
      <w:bookmarkEnd w:id="1"/>
    </w:p>
    <w:p w14:paraId="3A09DDD5" w14:textId="092D792E" w:rsidR="00301880" w:rsidRPr="00301880" w:rsidRDefault="00301880" w:rsidP="00301880">
      <w:pPr>
        <w:pStyle w:val="Heading2"/>
      </w:pPr>
      <w:bookmarkStart w:id="2" w:name="_Toc96441090"/>
      <w:bookmarkStart w:id="3" w:name="_Toc98526254"/>
      <w:r w:rsidRPr="00301880">
        <w:t>Introduction</w:t>
      </w:r>
      <w:bookmarkEnd w:id="2"/>
      <w:bookmarkEnd w:id="3"/>
    </w:p>
    <w:p w14:paraId="278FF9EA" w14:textId="440DA8B9" w:rsidR="00301880" w:rsidRPr="00951392" w:rsidRDefault="00301880" w:rsidP="00301880">
      <w:pPr>
        <w:pStyle w:val="BodyText"/>
        <w:rPr>
          <w:lang w:val="en-US"/>
        </w:rPr>
      </w:pPr>
      <w:r w:rsidRPr="00620DF0">
        <w:rPr>
          <w:lang w:val="en-US"/>
        </w:rPr>
        <w:t xml:space="preserve">The Department of Foreign Affairs and Trade (DFAT) contracted Tetra Tech International Development (Tetra Tech) to undertake an independent review of the Australia-PNG Government Transport Partnership (the Partnership). The </w:t>
      </w:r>
      <w:r>
        <w:rPr>
          <w:lang w:val="en-US"/>
        </w:rPr>
        <w:t>R</w:t>
      </w:r>
      <w:r w:rsidRPr="00620DF0">
        <w:rPr>
          <w:lang w:val="en-US"/>
        </w:rPr>
        <w:t xml:space="preserve">eview was conducted from October 2021 to </w:t>
      </w:r>
      <w:r w:rsidR="001A1DCF">
        <w:rPr>
          <w:lang w:val="en-US"/>
        </w:rPr>
        <w:t>February</w:t>
      </w:r>
      <w:r w:rsidR="001A1DCF" w:rsidRPr="00620DF0">
        <w:rPr>
          <w:lang w:val="en-US"/>
        </w:rPr>
        <w:t xml:space="preserve"> </w:t>
      </w:r>
      <w:r w:rsidRPr="00620DF0">
        <w:rPr>
          <w:lang w:val="en-US"/>
        </w:rPr>
        <w:t xml:space="preserve">2022. This </w:t>
      </w:r>
      <w:r>
        <w:rPr>
          <w:lang w:val="en-US"/>
        </w:rPr>
        <w:t>R</w:t>
      </w:r>
      <w:r w:rsidRPr="00620DF0">
        <w:rPr>
          <w:lang w:val="en-US"/>
        </w:rPr>
        <w:t xml:space="preserve">eport presents the </w:t>
      </w:r>
      <w:r>
        <w:rPr>
          <w:lang w:val="en-US"/>
        </w:rPr>
        <w:t>R</w:t>
      </w:r>
      <w:r w:rsidRPr="00620DF0">
        <w:rPr>
          <w:lang w:val="en-US"/>
        </w:rPr>
        <w:t>eview findings and recommendations for future directions of the Partnership.</w:t>
      </w:r>
    </w:p>
    <w:p w14:paraId="59734F10" w14:textId="77777777" w:rsidR="00301880" w:rsidRDefault="00301880" w:rsidP="00301880">
      <w:pPr>
        <w:pStyle w:val="Heading2"/>
      </w:pPr>
      <w:bookmarkStart w:id="4" w:name="_Toc93912268"/>
      <w:bookmarkStart w:id="5" w:name="_Toc96441091"/>
      <w:bookmarkStart w:id="6" w:name="_Toc98526255"/>
      <w:r>
        <w:t>Background</w:t>
      </w:r>
      <w:bookmarkEnd w:id="4"/>
      <w:r>
        <w:t xml:space="preserve"> </w:t>
      </w:r>
      <w:r w:rsidRPr="78819681">
        <w:t>and context</w:t>
      </w:r>
      <w:bookmarkEnd w:id="5"/>
      <w:bookmarkEnd w:id="6"/>
      <w:r w:rsidRPr="78819681">
        <w:t xml:space="preserve"> </w:t>
      </w:r>
    </w:p>
    <w:p w14:paraId="1B0C6819" w14:textId="589BC943" w:rsidR="005174B8" w:rsidRDefault="00301880" w:rsidP="00301880">
      <w:pPr>
        <w:pStyle w:val="BodyText"/>
        <w:rPr>
          <w:lang w:val="en-US"/>
        </w:rPr>
      </w:pPr>
      <w:r w:rsidRPr="001D1FB2">
        <w:rPr>
          <w:lang w:val="en-US"/>
        </w:rPr>
        <w:t xml:space="preserve">The Australian Government has a long history of providing support and fostering partnerships in the transport sector. DFAT provides support to the transport sector in Papua New Guinea (PNG) through the </w:t>
      </w:r>
      <w:r w:rsidR="008426BD">
        <w:rPr>
          <w:lang w:val="en-US"/>
        </w:rPr>
        <w:t xml:space="preserve">following </w:t>
      </w:r>
      <w:r w:rsidR="005174B8">
        <w:rPr>
          <w:lang w:val="en-US"/>
        </w:rPr>
        <w:t xml:space="preserve">transport partnerships: </w:t>
      </w:r>
    </w:p>
    <w:p w14:paraId="1AA3DC62" w14:textId="2C506FCB" w:rsidR="00710438" w:rsidRPr="007957CC" w:rsidRDefault="00301880" w:rsidP="001A1DCF">
      <w:pPr>
        <w:pStyle w:val="BodyBullet"/>
        <w:rPr>
          <w:lang w:val="en-US"/>
        </w:rPr>
      </w:pPr>
      <w:r w:rsidRPr="007957CC">
        <w:rPr>
          <w:lang w:val="en-US"/>
        </w:rPr>
        <w:t>Memorandum of Understanding (MoU)</w:t>
      </w:r>
    </w:p>
    <w:p w14:paraId="0A35F6B3" w14:textId="5C4CE2E5" w:rsidR="00710438" w:rsidRDefault="00710438" w:rsidP="00301880">
      <w:pPr>
        <w:pStyle w:val="BodyText"/>
        <w:rPr>
          <w:lang w:val="en-US"/>
        </w:rPr>
      </w:pPr>
      <w:r w:rsidRPr="00710438">
        <w:rPr>
          <w:lang w:val="en-US"/>
        </w:rPr>
        <w:t>The MoU is determined and signed off between the Secretary for the Department of Transport (DoT) in PNG and the Secretary for the Department of Infrastructure, Transport, Regional Development and Communications (</w:t>
      </w:r>
      <w:r w:rsidRPr="00710438">
        <w:t>DITRDC</w:t>
      </w:r>
      <w:r w:rsidRPr="00710438">
        <w:rPr>
          <w:lang w:val="en-US"/>
        </w:rPr>
        <w:t>) in Australia.</w:t>
      </w:r>
      <w:r w:rsidR="00EF01C4" w:rsidRPr="00EF01C4">
        <w:t xml:space="preserve"> </w:t>
      </w:r>
      <w:r w:rsidR="00EF01C4" w:rsidRPr="00EF01C4">
        <w:rPr>
          <w:lang w:val="en-US"/>
        </w:rPr>
        <w:t>The MoU aims to encourage cooperation between the different parties involved in the safety and security of transport networks including air, maritime and roads. It also aims to develop and maintain relations between transport agencies, relevant industry parties and other organisations concerned with the safety and security of the transport network.</w:t>
      </w:r>
      <w:r w:rsidR="004D04CD">
        <w:rPr>
          <w:lang w:val="en-US"/>
        </w:rPr>
        <w:t xml:space="preserve"> </w:t>
      </w:r>
      <w:r w:rsidR="004D04CD" w:rsidRPr="00903EA7">
        <w:rPr>
          <w:lang w:val="en-US"/>
        </w:rPr>
        <w:t>The MoU was re</w:t>
      </w:r>
      <w:r w:rsidR="00903EA7" w:rsidRPr="001A1DCF">
        <w:rPr>
          <w:lang w:val="en-US"/>
        </w:rPr>
        <w:t xml:space="preserve">vised and signed </w:t>
      </w:r>
      <w:r w:rsidR="004D04CD" w:rsidRPr="00903EA7">
        <w:rPr>
          <w:lang w:val="en-US"/>
        </w:rPr>
        <w:t>in late 2021.</w:t>
      </w:r>
    </w:p>
    <w:p w14:paraId="23CF132E" w14:textId="3D623A61" w:rsidR="00974FA8" w:rsidRPr="007957CC" w:rsidRDefault="00301880" w:rsidP="001A1DCF">
      <w:pPr>
        <w:pStyle w:val="BodyBullet"/>
        <w:rPr>
          <w:lang w:val="en-US"/>
        </w:rPr>
      </w:pPr>
      <w:r w:rsidRPr="007957CC">
        <w:rPr>
          <w:lang w:val="en-US"/>
        </w:rPr>
        <w:t>Institutional Partnerships Program (IPP)</w:t>
      </w:r>
    </w:p>
    <w:p w14:paraId="0663AB43" w14:textId="0F067798" w:rsidR="00974FA8" w:rsidRDefault="00974FA8" w:rsidP="00301880">
      <w:pPr>
        <w:pStyle w:val="BodyText"/>
        <w:rPr>
          <w:lang w:val="en-US"/>
        </w:rPr>
      </w:pPr>
      <w:r w:rsidRPr="00974FA8">
        <w:rPr>
          <w:lang w:val="en-US"/>
        </w:rPr>
        <w:t>Established in 2017, the IPP</w:t>
      </w:r>
      <w:r w:rsidR="002C1122">
        <w:rPr>
          <w:lang w:val="en-US"/>
        </w:rPr>
        <w:t xml:space="preserve"> fund</w:t>
      </w:r>
      <w:r w:rsidR="009F397C">
        <w:rPr>
          <w:lang w:val="en-US"/>
        </w:rPr>
        <w:t>ed</w:t>
      </w:r>
      <w:r w:rsidR="002C1122">
        <w:rPr>
          <w:lang w:val="en-US"/>
        </w:rPr>
        <w:t xml:space="preserve"> an Infrastructure Adviser </w:t>
      </w:r>
      <w:r w:rsidR="00353DFA">
        <w:rPr>
          <w:lang w:val="en-US"/>
        </w:rPr>
        <w:t xml:space="preserve">from DITRDC </w:t>
      </w:r>
      <w:r w:rsidR="00D71B08">
        <w:rPr>
          <w:lang w:val="en-US"/>
        </w:rPr>
        <w:t>deployed to PN</w:t>
      </w:r>
      <w:r w:rsidR="004A1FF5">
        <w:rPr>
          <w:lang w:val="en-US"/>
        </w:rPr>
        <w:t>G’s DoT</w:t>
      </w:r>
      <w:r w:rsidR="004A1FF5" w:rsidRPr="004A1FF5">
        <w:t xml:space="preserve"> </w:t>
      </w:r>
      <w:r w:rsidR="000F2F2B">
        <w:t xml:space="preserve">as </w:t>
      </w:r>
      <w:r w:rsidR="00FE25E7">
        <w:t>a</w:t>
      </w:r>
      <w:r w:rsidR="004A1FF5" w:rsidRPr="004A1FF5">
        <w:rPr>
          <w:lang w:val="en-US"/>
        </w:rPr>
        <w:t xml:space="preserve"> Senior Policy Advis</w:t>
      </w:r>
      <w:r w:rsidR="0000041D">
        <w:rPr>
          <w:lang w:val="en-US"/>
        </w:rPr>
        <w:t>o</w:t>
      </w:r>
      <w:r w:rsidR="004A1FF5" w:rsidRPr="004A1FF5">
        <w:rPr>
          <w:lang w:val="en-US"/>
        </w:rPr>
        <w:t>r</w:t>
      </w:r>
      <w:r w:rsidR="00797498">
        <w:rPr>
          <w:lang w:val="en-US"/>
        </w:rPr>
        <w:t xml:space="preserve">. </w:t>
      </w:r>
      <w:r w:rsidR="00741BEB">
        <w:rPr>
          <w:lang w:val="en-US"/>
        </w:rPr>
        <w:t xml:space="preserve">Through this deployment, </w:t>
      </w:r>
      <w:r w:rsidR="00741BEB" w:rsidRPr="00741BEB">
        <w:rPr>
          <w:lang w:val="en-US"/>
        </w:rPr>
        <w:t>The IPP provide</w:t>
      </w:r>
      <w:r w:rsidR="00CD15A0">
        <w:rPr>
          <w:lang w:val="en-US"/>
        </w:rPr>
        <w:t xml:space="preserve">d </w:t>
      </w:r>
      <w:r w:rsidR="00741BEB" w:rsidRPr="00741BEB">
        <w:rPr>
          <w:lang w:val="en-US"/>
        </w:rPr>
        <w:t xml:space="preserve">an avenue for technical support </w:t>
      </w:r>
      <w:r w:rsidR="004C2D07">
        <w:rPr>
          <w:lang w:val="en-US"/>
        </w:rPr>
        <w:t xml:space="preserve">and </w:t>
      </w:r>
      <w:r w:rsidR="00925E0C">
        <w:rPr>
          <w:lang w:val="en-US"/>
        </w:rPr>
        <w:t>cooperation</w:t>
      </w:r>
      <w:r w:rsidR="00741BEB" w:rsidRPr="00741BEB">
        <w:rPr>
          <w:lang w:val="en-US"/>
        </w:rPr>
        <w:t xml:space="preserve"> between counterpart</w:t>
      </w:r>
      <w:r w:rsidR="004C2D07">
        <w:rPr>
          <w:lang w:val="en-US"/>
        </w:rPr>
        <w:t xml:space="preserve"> transport</w:t>
      </w:r>
      <w:r w:rsidR="00741BEB" w:rsidRPr="00741BEB">
        <w:rPr>
          <w:lang w:val="en-US"/>
        </w:rPr>
        <w:t xml:space="preserve"> agencies</w:t>
      </w:r>
      <w:r w:rsidR="00CD15A0">
        <w:rPr>
          <w:lang w:val="en-US"/>
        </w:rPr>
        <w:t xml:space="preserve"> in Australia and PNG. </w:t>
      </w:r>
      <w:r w:rsidR="00797498" w:rsidRPr="00797498">
        <w:rPr>
          <w:lang w:val="en-US"/>
        </w:rPr>
        <w:t xml:space="preserve">The 2020 </w:t>
      </w:r>
      <w:r w:rsidR="001A1DCF">
        <w:rPr>
          <w:lang w:val="en-US"/>
        </w:rPr>
        <w:t>R</w:t>
      </w:r>
      <w:r w:rsidR="00797498" w:rsidRPr="00797498">
        <w:rPr>
          <w:lang w:val="en-US"/>
        </w:rPr>
        <w:t xml:space="preserve">eview of the IPP </w:t>
      </w:r>
      <w:r w:rsidR="009E4CE6" w:rsidRPr="00797498">
        <w:rPr>
          <w:lang w:val="en-US"/>
        </w:rPr>
        <w:t>recommended the</w:t>
      </w:r>
      <w:r w:rsidR="00797498" w:rsidRPr="00797498">
        <w:rPr>
          <w:lang w:val="en-US"/>
        </w:rPr>
        <w:t xml:space="preserve"> transfer of </w:t>
      </w:r>
      <w:r w:rsidR="001A1DCF">
        <w:rPr>
          <w:lang w:val="en-US"/>
        </w:rPr>
        <w:t xml:space="preserve">the </w:t>
      </w:r>
      <w:r w:rsidR="00C51874">
        <w:rPr>
          <w:lang w:val="en-US"/>
        </w:rPr>
        <w:t xml:space="preserve">Infrastructure </w:t>
      </w:r>
      <w:r w:rsidR="007440E7">
        <w:rPr>
          <w:lang w:val="en-US"/>
        </w:rPr>
        <w:t>Adviser</w:t>
      </w:r>
      <w:r w:rsidR="009A27F3">
        <w:rPr>
          <w:lang w:val="en-US"/>
        </w:rPr>
        <w:t xml:space="preserve"> from IPP to the bilateral sector </w:t>
      </w:r>
      <w:r w:rsidR="00766672">
        <w:rPr>
          <w:lang w:val="en-US"/>
        </w:rPr>
        <w:t>program</w:t>
      </w:r>
      <w:r w:rsidR="001A1DCF">
        <w:rPr>
          <w:lang w:val="en-US"/>
        </w:rPr>
        <w:t xml:space="preserve"> </w:t>
      </w:r>
      <w:r w:rsidR="00766672">
        <w:rPr>
          <w:lang w:val="en-US"/>
        </w:rPr>
        <w:t xml:space="preserve">- the </w:t>
      </w:r>
      <w:r w:rsidR="001A1DCF">
        <w:rPr>
          <w:lang w:val="en-US"/>
        </w:rPr>
        <w:t>T</w:t>
      </w:r>
      <w:r w:rsidR="00766672">
        <w:rPr>
          <w:lang w:val="en-US"/>
        </w:rPr>
        <w:t xml:space="preserve">ransport </w:t>
      </w:r>
      <w:r w:rsidR="001A1DCF">
        <w:rPr>
          <w:lang w:val="en-US"/>
        </w:rPr>
        <w:t>S</w:t>
      </w:r>
      <w:r w:rsidR="00766672">
        <w:rPr>
          <w:lang w:val="en-US"/>
        </w:rPr>
        <w:t xml:space="preserve">ector </w:t>
      </w:r>
      <w:r w:rsidR="001A1DCF">
        <w:rPr>
          <w:lang w:val="en-US"/>
        </w:rPr>
        <w:t>S</w:t>
      </w:r>
      <w:r w:rsidR="00766672">
        <w:rPr>
          <w:lang w:val="en-US"/>
        </w:rPr>
        <w:t xml:space="preserve">upport </w:t>
      </w:r>
      <w:r w:rsidR="001A1DCF">
        <w:rPr>
          <w:lang w:val="en-US"/>
        </w:rPr>
        <w:t>P</w:t>
      </w:r>
      <w:r w:rsidR="00766672">
        <w:rPr>
          <w:lang w:val="en-US"/>
        </w:rPr>
        <w:t xml:space="preserve">rogram (TSSP) </w:t>
      </w:r>
      <w:r w:rsidR="009E4CE6">
        <w:rPr>
          <w:lang w:val="en-US"/>
        </w:rPr>
        <w:t xml:space="preserve">by mid-2022. </w:t>
      </w:r>
    </w:p>
    <w:p w14:paraId="673F56EB" w14:textId="00FCF2C1" w:rsidR="006D06A7" w:rsidRPr="007957CC" w:rsidRDefault="006D06A7" w:rsidP="001A1DCF">
      <w:pPr>
        <w:pStyle w:val="BodyBullet"/>
        <w:rPr>
          <w:lang w:val="en-US"/>
        </w:rPr>
      </w:pPr>
      <w:r w:rsidRPr="007957CC">
        <w:rPr>
          <w:lang w:val="en-US"/>
        </w:rPr>
        <w:t>Transport Sector Support Program (TSSP)</w:t>
      </w:r>
    </w:p>
    <w:p w14:paraId="3C364F73" w14:textId="3461E3A0" w:rsidR="00863D73" w:rsidRDefault="00F836AF" w:rsidP="00875B96">
      <w:pPr>
        <w:pStyle w:val="BodyText"/>
        <w:spacing w:before="60" w:after="60"/>
        <w:rPr>
          <w:lang w:val="en-US"/>
        </w:rPr>
      </w:pPr>
      <w:r>
        <w:rPr>
          <w:lang w:val="en-US"/>
        </w:rPr>
        <w:t xml:space="preserve">TSSP is the bilateral transport sector program between Australia and PNG. </w:t>
      </w:r>
      <w:r w:rsidR="00EF4375">
        <w:rPr>
          <w:lang w:val="en-US"/>
        </w:rPr>
        <w:t>T</w:t>
      </w:r>
      <w:r w:rsidR="00976800" w:rsidRPr="009D275E">
        <w:rPr>
          <w:lang w:val="en-US"/>
        </w:rPr>
        <w:t>hrough TSSP</w:t>
      </w:r>
      <w:r w:rsidR="00EF4375">
        <w:rPr>
          <w:lang w:val="en-US"/>
        </w:rPr>
        <w:t>, t</w:t>
      </w:r>
      <w:r w:rsidR="00EF4375" w:rsidRPr="009D275E">
        <w:rPr>
          <w:lang w:val="en-US"/>
        </w:rPr>
        <w:t>he Australian Government</w:t>
      </w:r>
      <w:r w:rsidR="00976800" w:rsidRPr="009D275E">
        <w:rPr>
          <w:lang w:val="en-US"/>
        </w:rPr>
        <w:t xml:space="preserve"> is providing more than $600 million over nine years to support the </w:t>
      </w:r>
      <w:r w:rsidR="00EF4375">
        <w:rPr>
          <w:lang w:val="en-US"/>
        </w:rPr>
        <w:t>Government of PNG (</w:t>
      </w:r>
      <w:r w:rsidR="00976800" w:rsidRPr="009D275E">
        <w:rPr>
          <w:lang w:val="en-US"/>
        </w:rPr>
        <w:t>GoPNG</w:t>
      </w:r>
      <w:r w:rsidR="00EF4375">
        <w:rPr>
          <w:lang w:val="en-US"/>
        </w:rPr>
        <w:t>)</w:t>
      </w:r>
      <w:r w:rsidR="00976800" w:rsidRPr="009D275E">
        <w:rPr>
          <w:lang w:val="en-US"/>
        </w:rPr>
        <w:t xml:space="preserve"> to achieve a well-maintained transport infrastructure network. </w:t>
      </w:r>
      <w:r w:rsidRPr="00F836AF">
        <w:rPr>
          <w:lang w:val="en-US"/>
        </w:rPr>
        <w:t>TSSP2</w:t>
      </w:r>
      <w:r w:rsidR="001A1DCF">
        <w:rPr>
          <w:lang w:val="en-US"/>
        </w:rPr>
        <w:t xml:space="preserve">, </w:t>
      </w:r>
      <w:r w:rsidR="0088736A">
        <w:rPr>
          <w:lang w:val="en-US"/>
        </w:rPr>
        <w:t>the second phase of the program</w:t>
      </w:r>
      <w:r w:rsidR="000A4FBB">
        <w:rPr>
          <w:lang w:val="en-US"/>
        </w:rPr>
        <w:t xml:space="preserve">, </w:t>
      </w:r>
      <w:r w:rsidR="001A1DCF">
        <w:rPr>
          <w:lang w:val="en-US"/>
        </w:rPr>
        <w:t xml:space="preserve">is </w:t>
      </w:r>
      <w:r w:rsidR="000A4FBB">
        <w:rPr>
          <w:lang w:val="en-US"/>
        </w:rPr>
        <w:t xml:space="preserve">currently </w:t>
      </w:r>
      <w:r w:rsidR="001A1DCF">
        <w:rPr>
          <w:lang w:val="en-US"/>
        </w:rPr>
        <w:t xml:space="preserve">implemented </w:t>
      </w:r>
      <w:r w:rsidR="00863D73">
        <w:rPr>
          <w:lang w:val="en-US"/>
        </w:rPr>
        <w:t>by GHD</w:t>
      </w:r>
      <w:r w:rsidR="001A1DCF">
        <w:rPr>
          <w:lang w:val="en-US"/>
        </w:rPr>
        <w:t>. It</w:t>
      </w:r>
      <w:r w:rsidR="00863D73">
        <w:rPr>
          <w:lang w:val="en-US"/>
        </w:rPr>
        <w:t xml:space="preserve"> </w:t>
      </w:r>
      <w:r w:rsidR="0088736A">
        <w:rPr>
          <w:lang w:val="en-US"/>
        </w:rPr>
        <w:t>commenced in 2014</w:t>
      </w:r>
      <w:r w:rsidR="00593F5B" w:rsidRPr="00593F5B">
        <w:t xml:space="preserve"> </w:t>
      </w:r>
      <w:r w:rsidR="00593F5B" w:rsidRPr="00593F5B">
        <w:rPr>
          <w:lang w:val="en-US"/>
        </w:rPr>
        <w:t xml:space="preserve">and </w:t>
      </w:r>
      <w:r w:rsidR="008037B5">
        <w:rPr>
          <w:lang w:val="en-US"/>
        </w:rPr>
        <w:t>was completed</w:t>
      </w:r>
      <w:r w:rsidR="00593F5B" w:rsidRPr="00593F5B">
        <w:rPr>
          <w:lang w:val="en-US"/>
        </w:rPr>
        <w:t xml:space="preserve"> in April 2022.</w:t>
      </w:r>
      <w:r w:rsidR="008037B5">
        <w:rPr>
          <w:lang w:val="en-US"/>
        </w:rPr>
        <w:t xml:space="preserve"> Following an open tender process, TSSP2 was extended to October </w:t>
      </w:r>
      <w:r w:rsidR="00D900CD">
        <w:rPr>
          <w:lang w:val="en-US"/>
        </w:rPr>
        <w:t>2023 while TSSP Phase 3 is designed.</w:t>
      </w:r>
      <w:r w:rsidR="00593F5B" w:rsidRPr="00593F5B">
        <w:rPr>
          <w:lang w:val="en-US"/>
        </w:rPr>
        <w:t xml:space="preserve"> </w:t>
      </w:r>
      <w:r w:rsidR="00EF4375">
        <w:rPr>
          <w:lang w:val="en-US"/>
        </w:rPr>
        <w:t xml:space="preserve">A separate review of TSSP2 was conducted simultaneously by Tetra Tech to inform the next phase of the program, TSSP3. </w:t>
      </w:r>
    </w:p>
    <w:p w14:paraId="53D755D5" w14:textId="45EE04AE" w:rsidR="00071945" w:rsidRPr="007957CC" w:rsidRDefault="00301880" w:rsidP="00875B96">
      <w:pPr>
        <w:pStyle w:val="BodyBullet"/>
        <w:spacing w:before="60" w:after="60"/>
        <w:rPr>
          <w:lang w:val="en-US"/>
        </w:rPr>
      </w:pPr>
      <w:r w:rsidRPr="007957CC">
        <w:rPr>
          <w:lang w:val="en-US"/>
        </w:rPr>
        <w:t>Agency Support Arrangements (ASAs</w:t>
      </w:r>
      <w:r w:rsidR="00071945" w:rsidRPr="007957CC">
        <w:rPr>
          <w:lang w:val="en-US"/>
        </w:rPr>
        <w:t>)</w:t>
      </w:r>
    </w:p>
    <w:p w14:paraId="5A2F82B2" w14:textId="2A665382" w:rsidR="00E02BB6" w:rsidRDefault="00321113" w:rsidP="00875B96">
      <w:pPr>
        <w:pStyle w:val="BodyText"/>
        <w:spacing w:before="60" w:after="60"/>
        <w:rPr>
          <w:lang w:val="en-US"/>
        </w:rPr>
      </w:pPr>
      <w:r>
        <w:rPr>
          <w:lang w:val="en-US"/>
        </w:rPr>
        <w:t xml:space="preserve">The ASAs are signed </w:t>
      </w:r>
      <w:r w:rsidR="00917C95">
        <w:rPr>
          <w:lang w:val="en-US"/>
        </w:rPr>
        <w:t xml:space="preserve">between DFAT and GoPNG transport agencies. </w:t>
      </w:r>
      <w:r w:rsidR="00D63026" w:rsidRPr="00D63026">
        <w:rPr>
          <w:lang w:val="en-US"/>
        </w:rPr>
        <w:t>The MoU provides the ground for ASAs that are determined and agreed upon between heads of specific agencies operating within the transport sector in Australia and PNG. The ASAs identify specific activities or areas of support that will be provided mainly by the Australian agency to its counterpart agency in PNG.</w:t>
      </w:r>
      <w:r w:rsidR="00BD750A" w:rsidRPr="00BD750A">
        <w:t xml:space="preserve"> </w:t>
      </w:r>
      <w:r w:rsidR="00BD750A" w:rsidRPr="00BD750A">
        <w:rPr>
          <w:lang w:val="en-US"/>
        </w:rPr>
        <w:t>There are currently active ASAs</w:t>
      </w:r>
      <w:r w:rsidR="00BD750A">
        <w:rPr>
          <w:lang w:val="en-US"/>
        </w:rPr>
        <w:t xml:space="preserve"> between DFAT and five GoPNG transport agencies.</w:t>
      </w:r>
    </w:p>
    <w:p w14:paraId="37ACF679" w14:textId="0221EB59" w:rsidR="00301880" w:rsidRPr="00620DF0" w:rsidRDefault="00301880" w:rsidP="00875B96">
      <w:pPr>
        <w:pStyle w:val="BodyText"/>
        <w:spacing w:before="60" w:after="60"/>
        <w:rPr>
          <w:lang w:val="en-US"/>
        </w:rPr>
      </w:pPr>
      <w:r w:rsidRPr="001D1FB2">
        <w:rPr>
          <w:lang w:val="en-US"/>
        </w:rPr>
        <w:t>Since 2019, there have been further investments in the transport sector through the Australian Infrastructure Financing Facility for the Pacific (AIFFP)</w:t>
      </w:r>
      <w:r w:rsidR="00EF4375">
        <w:rPr>
          <w:lang w:val="en-US"/>
        </w:rPr>
        <w:t>. These investments are</w:t>
      </w:r>
      <w:r w:rsidRPr="001D1FB2">
        <w:rPr>
          <w:lang w:val="en-US"/>
        </w:rPr>
        <w:t xml:space="preserve"> </w:t>
      </w:r>
      <w:r w:rsidR="00EF4375">
        <w:rPr>
          <w:lang w:val="en-US"/>
        </w:rPr>
        <w:t>not</w:t>
      </w:r>
      <w:r w:rsidR="00EF4375" w:rsidRPr="001D1FB2">
        <w:rPr>
          <w:lang w:val="en-US"/>
        </w:rPr>
        <w:t xml:space="preserve"> </w:t>
      </w:r>
      <w:r w:rsidR="00D900CD">
        <w:rPr>
          <w:lang w:val="en-US"/>
        </w:rPr>
        <w:t xml:space="preserve">currently </w:t>
      </w:r>
      <w:r w:rsidRPr="001D1FB2">
        <w:rPr>
          <w:lang w:val="en-US"/>
        </w:rPr>
        <w:t xml:space="preserve">formalised as part of the </w:t>
      </w:r>
      <w:r>
        <w:rPr>
          <w:lang w:val="en-US"/>
        </w:rPr>
        <w:t xml:space="preserve">Transport </w:t>
      </w:r>
      <w:r w:rsidRPr="001D1FB2">
        <w:rPr>
          <w:lang w:val="en-US"/>
        </w:rPr>
        <w:t>Partnership</w:t>
      </w:r>
      <w:r w:rsidR="000C069A">
        <w:rPr>
          <w:lang w:val="en-US"/>
        </w:rPr>
        <w:t xml:space="preserve">, but the link between TSSP and the AIFFP will be further explored </w:t>
      </w:r>
      <w:r w:rsidR="006102E2">
        <w:rPr>
          <w:lang w:val="en-US"/>
        </w:rPr>
        <w:t>through the TSSP3 design</w:t>
      </w:r>
      <w:r w:rsidRPr="001D1FB2">
        <w:rPr>
          <w:lang w:val="en-US"/>
        </w:rPr>
        <w:t>.</w:t>
      </w:r>
      <w:r>
        <w:rPr>
          <w:lang w:val="en-US"/>
        </w:rPr>
        <w:t xml:space="preserve"> </w:t>
      </w:r>
    </w:p>
    <w:p w14:paraId="01785BC0" w14:textId="77777777" w:rsidR="00301880" w:rsidRDefault="00301880" w:rsidP="00875B96">
      <w:pPr>
        <w:pStyle w:val="Heading2"/>
        <w:spacing w:before="60" w:after="60"/>
      </w:pPr>
      <w:bookmarkStart w:id="7" w:name="_Toc93912269"/>
      <w:bookmarkStart w:id="8" w:name="_Toc96441092"/>
      <w:bookmarkStart w:id="9" w:name="_Toc98526256"/>
      <w:r>
        <w:t>Review purpose and scope</w:t>
      </w:r>
      <w:bookmarkEnd w:id="7"/>
      <w:bookmarkEnd w:id="8"/>
      <w:bookmarkEnd w:id="9"/>
      <w:r>
        <w:t xml:space="preserve"> </w:t>
      </w:r>
    </w:p>
    <w:p w14:paraId="0164756C" w14:textId="6713041B" w:rsidR="00301880" w:rsidRPr="001D0884" w:rsidRDefault="00301880" w:rsidP="00875B96">
      <w:pPr>
        <w:pStyle w:val="BodyText"/>
        <w:spacing w:before="60" w:after="60"/>
        <w:rPr>
          <w:lang w:val="en-US"/>
        </w:rPr>
      </w:pPr>
      <w:r w:rsidRPr="001D0884">
        <w:rPr>
          <w:lang w:val="en-US"/>
        </w:rPr>
        <w:t xml:space="preserve">The purpose of the Review was to gather evidence and lessons learned to further improve the Australian-PNG Transport Partnership and </w:t>
      </w:r>
      <w:r w:rsidR="00DC41E0">
        <w:rPr>
          <w:lang w:val="en-US"/>
        </w:rPr>
        <w:t xml:space="preserve">to </w:t>
      </w:r>
      <w:r w:rsidRPr="001D0884">
        <w:rPr>
          <w:lang w:val="en-US"/>
        </w:rPr>
        <w:t xml:space="preserve">support the provision of appropriate support to the transport sector in PNG.  </w:t>
      </w:r>
    </w:p>
    <w:p w14:paraId="05F96B35" w14:textId="77777777" w:rsidR="00301880" w:rsidRPr="001D0884" w:rsidRDefault="00301880" w:rsidP="00875B96">
      <w:pPr>
        <w:pStyle w:val="BodyText"/>
        <w:spacing w:before="60" w:after="60"/>
        <w:rPr>
          <w:lang w:val="en-US"/>
        </w:rPr>
      </w:pPr>
      <w:r w:rsidRPr="001D0884">
        <w:rPr>
          <w:lang w:val="en-US"/>
        </w:rPr>
        <w:t>This Review:</w:t>
      </w:r>
    </w:p>
    <w:p w14:paraId="4C928D5B" w14:textId="00D3CD3A" w:rsidR="00301880" w:rsidRPr="001D0884" w:rsidRDefault="00301880" w:rsidP="00875B96">
      <w:pPr>
        <w:pStyle w:val="BodyBullet"/>
        <w:spacing w:before="60" w:after="60"/>
        <w:rPr>
          <w:rFonts w:cs="Times New Roman"/>
          <w:lang w:val="en-US"/>
        </w:rPr>
      </w:pPr>
      <w:r w:rsidRPr="001D0884">
        <w:rPr>
          <w:rFonts w:cs="Times New Roman"/>
          <w:lang w:val="en-US"/>
        </w:rPr>
        <w:t>Focused on the four partnership arrangements (MoU, IPP, TSSP and the ASAs)</w:t>
      </w:r>
      <w:r w:rsidRPr="001D0884">
        <w:rPr>
          <w:lang w:val="en-US"/>
        </w:rPr>
        <w:t>. As such, the Review’s findings and recommendations d</w:t>
      </w:r>
      <w:r w:rsidR="00CC60CB">
        <w:rPr>
          <w:lang w:val="en-US"/>
        </w:rPr>
        <w:t>id</w:t>
      </w:r>
      <w:r w:rsidRPr="001D0884">
        <w:rPr>
          <w:lang w:val="en-US"/>
        </w:rPr>
        <w:t xml:space="preserve"> not consider the AIFFP’s engagement with GoPNG.</w:t>
      </w:r>
    </w:p>
    <w:p w14:paraId="2D45B6FF" w14:textId="2E61D4F8" w:rsidR="00301880" w:rsidRPr="001D0884" w:rsidRDefault="006102E2" w:rsidP="00875B96">
      <w:pPr>
        <w:pStyle w:val="BodyBullet"/>
        <w:spacing w:before="60" w:after="60"/>
        <w:rPr>
          <w:rFonts w:cs="Times New Roman"/>
          <w:lang w:val="en-US"/>
        </w:rPr>
      </w:pPr>
      <w:r>
        <w:rPr>
          <w:rFonts w:cs="Times New Roman"/>
          <w:lang w:val="en-US"/>
        </w:rPr>
        <w:t>F</w:t>
      </w:r>
      <w:r w:rsidR="00301880" w:rsidRPr="001D0884">
        <w:rPr>
          <w:rFonts w:cs="Times New Roman"/>
          <w:lang w:val="en-US"/>
        </w:rPr>
        <w:t>ocused on how the Partnership is working in practice</w:t>
      </w:r>
      <w:r w:rsidR="001024AD">
        <w:rPr>
          <w:rFonts w:cs="Times New Roman"/>
          <w:lang w:val="en-US"/>
        </w:rPr>
        <w:t xml:space="preserve"> and</w:t>
      </w:r>
      <w:r w:rsidR="00301880" w:rsidRPr="001D0884">
        <w:rPr>
          <w:rFonts w:cs="Times New Roman"/>
          <w:lang w:val="en-US"/>
        </w:rPr>
        <w:t xml:space="preserve"> areas of the Partnership that have worked well</w:t>
      </w:r>
      <w:r w:rsidR="001024AD">
        <w:rPr>
          <w:rFonts w:cs="Times New Roman"/>
          <w:lang w:val="en-US"/>
        </w:rPr>
        <w:t xml:space="preserve">, while </w:t>
      </w:r>
      <w:r w:rsidR="00301880" w:rsidRPr="001D0884">
        <w:rPr>
          <w:rFonts w:cs="Times New Roman"/>
          <w:lang w:val="en-US"/>
        </w:rPr>
        <w:t>also considering areas that could be strengthened or improved.</w:t>
      </w:r>
    </w:p>
    <w:p w14:paraId="668A1453" w14:textId="77777777" w:rsidR="00301880" w:rsidRPr="001D0884" w:rsidRDefault="00301880" w:rsidP="00875B96">
      <w:pPr>
        <w:pStyle w:val="BodyBullet"/>
        <w:spacing w:before="60" w:after="60"/>
        <w:rPr>
          <w:rFonts w:cs="Times New Roman"/>
          <w:lang w:val="en-US"/>
        </w:rPr>
      </w:pPr>
      <w:r w:rsidRPr="001D0884">
        <w:rPr>
          <w:rFonts w:cs="Times New Roman"/>
          <w:lang w:val="en-US"/>
        </w:rPr>
        <w:t>Undertook high-level analysis of the Partnership arrangements to provide insights into the efficiency of governance arrangements, funding modalities, reporting mechanisms and capacity development approaches.</w:t>
      </w:r>
    </w:p>
    <w:p w14:paraId="5A3A9D20" w14:textId="15F07766" w:rsidR="00301880" w:rsidRDefault="00301880" w:rsidP="00875B96">
      <w:pPr>
        <w:pStyle w:val="BodyBullet"/>
        <w:spacing w:before="60" w:after="60"/>
        <w:rPr>
          <w:rFonts w:cs="Arial"/>
        </w:rPr>
      </w:pPr>
      <w:r w:rsidRPr="001D0884">
        <w:rPr>
          <w:rFonts w:cs="Times New Roman"/>
          <w:lang w:val="en-US"/>
        </w:rPr>
        <w:t>Focused on</w:t>
      </w:r>
      <w:r w:rsidRPr="001D0884">
        <w:rPr>
          <w:rFonts w:cs="Arial"/>
        </w:rPr>
        <w:t xml:space="preserve"> assessing the GoPNG transport agencies as a whole and did not focus on individual counterpart </w:t>
      </w:r>
      <w:r w:rsidR="00925E0C">
        <w:rPr>
          <w:rFonts w:cs="Arial"/>
        </w:rPr>
        <w:t>agencies’</w:t>
      </w:r>
      <w:r w:rsidRPr="001D0884">
        <w:rPr>
          <w:rFonts w:cs="Arial"/>
        </w:rPr>
        <w:t xml:space="preserve"> arrangements</w:t>
      </w:r>
      <w:r w:rsidR="00517363">
        <w:rPr>
          <w:rFonts w:cs="Arial"/>
        </w:rPr>
        <w:t xml:space="preserve"> and </w:t>
      </w:r>
      <w:r w:rsidRPr="001D0884">
        <w:rPr>
          <w:rFonts w:cs="Arial"/>
        </w:rPr>
        <w:t>collaboration.</w:t>
      </w:r>
    </w:p>
    <w:p w14:paraId="1129136D" w14:textId="78F6735C" w:rsidR="00BC2049" w:rsidRDefault="00BC2049">
      <w:pPr>
        <w:autoSpaceDE/>
        <w:autoSpaceDN/>
        <w:adjustRightInd/>
        <w:spacing w:before="0" w:after="160" w:line="259" w:lineRule="auto"/>
        <w:jc w:val="left"/>
        <w:rPr>
          <w:rFonts w:ascii="Calibri Light" w:hAnsi="Calibri Light"/>
          <w:spacing w:val="0"/>
          <w:sz w:val="20"/>
          <w:szCs w:val="22"/>
        </w:rPr>
      </w:pPr>
      <w:r>
        <w:br w:type="page"/>
      </w:r>
    </w:p>
    <w:p w14:paraId="15AAC0D3" w14:textId="77777777" w:rsidR="00301880" w:rsidRDefault="00301880" w:rsidP="00301880">
      <w:pPr>
        <w:pStyle w:val="Heading2"/>
      </w:pPr>
      <w:bookmarkStart w:id="10" w:name="_Toc93912270"/>
      <w:bookmarkStart w:id="11" w:name="_Toc96441093"/>
      <w:bookmarkStart w:id="12" w:name="_Toc98526257"/>
      <w:r>
        <w:lastRenderedPageBreak/>
        <w:t>Key evaluation questions and objectives</w:t>
      </w:r>
      <w:bookmarkEnd w:id="10"/>
      <w:bookmarkEnd w:id="11"/>
      <w:bookmarkEnd w:id="12"/>
      <w:r>
        <w:t xml:space="preserve"> </w:t>
      </w:r>
    </w:p>
    <w:p w14:paraId="52B41D37" w14:textId="56DEA2B7" w:rsidR="00301880" w:rsidRPr="001D0884" w:rsidRDefault="00301880" w:rsidP="00301880">
      <w:pPr>
        <w:pStyle w:val="BodyText"/>
        <w:rPr>
          <w:lang w:val="en-US"/>
        </w:rPr>
      </w:pPr>
      <w:r w:rsidRPr="001D0884">
        <w:rPr>
          <w:lang w:val="en-US"/>
        </w:rPr>
        <w:t>The Review was guided by the following key evaluation questions (KEQ)</w:t>
      </w:r>
      <w:r w:rsidR="0073629C">
        <w:rPr>
          <w:lang w:val="en-US"/>
        </w:rPr>
        <w:t xml:space="preserve"> adopted from the</w:t>
      </w:r>
      <w:r w:rsidR="0000041D">
        <w:rPr>
          <w:lang w:val="en-US"/>
        </w:rPr>
        <w:t xml:space="preserve"> Review’s</w:t>
      </w:r>
      <w:r w:rsidR="0073629C">
        <w:rPr>
          <w:lang w:val="en-US"/>
        </w:rPr>
        <w:t xml:space="preserve"> T</w:t>
      </w:r>
      <w:r w:rsidR="0000041D">
        <w:rPr>
          <w:lang w:val="en-US"/>
        </w:rPr>
        <w:t>erms of Reference</w:t>
      </w:r>
      <w:r w:rsidR="0073629C">
        <w:rPr>
          <w:lang w:val="en-US"/>
        </w:rPr>
        <w:t xml:space="preserve"> </w:t>
      </w:r>
      <w:r w:rsidR="00693EEC">
        <w:rPr>
          <w:lang w:val="en-US"/>
        </w:rPr>
        <w:t xml:space="preserve">and </w:t>
      </w:r>
      <w:r w:rsidR="00693EEC" w:rsidRPr="001D0884">
        <w:rPr>
          <w:lang w:val="en-US"/>
        </w:rPr>
        <w:t>organised</w:t>
      </w:r>
      <w:r w:rsidRPr="001D0884">
        <w:rPr>
          <w:lang w:val="en-US"/>
        </w:rPr>
        <w:t xml:space="preserve"> under three objectives:</w:t>
      </w:r>
    </w:p>
    <w:p w14:paraId="62D1BA85" w14:textId="77777777" w:rsidR="00301880" w:rsidRPr="001D0884" w:rsidRDefault="00301880" w:rsidP="00301880">
      <w:pPr>
        <w:pStyle w:val="BodyText"/>
        <w:rPr>
          <w:lang w:val="en-US"/>
        </w:rPr>
      </w:pPr>
      <w:r w:rsidRPr="001D0884">
        <w:rPr>
          <w:b/>
          <w:lang w:val="en-US"/>
        </w:rPr>
        <w:t xml:space="preserve">Objective 1: Assessing current partnership arrangements. </w:t>
      </w:r>
      <w:r w:rsidRPr="001D0884">
        <w:rPr>
          <w:lang w:val="en-US"/>
        </w:rPr>
        <w:t>To examine the different types of transport sector partnerships and provide evidence on what partnerships have worked well and the reasons why.</w:t>
      </w:r>
    </w:p>
    <w:p w14:paraId="22ED5D9B" w14:textId="77777777" w:rsidR="00301880" w:rsidRPr="001D0884" w:rsidRDefault="00301880" w:rsidP="00301880">
      <w:pPr>
        <w:pStyle w:val="BodyBullet"/>
        <w:rPr>
          <w:lang w:val="en-US"/>
        </w:rPr>
      </w:pPr>
      <w:r w:rsidRPr="001D0884">
        <w:rPr>
          <w:rFonts w:cs="Arial"/>
          <w:lang w:val="en-US"/>
        </w:rPr>
        <w:t xml:space="preserve">KEQ 1: </w:t>
      </w:r>
      <w:r w:rsidRPr="001D0884">
        <w:rPr>
          <w:lang w:val="en-US"/>
        </w:rPr>
        <w:t>What current areas of the partnership are working well?</w:t>
      </w:r>
    </w:p>
    <w:p w14:paraId="072CBC42" w14:textId="77777777" w:rsidR="00301880" w:rsidRPr="001D0884" w:rsidRDefault="00301880" w:rsidP="00301880">
      <w:pPr>
        <w:pStyle w:val="BodyBullet"/>
        <w:rPr>
          <w:lang w:val="en-US"/>
        </w:rPr>
      </w:pPr>
      <w:r w:rsidRPr="001D0884">
        <w:rPr>
          <w:lang w:val="en-US"/>
        </w:rPr>
        <w:t>KEQ 2: What current areas of the partnership can be improved?</w:t>
      </w:r>
    </w:p>
    <w:p w14:paraId="5A3EE540" w14:textId="77777777" w:rsidR="00301880" w:rsidRPr="001D0884" w:rsidRDefault="00301880" w:rsidP="00301880">
      <w:pPr>
        <w:pStyle w:val="BodyBullet"/>
        <w:rPr>
          <w:rFonts w:cs="Arial"/>
          <w:lang w:val="en-US"/>
        </w:rPr>
      </w:pPr>
      <w:r w:rsidRPr="001D0884">
        <w:rPr>
          <w:lang w:val="en-US"/>
        </w:rPr>
        <w:t>KEQ 3: How can the transport partnership be made more efficient and effective with some elements transferred from</w:t>
      </w:r>
      <w:r w:rsidRPr="001D0884">
        <w:rPr>
          <w:rFonts w:cs="Arial"/>
          <w:lang w:val="en-US"/>
        </w:rPr>
        <w:t xml:space="preserve"> the IPP to TSSP program?</w:t>
      </w:r>
    </w:p>
    <w:p w14:paraId="39EDA7B6" w14:textId="77777777" w:rsidR="00301880" w:rsidRPr="001D0884" w:rsidRDefault="00301880" w:rsidP="00301880">
      <w:pPr>
        <w:pStyle w:val="BodyText"/>
        <w:rPr>
          <w:lang w:val="en-US"/>
        </w:rPr>
      </w:pPr>
      <w:r w:rsidRPr="001D0884">
        <w:rPr>
          <w:b/>
          <w:lang w:val="en-US"/>
        </w:rPr>
        <w:t xml:space="preserve">Objective 2: Assessing current </w:t>
      </w:r>
      <w:r w:rsidRPr="7A4BC52A">
        <w:rPr>
          <w:b/>
          <w:bCs/>
          <w:lang w:val="en-US"/>
        </w:rPr>
        <w:t>partnership</w:t>
      </w:r>
      <w:r w:rsidRPr="001D0884">
        <w:rPr>
          <w:b/>
          <w:lang w:val="en-US"/>
        </w:rPr>
        <w:t xml:space="preserve"> program activities. </w:t>
      </w:r>
      <w:r w:rsidRPr="001D0884">
        <w:rPr>
          <w:lang w:val="en-US"/>
        </w:rPr>
        <w:t>To examine if the current partnerships are well resourced and how they can be better resourced into the future.</w:t>
      </w:r>
    </w:p>
    <w:p w14:paraId="6D47B453" w14:textId="77777777" w:rsidR="00301880" w:rsidRPr="001D0884" w:rsidRDefault="00301880" w:rsidP="00301880">
      <w:pPr>
        <w:pStyle w:val="BodyBullet"/>
        <w:rPr>
          <w:lang w:val="en-US"/>
        </w:rPr>
      </w:pPr>
      <w:r w:rsidRPr="001D0884">
        <w:rPr>
          <w:rFonts w:cs="Arial"/>
          <w:lang w:val="en-US"/>
        </w:rPr>
        <w:t xml:space="preserve">KEQ 4: Are </w:t>
      </w:r>
      <w:r w:rsidRPr="001D0884">
        <w:rPr>
          <w:lang w:val="en-US"/>
        </w:rPr>
        <w:t>existing arrangements and activities well supported and appropriately resourced by Australian and PNG agencies?</w:t>
      </w:r>
    </w:p>
    <w:p w14:paraId="72DDD1BB" w14:textId="77777777" w:rsidR="00301880" w:rsidRPr="001D0884" w:rsidRDefault="00301880" w:rsidP="00301880">
      <w:pPr>
        <w:pStyle w:val="BodyBullet"/>
        <w:rPr>
          <w:rFonts w:cs="Arial"/>
          <w:lang w:val="en-US"/>
        </w:rPr>
      </w:pPr>
      <w:r w:rsidRPr="001D0884">
        <w:rPr>
          <w:lang w:val="en-US"/>
        </w:rPr>
        <w:t>KEQ 5: Do existing partnership activities under the relevant programs have clearly defined outcomes, objectives, outputs</w:t>
      </w:r>
      <w:r w:rsidRPr="001D0884">
        <w:rPr>
          <w:rFonts w:cs="Arial"/>
          <w:lang w:val="en-US"/>
        </w:rPr>
        <w:t xml:space="preserve">? </w:t>
      </w:r>
    </w:p>
    <w:p w14:paraId="42C3DD42" w14:textId="77777777" w:rsidR="00301880" w:rsidRPr="001D0884" w:rsidRDefault="00301880" w:rsidP="00301880">
      <w:pPr>
        <w:pStyle w:val="BodyText"/>
        <w:rPr>
          <w:lang w:val="en-US"/>
        </w:rPr>
      </w:pPr>
      <w:r w:rsidRPr="001D0884">
        <w:rPr>
          <w:b/>
          <w:lang w:val="en-US"/>
        </w:rPr>
        <w:t xml:space="preserve">Objective 3: </w:t>
      </w:r>
      <w:r>
        <w:rPr>
          <w:b/>
          <w:lang w:val="en-US"/>
        </w:rPr>
        <w:t>Considerations</w:t>
      </w:r>
      <w:r w:rsidRPr="001D0884">
        <w:rPr>
          <w:b/>
          <w:lang w:val="en-US"/>
        </w:rPr>
        <w:t xml:space="preserve"> for the future. </w:t>
      </w:r>
      <w:r w:rsidRPr="001D0884">
        <w:rPr>
          <w:lang w:val="en-US"/>
        </w:rPr>
        <w:t>This considers potential arrangements in which Australian and PNG transport agencies and other parties can appropriately support the transport partnership in areas they have the most impact.</w:t>
      </w:r>
    </w:p>
    <w:p w14:paraId="6F0BFD39" w14:textId="7E0F9371" w:rsidR="00301880" w:rsidRPr="001D0884" w:rsidRDefault="00301880" w:rsidP="00301880">
      <w:pPr>
        <w:pStyle w:val="BodyBullet"/>
        <w:rPr>
          <w:lang w:val="en-US"/>
        </w:rPr>
      </w:pPr>
      <w:r w:rsidRPr="001D0884">
        <w:rPr>
          <w:rFonts w:cs="Arial"/>
          <w:lang w:val="en-US"/>
        </w:rPr>
        <w:t>KEQ 6:</w:t>
      </w:r>
      <w:r w:rsidR="00CD0CAF">
        <w:rPr>
          <w:rFonts w:cs="Arial"/>
          <w:lang w:val="en-US"/>
        </w:rPr>
        <w:t xml:space="preserve"> </w:t>
      </w:r>
      <w:r w:rsidRPr="001D0884">
        <w:rPr>
          <w:rFonts w:cs="Arial"/>
          <w:lang w:val="en-US"/>
        </w:rPr>
        <w:t xml:space="preserve">How can </w:t>
      </w:r>
      <w:r w:rsidRPr="001D0884">
        <w:rPr>
          <w:lang w:val="en-US"/>
        </w:rPr>
        <w:t>the transport partnership be made more efficient and effective with some elements transferred from the IPP to TSSP program?</w:t>
      </w:r>
    </w:p>
    <w:p w14:paraId="39FE6227" w14:textId="7A33EBC2" w:rsidR="00301880" w:rsidRPr="001D0884" w:rsidRDefault="00301880" w:rsidP="00301880">
      <w:pPr>
        <w:pStyle w:val="BodyBullet"/>
        <w:rPr>
          <w:lang w:val="en-US"/>
        </w:rPr>
      </w:pPr>
      <w:r w:rsidRPr="001D0884">
        <w:rPr>
          <w:lang w:val="en-US"/>
        </w:rPr>
        <w:t>KEQ 7: What are the appropriate future roles for DFAT, DITRDC, Australian and PNG transport agencies and other parties in supporting the Australian-PNG Transport partnership</w:t>
      </w:r>
      <w:r w:rsidRPr="00D00FBC">
        <w:rPr>
          <w:rFonts w:cs="Arial"/>
          <w:bCs/>
          <w:lang w:val="en-US"/>
        </w:rPr>
        <w:t>?</w:t>
      </w:r>
      <w:r w:rsidRPr="001D0884">
        <w:rPr>
          <w:lang w:val="en-US"/>
        </w:rPr>
        <w:t xml:space="preserve"> </w:t>
      </w:r>
    </w:p>
    <w:p w14:paraId="6F08421D" w14:textId="77B07CA0" w:rsidR="00301880" w:rsidRDefault="00301880" w:rsidP="00301880">
      <w:pPr>
        <w:pStyle w:val="BodyBullet"/>
        <w:rPr>
          <w:rFonts w:cs="Arial"/>
          <w:lang w:val="en-US"/>
        </w:rPr>
      </w:pPr>
      <w:r w:rsidRPr="001D0884">
        <w:rPr>
          <w:lang w:val="en-US"/>
        </w:rPr>
        <w:t>KEQ 8: What priorities should be set for the partnership from 2022 having regard to available resources i.e., are there transport areas and</w:t>
      </w:r>
      <w:r w:rsidRPr="001D0884">
        <w:rPr>
          <w:rFonts w:cs="Arial"/>
          <w:lang w:val="en-US"/>
        </w:rPr>
        <w:t xml:space="preserve"> activities that should be given a higher or lower priority particularly with regard to the ongoing impacts of COVID-19</w:t>
      </w:r>
      <w:r w:rsidR="00971E5F">
        <w:rPr>
          <w:rFonts w:cs="Arial"/>
          <w:lang w:val="en-US"/>
        </w:rPr>
        <w:t xml:space="preserve"> and PNG’s broader economic recovery</w:t>
      </w:r>
      <w:r w:rsidRPr="001D0884">
        <w:rPr>
          <w:rFonts w:cs="Arial"/>
          <w:lang w:val="en-US"/>
        </w:rPr>
        <w:t>?</w:t>
      </w:r>
    </w:p>
    <w:p w14:paraId="2ADD4B79" w14:textId="49105C05" w:rsidR="00301880" w:rsidRDefault="008139D1" w:rsidP="008139D1">
      <w:pPr>
        <w:pStyle w:val="Heading2"/>
        <w:ind w:left="0" w:firstLine="0"/>
      </w:pPr>
      <w:bookmarkStart w:id="13" w:name="_Toc93912271"/>
      <w:r>
        <w:br w:type="column"/>
      </w:r>
      <w:bookmarkStart w:id="14" w:name="_Toc96441094"/>
      <w:bookmarkStart w:id="15" w:name="_Toc98526258"/>
      <w:r w:rsidR="00301880">
        <w:t>Summary of findings</w:t>
      </w:r>
      <w:bookmarkEnd w:id="13"/>
      <w:bookmarkEnd w:id="14"/>
      <w:bookmarkEnd w:id="15"/>
      <w:r w:rsidR="00301880">
        <w:t xml:space="preserve"> </w:t>
      </w:r>
    </w:p>
    <w:p w14:paraId="644D730F" w14:textId="516FB3C9" w:rsidR="00BC6E33" w:rsidRPr="003C26BC" w:rsidRDefault="00301880" w:rsidP="00301880">
      <w:pPr>
        <w:pStyle w:val="BodyText"/>
        <w:rPr>
          <w:lang w:val="en-US"/>
        </w:rPr>
      </w:pPr>
      <w:r w:rsidRPr="003C26BC">
        <w:rPr>
          <w:lang w:val="en-US"/>
        </w:rPr>
        <w:t>Overall, transport agencies in PNG and Australia felt positively about the partnerships and collaboration</w:t>
      </w:r>
      <w:r>
        <w:rPr>
          <w:lang w:val="en-US"/>
        </w:rPr>
        <w:t xml:space="preserve"> between the Australian and </w:t>
      </w:r>
      <w:r w:rsidR="00971E5F">
        <w:rPr>
          <w:lang w:val="en-US"/>
        </w:rPr>
        <w:t>Go</w:t>
      </w:r>
      <w:r>
        <w:rPr>
          <w:lang w:val="en-US"/>
        </w:rPr>
        <w:t>PNG agencies</w:t>
      </w:r>
      <w:r w:rsidRPr="003C26BC">
        <w:rPr>
          <w:lang w:val="en-US"/>
        </w:rPr>
        <w:t xml:space="preserve">. PNG transport agencies and specifically the DoT found the overarching transport MoU between Australia and PNG relevant and beneficial to the department and the PNG transport sector agencies more broadly. The ASAs implemented as part of the Annexes of the MoU were reported to be important in building technical knowledge, </w:t>
      </w:r>
      <w:r w:rsidR="00881663" w:rsidRPr="003C26BC">
        <w:rPr>
          <w:lang w:val="en-US"/>
        </w:rPr>
        <w:t>skills</w:t>
      </w:r>
      <w:r w:rsidRPr="003C26BC">
        <w:rPr>
          <w:lang w:val="en-US"/>
        </w:rPr>
        <w:t xml:space="preserve"> and attitudes for the different transport sector agencies</w:t>
      </w:r>
      <w:r>
        <w:rPr>
          <w:lang w:val="en-US"/>
        </w:rPr>
        <w:t>.</w:t>
      </w:r>
    </w:p>
    <w:p w14:paraId="070AAC9F" w14:textId="7A7695D3" w:rsidR="00301880" w:rsidRPr="003C26BC" w:rsidRDefault="00301880" w:rsidP="00301880">
      <w:pPr>
        <w:pStyle w:val="BodyText"/>
        <w:rPr>
          <w:lang w:val="en-US"/>
        </w:rPr>
      </w:pPr>
      <w:r w:rsidRPr="003C26BC">
        <w:rPr>
          <w:lang w:val="en-US"/>
        </w:rPr>
        <w:t xml:space="preserve">The capacity strengthening elements of the </w:t>
      </w:r>
      <w:r w:rsidR="007367A5" w:rsidRPr="003C26BC">
        <w:rPr>
          <w:lang w:val="en-US"/>
        </w:rPr>
        <w:t>Partnership</w:t>
      </w:r>
      <w:r w:rsidRPr="003C26BC">
        <w:rPr>
          <w:lang w:val="en-US"/>
        </w:rPr>
        <w:t xml:space="preserve"> delivered through capacity supplementation, training, workplace technical modelling, collaborative job sharing, twinning arrangements, </w:t>
      </w:r>
      <w:r w:rsidR="00DB3D72" w:rsidRPr="003C26BC">
        <w:rPr>
          <w:lang w:val="en-US"/>
        </w:rPr>
        <w:t>mentoring,</w:t>
      </w:r>
      <w:r w:rsidRPr="003C26BC">
        <w:rPr>
          <w:lang w:val="en-US"/>
        </w:rPr>
        <w:t xml:space="preserve"> and coaching is reported to be working well with stakeholders from Australia and PNG reporting that technical </w:t>
      </w:r>
      <w:r w:rsidR="00925E0C">
        <w:rPr>
          <w:lang w:val="en-US"/>
        </w:rPr>
        <w:t>skills-building</w:t>
      </w:r>
      <w:r w:rsidRPr="003C26BC">
        <w:rPr>
          <w:lang w:val="en-US"/>
        </w:rPr>
        <w:t xml:space="preserve"> and workplace support </w:t>
      </w:r>
      <w:r>
        <w:rPr>
          <w:lang w:val="en-US"/>
        </w:rPr>
        <w:t>is</w:t>
      </w:r>
      <w:r w:rsidRPr="003C26BC">
        <w:rPr>
          <w:lang w:val="en-US"/>
        </w:rPr>
        <w:t xml:space="preserve"> the cornerstone of the </w:t>
      </w:r>
      <w:r>
        <w:rPr>
          <w:lang w:val="en-US"/>
        </w:rPr>
        <w:t>T</w:t>
      </w:r>
      <w:r w:rsidRPr="003C26BC">
        <w:rPr>
          <w:lang w:val="en-US"/>
        </w:rPr>
        <w:t xml:space="preserve">ransport </w:t>
      </w:r>
      <w:r>
        <w:rPr>
          <w:lang w:val="en-US"/>
        </w:rPr>
        <w:t>S</w:t>
      </w:r>
      <w:r w:rsidRPr="003C26BC">
        <w:rPr>
          <w:lang w:val="en-US"/>
        </w:rPr>
        <w:t xml:space="preserve">ector </w:t>
      </w:r>
      <w:r>
        <w:rPr>
          <w:lang w:val="en-US"/>
        </w:rPr>
        <w:t>P</w:t>
      </w:r>
      <w:r w:rsidRPr="003C26BC">
        <w:rPr>
          <w:lang w:val="en-US"/>
        </w:rPr>
        <w:t xml:space="preserve">artnership. Even though the capacity strengthening elements </w:t>
      </w:r>
      <w:r>
        <w:rPr>
          <w:lang w:val="en-US"/>
        </w:rPr>
        <w:t xml:space="preserve">of the Partnership </w:t>
      </w:r>
      <w:r w:rsidRPr="003C26BC">
        <w:rPr>
          <w:lang w:val="en-US"/>
        </w:rPr>
        <w:t>are working well, sustainability of the outcomes remains a challenge. There is room to en</w:t>
      </w:r>
      <w:r>
        <w:rPr>
          <w:lang w:val="en-US"/>
        </w:rPr>
        <w:t>han</w:t>
      </w:r>
      <w:r w:rsidRPr="003C26BC">
        <w:rPr>
          <w:lang w:val="en-US"/>
        </w:rPr>
        <w:t xml:space="preserve">ce </w:t>
      </w:r>
      <w:r w:rsidR="00F0254F">
        <w:rPr>
          <w:lang w:val="en-US"/>
        </w:rPr>
        <w:t xml:space="preserve">the </w:t>
      </w:r>
      <w:r w:rsidRPr="003C26BC">
        <w:rPr>
          <w:lang w:val="en-US"/>
        </w:rPr>
        <w:t>sustainability of the outcomes through implementing a G</w:t>
      </w:r>
      <w:r>
        <w:rPr>
          <w:lang w:val="en-US"/>
        </w:rPr>
        <w:t>o</w:t>
      </w:r>
      <w:r w:rsidRPr="003C26BC">
        <w:rPr>
          <w:lang w:val="en-US"/>
        </w:rPr>
        <w:t>PNG demand</w:t>
      </w:r>
      <w:r>
        <w:rPr>
          <w:lang w:val="en-US"/>
        </w:rPr>
        <w:t>-</w:t>
      </w:r>
      <w:r w:rsidRPr="003C26BC">
        <w:rPr>
          <w:lang w:val="en-US"/>
        </w:rPr>
        <w:t>driven capacity development approach, enhancing shared accountability, facilitating senior leadership active engagement</w:t>
      </w:r>
      <w:r w:rsidR="008F5B98">
        <w:rPr>
          <w:lang w:val="en-US"/>
        </w:rPr>
        <w:t>,</w:t>
      </w:r>
      <w:r w:rsidRPr="003C26BC">
        <w:rPr>
          <w:lang w:val="en-US"/>
        </w:rPr>
        <w:t xml:space="preserve"> and shifting away from an international adviser centric model to a </w:t>
      </w:r>
      <w:r w:rsidR="004C7442" w:rsidRPr="003C26BC">
        <w:rPr>
          <w:lang w:val="en-US"/>
        </w:rPr>
        <w:t>locally</w:t>
      </w:r>
      <w:r w:rsidR="004C7442">
        <w:rPr>
          <w:lang w:val="en-US"/>
        </w:rPr>
        <w:t xml:space="preserve"> led</w:t>
      </w:r>
      <w:r>
        <w:rPr>
          <w:lang w:val="en-US"/>
        </w:rPr>
        <w:t>,</w:t>
      </w:r>
      <w:r w:rsidRPr="003C26BC">
        <w:rPr>
          <w:lang w:val="en-US"/>
        </w:rPr>
        <w:t xml:space="preserve"> agencies-owned technical support. </w:t>
      </w:r>
    </w:p>
    <w:p w14:paraId="3F8CF168" w14:textId="5B993852" w:rsidR="00301880" w:rsidRPr="003C26BC" w:rsidRDefault="00301880" w:rsidP="00301880">
      <w:pPr>
        <w:pStyle w:val="BodyText"/>
        <w:rPr>
          <w:lang w:val="en-US"/>
        </w:rPr>
      </w:pPr>
      <w:r w:rsidRPr="003C26BC">
        <w:rPr>
          <w:lang w:val="en-US"/>
        </w:rPr>
        <w:t xml:space="preserve">The GoPNG transport sector agencies consulted </w:t>
      </w:r>
      <w:r>
        <w:rPr>
          <w:lang w:val="en-US"/>
        </w:rPr>
        <w:t>reported</w:t>
      </w:r>
      <w:r w:rsidRPr="003C26BC">
        <w:rPr>
          <w:lang w:val="en-US"/>
        </w:rPr>
        <w:t xml:space="preserve"> that the flexibility, openness and adaptive management processes and the willingness to listen to the needs and priorities of the PNG transport agencies by their Australian counterparts have improved over time with opportunities to further embed agency-wide structures and mechanisms that support good relationships. Though good relationships </w:t>
      </w:r>
      <w:r w:rsidR="00572B5C" w:rsidRPr="003C26BC">
        <w:rPr>
          <w:lang w:val="en-US"/>
        </w:rPr>
        <w:t>seem</w:t>
      </w:r>
      <w:r w:rsidRPr="003C26BC">
        <w:rPr>
          <w:lang w:val="en-US"/>
        </w:rPr>
        <w:t xml:space="preserve"> to be a factor of individual efforts and not the efforts of the individual agencies and departments as a whole, this could be strengthened </w:t>
      </w:r>
      <w:r w:rsidR="005342F5" w:rsidRPr="003C26BC">
        <w:rPr>
          <w:lang w:val="en-US"/>
        </w:rPr>
        <w:t>by a</w:t>
      </w:r>
      <w:r w:rsidRPr="003C26BC">
        <w:rPr>
          <w:lang w:val="en-US"/>
        </w:rPr>
        <w:t xml:space="preserve"> strong commitment from each of the partners </w:t>
      </w:r>
      <w:r w:rsidR="00661165">
        <w:rPr>
          <w:lang w:val="en-US"/>
        </w:rPr>
        <w:t xml:space="preserve">in the Partnership </w:t>
      </w:r>
      <w:r w:rsidRPr="003C26BC">
        <w:rPr>
          <w:lang w:val="en-US"/>
        </w:rPr>
        <w:t xml:space="preserve">reflected in the fact that all partner organisations are equally present and, where possible, represented by experienced persons who have influence within their </w:t>
      </w:r>
      <w:r w:rsidR="0037533B" w:rsidRPr="003C26BC">
        <w:rPr>
          <w:lang w:val="en-US"/>
        </w:rPr>
        <w:t>organi</w:t>
      </w:r>
      <w:r w:rsidR="0037533B">
        <w:rPr>
          <w:lang w:val="en-US"/>
        </w:rPr>
        <w:t>s</w:t>
      </w:r>
      <w:r w:rsidR="0037533B" w:rsidRPr="003C26BC">
        <w:rPr>
          <w:lang w:val="en-US"/>
        </w:rPr>
        <w:t>ations</w:t>
      </w:r>
      <w:r w:rsidRPr="003C26BC">
        <w:rPr>
          <w:lang w:val="en-US"/>
        </w:rPr>
        <w:t>.</w:t>
      </w:r>
    </w:p>
    <w:p w14:paraId="1D15EB9D" w14:textId="3A5902A8" w:rsidR="00301880" w:rsidRDefault="00301880" w:rsidP="00301880">
      <w:pPr>
        <w:pStyle w:val="BodyText"/>
        <w:rPr>
          <w:lang w:val="en-US"/>
        </w:rPr>
      </w:pPr>
      <w:r w:rsidRPr="003C26BC">
        <w:rPr>
          <w:lang w:val="en-US"/>
        </w:rPr>
        <w:t xml:space="preserve">Stakeholders consulted from DFAT and GoPNG noted that the technical support provided by </w:t>
      </w:r>
      <w:r w:rsidR="00C87BB5">
        <w:rPr>
          <w:lang w:val="en-US"/>
        </w:rPr>
        <w:t xml:space="preserve">infrastructure </w:t>
      </w:r>
      <w:r w:rsidRPr="003C26BC">
        <w:rPr>
          <w:lang w:val="en-US"/>
        </w:rPr>
        <w:t>advisors under the IPP and TSSP is only effective if provided on-site and in-country and not remotely. COVID-19 travel restrictions have undermined partnerships and collaborations between agencies in the two countries and provide an opportunity to re</w:t>
      </w:r>
      <w:r w:rsidR="00C60D33">
        <w:rPr>
          <w:lang w:val="en-US"/>
        </w:rPr>
        <w:t>s</w:t>
      </w:r>
      <w:r w:rsidRPr="003C26BC">
        <w:rPr>
          <w:lang w:val="en-US"/>
        </w:rPr>
        <w:t xml:space="preserve">hape what capacity building and technical support for the transport agencies looks like. As the COVID-19 travel restrictions ease, </w:t>
      </w:r>
      <w:r w:rsidR="003228CE">
        <w:rPr>
          <w:lang w:val="en-US"/>
        </w:rPr>
        <w:t xml:space="preserve">TSSP2 and the </w:t>
      </w:r>
      <w:r w:rsidR="00EF5E37">
        <w:rPr>
          <w:lang w:val="en-US"/>
        </w:rPr>
        <w:t xml:space="preserve">IPP advisors </w:t>
      </w:r>
      <w:r w:rsidR="00EB6C55">
        <w:rPr>
          <w:lang w:val="en-US"/>
        </w:rPr>
        <w:t xml:space="preserve">should be facilitated </w:t>
      </w:r>
      <w:r w:rsidR="00584EEA">
        <w:rPr>
          <w:lang w:val="en-US"/>
        </w:rPr>
        <w:t xml:space="preserve">to </w:t>
      </w:r>
      <w:r w:rsidR="00875B96">
        <w:rPr>
          <w:lang w:val="en-US"/>
        </w:rPr>
        <w:t xml:space="preserve">be </w:t>
      </w:r>
      <w:r w:rsidR="00584EEA">
        <w:rPr>
          <w:lang w:val="en-US"/>
        </w:rPr>
        <w:t>on the</w:t>
      </w:r>
      <w:r w:rsidRPr="003C26BC">
        <w:rPr>
          <w:lang w:val="en-US"/>
        </w:rPr>
        <w:t xml:space="preserve"> ground </w:t>
      </w:r>
      <w:r w:rsidR="00864900">
        <w:rPr>
          <w:lang w:val="en-US"/>
        </w:rPr>
        <w:lastRenderedPageBreak/>
        <w:t xml:space="preserve">quickly </w:t>
      </w:r>
      <w:r w:rsidRPr="003C26BC">
        <w:rPr>
          <w:lang w:val="en-US"/>
        </w:rPr>
        <w:t>to support agencies in real-time</w:t>
      </w:r>
      <w:r w:rsidR="00B86F4D">
        <w:rPr>
          <w:lang w:val="en-US"/>
        </w:rPr>
        <w:t>,</w:t>
      </w:r>
      <w:r w:rsidRPr="003C26BC">
        <w:rPr>
          <w:lang w:val="en-US"/>
        </w:rPr>
        <w:t xml:space="preserve"> which is what stakeholders in Australia and PNG want.</w:t>
      </w:r>
    </w:p>
    <w:p w14:paraId="786EC615" w14:textId="5E09B86F" w:rsidR="00B80CEE" w:rsidRDefault="0092368F" w:rsidP="00301880">
      <w:pPr>
        <w:pStyle w:val="BodyText"/>
        <w:rPr>
          <w:lang w:val="en-US"/>
        </w:rPr>
      </w:pPr>
      <w:r>
        <w:rPr>
          <w:lang w:val="en-US"/>
        </w:rPr>
        <w:t>F</w:t>
      </w:r>
      <w:r w:rsidR="0019614E">
        <w:rPr>
          <w:lang w:val="en-US"/>
        </w:rPr>
        <w:t>or</w:t>
      </w:r>
      <w:r>
        <w:rPr>
          <w:lang w:val="en-US"/>
        </w:rPr>
        <w:t xml:space="preserve"> the GoPNG side, there </w:t>
      </w:r>
      <w:r w:rsidR="002F068F">
        <w:rPr>
          <w:lang w:val="en-US"/>
        </w:rPr>
        <w:t xml:space="preserve">was </w:t>
      </w:r>
      <w:r w:rsidR="002555C6">
        <w:rPr>
          <w:lang w:val="en-US"/>
        </w:rPr>
        <w:t xml:space="preserve">a </w:t>
      </w:r>
      <w:r w:rsidR="002F068F">
        <w:rPr>
          <w:lang w:val="en-US"/>
        </w:rPr>
        <w:t xml:space="preserve">reported </w:t>
      </w:r>
      <w:r>
        <w:rPr>
          <w:lang w:val="en-US"/>
        </w:rPr>
        <w:t xml:space="preserve">lack of </w:t>
      </w:r>
      <w:r w:rsidR="004E25A1">
        <w:rPr>
          <w:lang w:val="en-US"/>
        </w:rPr>
        <w:t>a</w:t>
      </w:r>
      <w:r w:rsidR="00B46DD8" w:rsidRPr="00B46DD8">
        <w:rPr>
          <w:lang w:val="en-US"/>
        </w:rPr>
        <w:t xml:space="preserve"> clear understanding of the overall objectives, strategic </w:t>
      </w:r>
      <w:r w:rsidR="003D6B4A" w:rsidRPr="00B46DD8">
        <w:rPr>
          <w:lang w:val="en-US"/>
        </w:rPr>
        <w:t>intentions,</w:t>
      </w:r>
      <w:r w:rsidR="00B46DD8" w:rsidRPr="00B46DD8">
        <w:rPr>
          <w:lang w:val="en-US"/>
        </w:rPr>
        <w:t xml:space="preserve"> and common vision of the Partnership</w:t>
      </w:r>
      <w:r w:rsidR="00D53A67">
        <w:rPr>
          <w:lang w:val="en-US"/>
        </w:rPr>
        <w:t xml:space="preserve"> from Australi</w:t>
      </w:r>
      <w:r w:rsidR="006B0E44">
        <w:rPr>
          <w:lang w:val="en-US"/>
        </w:rPr>
        <w:t>a</w:t>
      </w:r>
      <w:r w:rsidR="003D6B4A">
        <w:rPr>
          <w:lang w:val="en-US"/>
        </w:rPr>
        <w:t xml:space="preserve">. This is </w:t>
      </w:r>
      <w:r w:rsidR="00E07CBF">
        <w:rPr>
          <w:lang w:val="en-US"/>
        </w:rPr>
        <w:t xml:space="preserve">made more </w:t>
      </w:r>
      <w:r w:rsidR="00C13A8F">
        <w:rPr>
          <w:lang w:val="en-US"/>
        </w:rPr>
        <w:t>challenging because</w:t>
      </w:r>
      <w:r w:rsidR="00E07CBF">
        <w:rPr>
          <w:lang w:val="en-US"/>
        </w:rPr>
        <w:t xml:space="preserve"> of the absence of </w:t>
      </w:r>
      <w:r w:rsidR="00345B5A">
        <w:rPr>
          <w:lang w:val="en-US"/>
        </w:rPr>
        <w:t>a</w:t>
      </w:r>
      <w:r w:rsidR="00A7780F">
        <w:rPr>
          <w:lang w:val="en-US"/>
        </w:rPr>
        <w:t xml:space="preserve"> comprehensive</w:t>
      </w:r>
      <w:r w:rsidR="00345B5A">
        <w:rPr>
          <w:lang w:val="en-US"/>
        </w:rPr>
        <w:t xml:space="preserve"> Australian Transport Sector Strategy for PNG</w:t>
      </w:r>
      <w:r w:rsidR="00426026">
        <w:rPr>
          <w:lang w:val="en-US"/>
        </w:rPr>
        <w:t xml:space="preserve">. </w:t>
      </w:r>
      <w:r w:rsidR="001B28F0">
        <w:rPr>
          <w:lang w:val="en-US"/>
        </w:rPr>
        <w:t>Because of this</w:t>
      </w:r>
      <w:r w:rsidR="00156835">
        <w:rPr>
          <w:lang w:val="en-US"/>
        </w:rPr>
        <w:t xml:space="preserve">, it remains challenging for </w:t>
      </w:r>
      <w:r w:rsidR="002645FE">
        <w:rPr>
          <w:lang w:val="en-US"/>
        </w:rPr>
        <w:t xml:space="preserve">GoPNG agencies </w:t>
      </w:r>
      <w:r w:rsidR="00B80CEE" w:rsidRPr="00B80CEE">
        <w:rPr>
          <w:lang w:val="en-US"/>
        </w:rPr>
        <w:t xml:space="preserve">to articulate the objectives of the transport partnerships from Australia’s side. Though the Partnership is underpinned by the MoU, TSSP, AIFFP and the IPP, a Strategy that brings all these components together </w:t>
      </w:r>
      <w:r w:rsidR="001B3A8D">
        <w:rPr>
          <w:lang w:val="en-US"/>
        </w:rPr>
        <w:t>was reported to be due</w:t>
      </w:r>
      <w:r w:rsidR="00875B96">
        <w:rPr>
          <w:lang w:val="en-US"/>
        </w:rPr>
        <w:t xml:space="preserve"> and necessary</w:t>
      </w:r>
      <w:r w:rsidR="00B80CEE" w:rsidRPr="00B80CEE">
        <w:rPr>
          <w:lang w:val="en-US"/>
        </w:rPr>
        <w:t>.</w:t>
      </w:r>
    </w:p>
    <w:p w14:paraId="3429AB49" w14:textId="77777777" w:rsidR="003240AA" w:rsidRDefault="00301880" w:rsidP="00301880">
      <w:pPr>
        <w:pStyle w:val="BodyText"/>
        <w:rPr>
          <w:lang w:val="en-US"/>
        </w:rPr>
      </w:pPr>
      <w:r w:rsidRPr="003C26BC">
        <w:rPr>
          <w:lang w:val="en-US"/>
        </w:rPr>
        <w:t>At the inter-agency level, various stakeholder reports indicate that the ASAs</w:t>
      </w:r>
      <w:r w:rsidR="008A5084">
        <w:rPr>
          <w:lang w:val="en-US"/>
        </w:rPr>
        <w:t>’</w:t>
      </w:r>
      <w:r w:rsidRPr="003C26BC">
        <w:rPr>
          <w:lang w:val="en-US"/>
        </w:rPr>
        <w:t xml:space="preserve"> implementation and reporting are disjointed and burdensome</w:t>
      </w:r>
      <w:r>
        <w:rPr>
          <w:lang w:val="en-US"/>
        </w:rPr>
        <w:t xml:space="preserve">. </w:t>
      </w:r>
      <w:r w:rsidRPr="003C26BC">
        <w:rPr>
          <w:lang w:val="en-US"/>
        </w:rPr>
        <w:t>Most agencies noted that the reporting and implementation efforts required for ASAs do not match the budgets allocated to them</w:t>
      </w:r>
      <w:r w:rsidR="008A5084">
        <w:rPr>
          <w:lang w:val="en-US"/>
        </w:rPr>
        <w:t>,</w:t>
      </w:r>
      <w:r w:rsidRPr="003C26BC">
        <w:rPr>
          <w:lang w:val="en-US"/>
        </w:rPr>
        <w:t xml:space="preserve"> but also that the reimbursable approval process and the activities liable for reimbursements within the ASAs </w:t>
      </w:r>
      <w:r>
        <w:rPr>
          <w:lang w:val="en-US"/>
        </w:rPr>
        <w:t>are</w:t>
      </w:r>
      <w:r w:rsidRPr="003C26BC">
        <w:rPr>
          <w:lang w:val="en-US"/>
        </w:rPr>
        <w:t xml:space="preserve"> difficult. </w:t>
      </w:r>
      <w:r w:rsidR="00A76D68">
        <w:rPr>
          <w:lang w:val="en-US"/>
        </w:rPr>
        <w:t>T</w:t>
      </w:r>
      <w:r w:rsidR="00A76D68" w:rsidRPr="003C26BC">
        <w:rPr>
          <w:lang w:val="en-US"/>
        </w:rPr>
        <w:t xml:space="preserve">here are opportunities for DFAT to simplify and streamline the ASAs by shifting to a Tasking Note implementation arrangement. </w:t>
      </w:r>
    </w:p>
    <w:p w14:paraId="6CFCAECA" w14:textId="19528D83" w:rsidR="00301880" w:rsidRPr="003C26BC" w:rsidRDefault="00301880" w:rsidP="00301880">
      <w:pPr>
        <w:pStyle w:val="BodyText"/>
        <w:rPr>
          <w:lang w:val="en-US"/>
        </w:rPr>
      </w:pPr>
      <w:r w:rsidRPr="003C26BC">
        <w:rPr>
          <w:lang w:val="en-US"/>
        </w:rPr>
        <w:t xml:space="preserve">GoPNG agencies </w:t>
      </w:r>
      <w:r w:rsidR="00B55E36" w:rsidRPr="003C26BC">
        <w:rPr>
          <w:lang w:val="en-US"/>
        </w:rPr>
        <w:t>propos</w:t>
      </w:r>
      <w:r w:rsidR="00B55E36">
        <w:rPr>
          <w:lang w:val="en-US"/>
        </w:rPr>
        <w:t>e</w:t>
      </w:r>
      <w:r w:rsidR="00B55E36" w:rsidRPr="003C26BC">
        <w:rPr>
          <w:lang w:val="en-US"/>
        </w:rPr>
        <w:t xml:space="preserve"> </w:t>
      </w:r>
      <w:r w:rsidRPr="003C26BC">
        <w:rPr>
          <w:lang w:val="en-US"/>
        </w:rPr>
        <w:t>a review of the</w:t>
      </w:r>
      <w:r w:rsidR="00F8586C">
        <w:rPr>
          <w:lang w:val="en-US"/>
        </w:rPr>
        <w:t xml:space="preserve"> existing ASA</w:t>
      </w:r>
      <w:r w:rsidRPr="003C26BC">
        <w:rPr>
          <w:lang w:val="en-US"/>
        </w:rPr>
        <w:t xml:space="preserve"> funding arrangement</w:t>
      </w:r>
      <w:r w:rsidR="00F8586C">
        <w:rPr>
          <w:lang w:val="en-US"/>
        </w:rPr>
        <w:t>, including alternative options to the current reimbursable model</w:t>
      </w:r>
      <w:r w:rsidR="00ED122D">
        <w:rPr>
          <w:lang w:val="en-US"/>
        </w:rPr>
        <w:t xml:space="preserve">, which can in some instances present </w:t>
      </w:r>
      <w:r w:rsidR="00841C12">
        <w:rPr>
          <w:lang w:val="en-US"/>
        </w:rPr>
        <w:t>budget</w:t>
      </w:r>
      <w:r w:rsidR="00ED122D">
        <w:rPr>
          <w:lang w:val="en-US"/>
        </w:rPr>
        <w:t xml:space="preserve"> constraints </w:t>
      </w:r>
      <w:r w:rsidR="00B80910">
        <w:rPr>
          <w:lang w:val="en-US"/>
        </w:rPr>
        <w:t>when having to</w:t>
      </w:r>
      <w:r w:rsidR="00ED122D">
        <w:rPr>
          <w:lang w:val="en-US"/>
        </w:rPr>
        <w:t xml:space="preserve"> fund activities up front</w:t>
      </w:r>
      <w:r w:rsidRPr="003C26BC">
        <w:rPr>
          <w:lang w:val="en-US"/>
        </w:rPr>
        <w:t>.</w:t>
      </w:r>
    </w:p>
    <w:p w14:paraId="54238CF1" w14:textId="77777777" w:rsidR="00F1624F" w:rsidRDefault="00301880" w:rsidP="00301880">
      <w:pPr>
        <w:pStyle w:val="BodyText"/>
        <w:rPr>
          <w:lang w:val="en-US"/>
        </w:rPr>
      </w:pPr>
      <w:r w:rsidRPr="003C26BC">
        <w:rPr>
          <w:lang w:val="en-US"/>
        </w:rPr>
        <w:t xml:space="preserve">The recommendation from the 2020 </w:t>
      </w:r>
      <w:r>
        <w:rPr>
          <w:lang w:val="en-US"/>
        </w:rPr>
        <w:t>R</w:t>
      </w:r>
      <w:r w:rsidRPr="003C26BC">
        <w:rPr>
          <w:lang w:val="en-US"/>
        </w:rPr>
        <w:t>eview</w:t>
      </w:r>
      <w:r w:rsidR="00B21427">
        <w:rPr>
          <w:lang w:val="en-US"/>
        </w:rPr>
        <w:t xml:space="preserve"> of the IPP</w:t>
      </w:r>
      <w:r w:rsidRPr="003C26BC">
        <w:rPr>
          <w:lang w:val="en-US"/>
        </w:rPr>
        <w:t xml:space="preserve"> to </w:t>
      </w:r>
      <w:r w:rsidR="00DB682E">
        <w:rPr>
          <w:lang w:val="en-US"/>
        </w:rPr>
        <w:t xml:space="preserve">transfer </w:t>
      </w:r>
      <w:r w:rsidRPr="003C26BC">
        <w:rPr>
          <w:lang w:val="en-US"/>
        </w:rPr>
        <w:t xml:space="preserve">the </w:t>
      </w:r>
      <w:r w:rsidR="0010154C">
        <w:rPr>
          <w:lang w:val="en-US"/>
        </w:rPr>
        <w:t>DITRDC Infrastructure</w:t>
      </w:r>
      <w:r w:rsidR="009C5D30">
        <w:rPr>
          <w:lang w:val="en-US"/>
        </w:rPr>
        <w:t xml:space="preserve"> </w:t>
      </w:r>
      <w:r w:rsidRPr="003C26BC">
        <w:rPr>
          <w:lang w:val="en-US"/>
        </w:rPr>
        <w:t xml:space="preserve">advisors from the IPP to </w:t>
      </w:r>
      <w:r w:rsidR="00F1624F">
        <w:rPr>
          <w:lang w:val="en-US"/>
        </w:rPr>
        <w:t xml:space="preserve">the broader bilateral sector program, </w:t>
      </w:r>
      <w:r w:rsidRPr="003C26BC">
        <w:rPr>
          <w:lang w:val="en-US"/>
        </w:rPr>
        <w:t>TSSP</w:t>
      </w:r>
      <w:r w:rsidR="00F1624F">
        <w:rPr>
          <w:lang w:val="en-US"/>
        </w:rPr>
        <w:t>,</w:t>
      </w:r>
      <w:r w:rsidR="008601B2">
        <w:rPr>
          <w:lang w:val="en-US"/>
        </w:rPr>
        <w:t xml:space="preserve"> </w:t>
      </w:r>
      <w:r w:rsidR="00113FAD">
        <w:rPr>
          <w:lang w:val="en-US"/>
        </w:rPr>
        <w:t>by mid-2022</w:t>
      </w:r>
      <w:r w:rsidRPr="003C26BC">
        <w:rPr>
          <w:lang w:val="en-US"/>
        </w:rPr>
        <w:t xml:space="preserve"> is welcome</w:t>
      </w:r>
      <w:r w:rsidR="00B21427">
        <w:rPr>
          <w:lang w:val="en-US"/>
        </w:rPr>
        <w:t xml:space="preserve">. Though, </w:t>
      </w:r>
      <w:r w:rsidRPr="003C26BC">
        <w:rPr>
          <w:lang w:val="en-US"/>
        </w:rPr>
        <w:t>it was recommended that the reporting lines need to be well</w:t>
      </w:r>
      <w:r w:rsidR="0010154C">
        <w:rPr>
          <w:lang w:val="en-US"/>
        </w:rPr>
        <w:t xml:space="preserve"> articulated</w:t>
      </w:r>
      <w:r w:rsidR="001F578B">
        <w:rPr>
          <w:lang w:val="en-US"/>
        </w:rPr>
        <w:t>.</w:t>
      </w:r>
      <w:r w:rsidR="00CA103F">
        <w:rPr>
          <w:lang w:val="en-US"/>
        </w:rPr>
        <w:t xml:space="preserve"> Since the advisor will be</w:t>
      </w:r>
      <w:r w:rsidR="00F1624F">
        <w:rPr>
          <w:lang w:val="en-US"/>
        </w:rPr>
        <w:t xml:space="preserve"> deployed</w:t>
      </w:r>
      <w:r w:rsidR="00CA103F">
        <w:rPr>
          <w:lang w:val="en-US"/>
        </w:rPr>
        <w:t xml:space="preserve"> from DITRDC, it is envisaged that the </w:t>
      </w:r>
      <w:r w:rsidR="00F1624F">
        <w:rPr>
          <w:lang w:val="en-US"/>
        </w:rPr>
        <w:t>advisor</w:t>
      </w:r>
      <w:r w:rsidR="00CA103F">
        <w:rPr>
          <w:lang w:val="en-US"/>
        </w:rPr>
        <w:t xml:space="preserve"> will </w:t>
      </w:r>
      <w:r w:rsidR="007D2B61">
        <w:rPr>
          <w:lang w:val="en-US"/>
        </w:rPr>
        <w:t xml:space="preserve">report both to DITRDC and DFAT. </w:t>
      </w:r>
      <w:r w:rsidR="005444BC">
        <w:rPr>
          <w:lang w:val="en-US"/>
        </w:rPr>
        <w:t>In terms of program support, the advisor will work closely with TSSP</w:t>
      </w:r>
      <w:r w:rsidR="00BC016B">
        <w:rPr>
          <w:lang w:val="en-US"/>
        </w:rPr>
        <w:t>2</w:t>
      </w:r>
      <w:r w:rsidR="00D802A1">
        <w:rPr>
          <w:lang w:val="en-US"/>
        </w:rPr>
        <w:t xml:space="preserve"> </w:t>
      </w:r>
      <w:r w:rsidR="00CF1E79">
        <w:rPr>
          <w:lang w:val="en-US"/>
        </w:rPr>
        <w:t>managing contractor</w:t>
      </w:r>
      <w:r w:rsidR="00F1624F">
        <w:rPr>
          <w:lang w:val="en-US"/>
        </w:rPr>
        <w:t xml:space="preserve">, </w:t>
      </w:r>
      <w:r w:rsidR="00CF1E79">
        <w:rPr>
          <w:lang w:val="en-US"/>
        </w:rPr>
        <w:t>GHD</w:t>
      </w:r>
      <w:r w:rsidR="00F1624F">
        <w:rPr>
          <w:lang w:val="en-US"/>
        </w:rPr>
        <w:t>,</w:t>
      </w:r>
      <w:r w:rsidR="00CF1E79">
        <w:rPr>
          <w:lang w:val="en-US"/>
        </w:rPr>
        <w:t xml:space="preserve"> </w:t>
      </w:r>
      <w:r w:rsidR="00D802A1">
        <w:rPr>
          <w:lang w:val="en-US"/>
        </w:rPr>
        <w:t xml:space="preserve">and continue to offer transport </w:t>
      </w:r>
      <w:r w:rsidR="0015516B">
        <w:rPr>
          <w:lang w:val="en-US"/>
        </w:rPr>
        <w:t xml:space="preserve">infrastructure </w:t>
      </w:r>
      <w:r w:rsidR="00D802A1">
        <w:rPr>
          <w:lang w:val="en-US"/>
        </w:rPr>
        <w:t>policy advice and support.</w:t>
      </w:r>
      <w:r w:rsidR="00D025A8">
        <w:rPr>
          <w:lang w:val="en-US"/>
        </w:rPr>
        <w:t xml:space="preserve"> </w:t>
      </w:r>
    </w:p>
    <w:p w14:paraId="7DAC527A" w14:textId="0F0B8A19" w:rsidR="00683E8D" w:rsidRDefault="00D802A1" w:rsidP="00301880">
      <w:pPr>
        <w:pStyle w:val="BodyText"/>
        <w:rPr>
          <w:lang w:val="en-US"/>
        </w:rPr>
      </w:pPr>
      <w:r w:rsidRPr="00D802A1">
        <w:rPr>
          <w:lang w:val="en-US"/>
        </w:rPr>
        <w:t xml:space="preserve">Other </w:t>
      </w:r>
      <w:r w:rsidR="00A4529A">
        <w:rPr>
          <w:lang w:val="en-US"/>
        </w:rPr>
        <w:t xml:space="preserve">than </w:t>
      </w:r>
      <w:r w:rsidRPr="00D802A1">
        <w:rPr>
          <w:lang w:val="en-US"/>
        </w:rPr>
        <w:t>supporting TSSP2 and coordinating Australian transport agencies</w:t>
      </w:r>
      <w:r w:rsidR="00B80910">
        <w:rPr>
          <w:lang w:val="en-US"/>
        </w:rPr>
        <w:t>’ support</w:t>
      </w:r>
      <w:r w:rsidR="009850E3">
        <w:rPr>
          <w:lang w:val="en-US"/>
        </w:rPr>
        <w:t xml:space="preserve"> in collaboration with DFAT</w:t>
      </w:r>
      <w:r w:rsidRPr="00D802A1">
        <w:rPr>
          <w:lang w:val="en-US"/>
        </w:rPr>
        <w:t>,</w:t>
      </w:r>
      <w:r w:rsidR="00A4529A">
        <w:rPr>
          <w:lang w:val="en-US"/>
        </w:rPr>
        <w:t xml:space="preserve"> some stakeholders from DoT </w:t>
      </w:r>
      <w:r w:rsidR="009D0126">
        <w:rPr>
          <w:lang w:val="en-US"/>
        </w:rPr>
        <w:t xml:space="preserve">noted that the </w:t>
      </w:r>
      <w:r w:rsidR="00113FAD">
        <w:rPr>
          <w:lang w:val="en-US"/>
        </w:rPr>
        <w:t xml:space="preserve">advisor should </w:t>
      </w:r>
      <w:r w:rsidR="009D0126">
        <w:rPr>
          <w:lang w:val="en-US"/>
        </w:rPr>
        <w:t xml:space="preserve">continue </w:t>
      </w:r>
      <w:r w:rsidRPr="00D802A1">
        <w:rPr>
          <w:lang w:val="en-US"/>
        </w:rPr>
        <w:t>provid</w:t>
      </w:r>
      <w:r w:rsidR="009D0126">
        <w:rPr>
          <w:lang w:val="en-US"/>
        </w:rPr>
        <w:t xml:space="preserve">ing technical </w:t>
      </w:r>
      <w:r w:rsidR="00530673">
        <w:rPr>
          <w:lang w:val="en-US"/>
        </w:rPr>
        <w:t xml:space="preserve">assistance and advice to </w:t>
      </w:r>
      <w:r w:rsidR="00113FAD">
        <w:rPr>
          <w:lang w:val="en-US"/>
        </w:rPr>
        <w:t xml:space="preserve">the Secretary of </w:t>
      </w:r>
      <w:r w:rsidR="00530673">
        <w:rPr>
          <w:lang w:val="en-US"/>
        </w:rPr>
        <w:t>DoT</w:t>
      </w:r>
      <w:r w:rsidR="00861FB7">
        <w:rPr>
          <w:lang w:val="en-US"/>
        </w:rPr>
        <w:t xml:space="preserve"> </w:t>
      </w:r>
      <w:r w:rsidRPr="00D802A1">
        <w:rPr>
          <w:lang w:val="en-US"/>
        </w:rPr>
        <w:t>on a range of issues</w:t>
      </w:r>
      <w:r w:rsidR="00683E8D">
        <w:rPr>
          <w:lang w:val="en-US"/>
        </w:rPr>
        <w:t>.</w:t>
      </w:r>
      <w:r w:rsidR="00233172">
        <w:rPr>
          <w:lang w:val="en-US"/>
        </w:rPr>
        <w:t xml:space="preserve"> A key area noted by the DoT </w:t>
      </w:r>
      <w:r w:rsidR="00F1624F">
        <w:rPr>
          <w:lang w:val="en-US"/>
        </w:rPr>
        <w:t xml:space="preserve">was </w:t>
      </w:r>
      <w:r w:rsidR="00806E11">
        <w:rPr>
          <w:lang w:val="en-US"/>
        </w:rPr>
        <w:t>that the advisor c</w:t>
      </w:r>
      <w:r w:rsidR="000B2110">
        <w:rPr>
          <w:lang w:val="en-US"/>
        </w:rPr>
        <w:t xml:space="preserve">ould </w:t>
      </w:r>
      <w:r w:rsidR="00384047">
        <w:rPr>
          <w:lang w:val="en-US"/>
        </w:rPr>
        <w:t xml:space="preserve">provide technical assistance </w:t>
      </w:r>
      <w:r w:rsidR="00F1624F">
        <w:rPr>
          <w:lang w:val="en-US"/>
        </w:rPr>
        <w:t xml:space="preserve">for </w:t>
      </w:r>
      <w:r w:rsidR="00806E11">
        <w:rPr>
          <w:lang w:val="en-US"/>
        </w:rPr>
        <w:t xml:space="preserve">supporting </w:t>
      </w:r>
      <w:r w:rsidR="00384047">
        <w:rPr>
          <w:lang w:val="en-US"/>
        </w:rPr>
        <w:t>DoT</w:t>
      </w:r>
      <w:r w:rsidR="00F1624F">
        <w:rPr>
          <w:lang w:val="en-US"/>
        </w:rPr>
        <w:t>’s</w:t>
      </w:r>
      <w:r w:rsidR="00384047">
        <w:rPr>
          <w:lang w:val="en-US"/>
        </w:rPr>
        <w:t xml:space="preserve"> </w:t>
      </w:r>
      <w:r w:rsidR="005E0C18">
        <w:rPr>
          <w:lang w:val="en-US"/>
        </w:rPr>
        <w:t xml:space="preserve">regional </w:t>
      </w:r>
      <w:r w:rsidR="00785495">
        <w:rPr>
          <w:lang w:val="en-US"/>
        </w:rPr>
        <w:t xml:space="preserve">aspirations </w:t>
      </w:r>
      <w:r w:rsidR="00D01DA5">
        <w:rPr>
          <w:lang w:val="en-US"/>
        </w:rPr>
        <w:t xml:space="preserve">on </w:t>
      </w:r>
      <w:r w:rsidR="004760A0">
        <w:rPr>
          <w:lang w:val="en-US"/>
        </w:rPr>
        <w:t xml:space="preserve">enhancing </w:t>
      </w:r>
      <w:r w:rsidR="00D01DA5">
        <w:rPr>
          <w:lang w:val="en-US"/>
        </w:rPr>
        <w:t xml:space="preserve">transport regional </w:t>
      </w:r>
      <w:r w:rsidR="00FC0F02">
        <w:rPr>
          <w:lang w:val="en-US"/>
        </w:rPr>
        <w:t>coordination, collaboration</w:t>
      </w:r>
      <w:r w:rsidR="00F50A7E">
        <w:rPr>
          <w:lang w:val="en-US"/>
        </w:rPr>
        <w:t xml:space="preserve"> and knowledge sharing</w:t>
      </w:r>
      <w:r w:rsidR="004760A0">
        <w:rPr>
          <w:lang w:val="en-US"/>
        </w:rPr>
        <w:t xml:space="preserve"> in the Pacific.</w:t>
      </w:r>
    </w:p>
    <w:p w14:paraId="22B24C7D" w14:textId="77777777" w:rsidR="00301880" w:rsidRDefault="00301880" w:rsidP="00301880">
      <w:pPr>
        <w:pStyle w:val="Heading2"/>
      </w:pPr>
      <w:bookmarkStart w:id="16" w:name="_Toc93912272"/>
      <w:bookmarkStart w:id="17" w:name="_Toc96441095"/>
      <w:bookmarkStart w:id="18" w:name="_Toc98526259"/>
      <w:r>
        <w:t>Summary of recommendations</w:t>
      </w:r>
      <w:bookmarkEnd w:id="16"/>
      <w:bookmarkEnd w:id="17"/>
      <w:bookmarkEnd w:id="18"/>
      <w:r>
        <w:t xml:space="preserve"> </w:t>
      </w:r>
    </w:p>
    <w:p w14:paraId="2D2D1839" w14:textId="35B687CD" w:rsidR="00301880" w:rsidRDefault="00301880" w:rsidP="00301880">
      <w:pPr>
        <w:pStyle w:val="BodyText"/>
        <w:rPr>
          <w:lang w:val="en-US"/>
        </w:rPr>
      </w:pPr>
      <w:r w:rsidRPr="003A7730">
        <w:rPr>
          <w:lang w:val="en-US"/>
        </w:rPr>
        <w:t xml:space="preserve">The findings of this Review informed the </w:t>
      </w:r>
      <w:r w:rsidRPr="00273821">
        <w:rPr>
          <w:lang w:val="en-US"/>
        </w:rPr>
        <w:t xml:space="preserve">following </w:t>
      </w:r>
      <w:r w:rsidRPr="00730E4F">
        <w:rPr>
          <w:lang w:val="en-US"/>
        </w:rPr>
        <w:t>recommendations for DFAT, DITRDC, TSSP and the G</w:t>
      </w:r>
      <w:r w:rsidR="008076B2">
        <w:rPr>
          <w:lang w:val="en-US"/>
        </w:rPr>
        <w:t>o</w:t>
      </w:r>
      <w:r w:rsidRPr="00730E4F">
        <w:rPr>
          <w:lang w:val="en-US"/>
        </w:rPr>
        <w:t>PNG transport sector agencies:</w:t>
      </w:r>
    </w:p>
    <w:p w14:paraId="36848662" w14:textId="1EC90749" w:rsidR="00DC7FF4" w:rsidRPr="00941543" w:rsidRDefault="00DC7FF4" w:rsidP="00301880">
      <w:pPr>
        <w:pStyle w:val="BodyText"/>
      </w:pPr>
      <w:r w:rsidRPr="00911285">
        <w:rPr>
          <w:b/>
          <w:color w:val="B5582D" w:themeColor="accent4"/>
        </w:rPr>
        <w:t xml:space="preserve">Recommendation </w:t>
      </w:r>
      <w:r>
        <w:rPr>
          <w:b/>
          <w:color w:val="B5582D" w:themeColor="accent4"/>
        </w:rPr>
        <w:t>1</w:t>
      </w:r>
      <w:r w:rsidRPr="00911285">
        <w:rPr>
          <w:b/>
          <w:color w:val="B5582D" w:themeColor="accent4"/>
        </w:rPr>
        <w:t xml:space="preserve">: </w:t>
      </w:r>
      <w:r w:rsidRPr="006814C7">
        <w:t>That Australia (</w:t>
      </w:r>
      <w:r w:rsidR="00941543">
        <w:t>via</w:t>
      </w:r>
      <w:r w:rsidRPr="006814C7">
        <w:t xml:space="preserve"> DFAT and DITRDC) through a consultative process with GoPNG develop a comprehensive</w:t>
      </w:r>
      <w:r w:rsidR="00C12F47">
        <w:t xml:space="preserve"> </w:t>
      </w:r>
      <w:r w:rsidRPr="006814C7">
        <w:t>strategy</w:t>
      </w:r>
      <w:r w:rsidR="00984D54" w:rsidRPr="00984D54">
        <w:t xml:space="preserve"> </w:t>
      </w:r>
      <w:r w:rsidR="00984D54">
        <w:t xml:space="preserve">for </w:t>
      </w:r>
      <w:r w:rsidR="00984D54" w:rsidRPr="00C12F47">
        <w:t>Australian assistance to PNG’s transport sector</w:t>
      </w:r>
      <w:r w:rsidRPr="006814C7">
        <w:t>.</w:t>
      </w:r>
      <w:r w:rsidRPr="00EB6DD8">
        <w:t xml:space="preserve"> The </w:t>
      </w:r>
      <w:r w:rsidR="00941543">
        <w:t>s</w:t>
      </w:r>
      <w:r w:rsidRPr="00EB6DD8">
        <w:t xml:space="preserve">trategy should articulate the objectives of the investments in the transport sector, </w:t>
      </w:r>
      <w:r w:rsidR="00FF1BE6">
        <w:t xml:space="preserve">the rationale </w:t>
      </w:r>
      <w:r w:rsidR="00941543">
        <w:t xml:space="preserve">of </w:t>
      </w:r>
      <w:r w:rsidRPr="00EB6DD8">
        <w:t>different support mechanisms across the different modes of transport</w:t>
      </w:r>
      <w:r w:rsidR="00941543">
        <w:t xml:space="preserve">, </w:t>
      </w:r>
      <w:r w:rsidRPr="00EB6DD8">
        <w:t>and the balance between investments in physical assets, institutional support, and capacity development</w:t>
      </w:r>
      <w:r w:rsidR="00FF1BE6">
        <w:t xml:space="preserve">. The strategy should also </w:t>
      </w:r>
      <w:r w:rsidR="00941543">
        <w:t xml:space="preserve">show the connections and </w:t>
      </w:r>
      <w:r w:rsidR="005133EC">
        <w:t xml:space="preserve">alignment </w:t>
      </w:r>
      <w:r w:rsidR="00FF1BE6">
        <w:t xml:space="preserve">with </w:t>
      </w:r>
      <w:r w:rsidR="00120870">
        <w:t>‘Connect</w:t>
      </w:r>
      <w:r w:rsidR="00A00C58" w:rsidRPr="00A00C58">
        <w:t xml:space="preserve"> PNG</w:t>
      </w:r>
      <w:r w:rsidR="00F4788D" w:rsidRPr="00A00C58">
        <w:t>’</w:t>
      </w:r>
      <w:r w:rsidR="00941543">
        <w:t xml:space="preserve">, </w:t>
      </w:r>
      <w:r w:rsidR="00F4788D">
        <w:t>the</w:t>
      </w:r>
      <w:r w:rsidR="005133EC">
        <w:t xml:space="preserve"> current GoPNG </w:t>
      </w:r>
      <w:r w:rsidR="00A00C58" w:rsidRPr="00A00C58">
        <w:t xml:space="preserve">policy that aims to rebuild the country’s road infrastructure on a 20-year </w:t>
      </w:r>
      <w:r w:rsidR="00402E59">
        <w:t>p</w:t>
      </w:r>
      <w:r w:rsidR="00A00C58" w:rsidRPr="00A00C58">
        <w:t>rogram.</w:t>
      </w:r>
    </w:p>
    <w:p w14:paraId="3607211E" w14:textId="6C4FAE1C" w:rsidR="00301880" w:rsidRPr="00730E4F" w:rsidRDefault="00301880" w:rsidP="00301880">
      <w:pPr>
        <w:pStyle w:val="BodyText"/>
      </w:pPr>
      <w:r w:rsidRPr="00301880">
        <w:rPr>
          <w:b/>
          <w:color w:val="B5582D" w:themeColor="accent4"/>
        </w:rPr>
        <w:t xml:space="preserve">Recommendation </w:t>
      </w:r>
      <w:r w:rsidR="00DC7FF4">
        <w:rPr>
          <w:b/>
          <w:color w:val="B5582D" w:themeColor="accent4"/>
        </w:rPr>
        <w:t>2</w:t>
      </w:r>
      <w:r w:rsidRPr="00301880">
        <w:rPr>
          <w:b/>
          <w:color w:val="B5582D" w:themeColor="accent4"/>
        </w:rPr>
        <w:t xml:space="preserve">: </w:t>
      </w:r>
      <w:r w:rsidRPr="00730E4F">
        <w:t xml:space="preserve">That DFAT, DITRDC and GoPNG clearly articulate, communicate, and socialise the </w:t>
      </w:r>
      <w:r w:rsidR="00FF1BE6">
        <w:t xml:space="preserve">current </w:t>
      </w:r>
      <w:r w:rsidRPr="00730E4F">
        <w:t>Partnership objectives beyond the senior levels of the GoPNG</w:t>
      </w:r>
      <w:r w:rsidR="00B80910">
        <w:t xml:space="preserve"> transport</w:t>
      </w:r>
      <w:r w:rsidRPr="00730E4F">
        <w:t xml:space="preserve"> agencies. This is an opportunity to have a common shared understanding and appreciation of the partnerships across the sector, properly align initiatives, develop better and joint agreeable initiatives and position the Partnership as the foundation of Australia and GoPNG bilateral engagements within the transport sector. </w:t>
      </w:r>
    </w:p>
    <w:p w14:paraId="4A8E50A4" w14:textId="7EFA8E33" w:rsidR="00301880" w:rsidRPr="00730E4F" w:rsidRDefault="00301880" w:rsidP="00301880">
      <w:pPr>
        <w:pStyle w:val="BodyText"/>
      </w:pPr>
      <w:r w:rsidRPr="00301880">
        <w:rPr>
          <w:b/>
          <w:color w:val="B5582D" w:themeColor="accent4"/>
        </w:rPr>
        <w:t>Recommendation</w:t>
      </w:r>
      <w:r w:rsidR="00CD0ADF">
        <w:rPr>
          <w:b/>
          <w:color w:val="B5582D" w:themeColor="accent4"/>
        </w:rPr>
        <w:t xml:space="preserve"> 3</w:t>
      </w:r>
      <w:r w:rsidRPr="00301880">
        <w:rPr>
          <w:b/>
          <w:color w:val="B5582D" w:themeColor="accent4"/>
        </w:rPr>
        <w:t xml:space="preserve">: </w:t>
      </w:r>
      <w:r w:rsidRPr="00730E4F">
        <w:t>That DFAT simplifies and streamlines ASAs by shifting to a Tasking Note implementation arrangement</w:t>
      </w:r>
      <w:r w:rsidR="00633C85">
        <w:t xml:space="preserve"> upon renewal of the current ASAs. </w:t>
      </w:r>
      <w:r w:rsidRPr="00730E4F">
        <w:t xml:space="preserve">This will </w:t>
      </w:r>
      <w:r w:rsidR="00C14A71">
        <w:t>support more</w:t>
      </w:r>
      <w:r w:rsidR="00C14A71" w:rsidRPr="00730E4F">
        <w:t xml:space="preserve"> </w:t>
      </w:r>
      <w:r w:rsidRPr="00730E4F">
        <w:t xml:space="preserve">agile and flexible implementation processes and provide room for revisions of activities as scope and context change. </w:t>
      </w:r>
    </w:p>
    <w:p w14:paraId="50B88E20" w14:textId="7D91D79F" w:rsidR="00301880" w:rsidRPr="00730E4F" w:rsidRDefault="00301880" w:rsidP="00301880">
      <w:pPr>
        <w:pStyle w:val="BodyText"/>
      </w:pPr>
      <w:r w:rsidRPr="00301880">
        <w:rPr>
          <w:b/>
          <w:color w:val="B5582D" w:themeColor="accent4"/>
        </w:rPr>
        <w:t xml:space="preserve">Recommendation </w:t>
      </w:r>
      <w:r w:rsidR="00CD0ADF">
        <w:rPr>
          <w:b/>
          <w:color w:val="B5582D" w:themeColor="accent4"/>
        </w:rPr>
        <w:t>4</w:t>
      </w:r>
      <w:r w:rsidRPr="00301880">
        <w:rPr>
          <w:b/>
          <w:color w:val="B5582D" w:themeColor="accent4"/>
        </w:rPr>
        <w:t xml:space="preserve">: </w:t>
      </w:r>
      <w:r w:rsidRPr="00730E4F">
        <w:t>That DFAT reduces the scope for progress reporting of the ASAs from quarterly reports to bi-annual reports to lessen the reporting burden on stretched GoPNG agencies and TSSP2. The 6-monthly reports should track implementation progress. By reducing some of the reporting requirements</w:t>
      </w:r>
      <w:r w:rsidR="002271FF">
        <w:t>,</w:t>
      </w:r>
      <w:r w:rsidRPr="00730E4F">
        <w:t xml:space="preserve"> agencies can focus on implementing their activities to minimise underspends.</w:t>
      </w:r>
    </w:p>
    <w:p w14:paraId="533146B4" w14:textId="1AB41065" w:rsidR="00301880" w:rsidRPr="00730E4F" w:rsidRDefault="00301880" w:rsidP="00301880">
      <w:pPr>
        <w:pStyle w:val="BodyText"/>
      </w:pPr>
      <w:r w:rsidRPr="00301880">
        <w:rPr>
          <w:b/>
          <w:color w:val="B5582D" w:themeColor="accent4"/>
        </w:rPr>
        <w:t xml:space="preserve">Recommendation </w:t>
      </w:r>
      <w:r w:rsidR="00CD0ADF">
        <w:rPr>
          <w:b/>
          <w:color w:val="B5582D" w:themeColor="accent4"/>
        </w:rPr>
        <w:t>5</w:t>
      </w:r>
      <w:r w:rsidRPr="00301880">
        <w:rPr>
          <w:b/>
          <w:color w:val="B5582D" w:themeColor="accent4"/>
        </w:rPr>
        <w:t xml:space="preserve">: </w:t>
      </w:r>
      <w:r w:rsidRPr="00730E4F">
        <w:t xml:space="preserve">That both DFAT and GoPNG agencies strengthen outcomes and results reporting frameworks to enhance measuring progress beyond activities implemented. Results frameworks and approaches could be embedded within individual ASAs / Tasking Notes or can be part of the overarching Partnership framework that measures different partnership arrangements between Australia and PNG as a whole. This is an opportunity to evidence outcomes achieved and enhance the visibility of the gains made by the Partnerships. </w:t>
      </w:r>
    </w:p>
    <w:p w14:paraId="184307D0" w14:textId="6E97609B" w:rsidR="00585468" w:rsidRDefault="00301880" w:rsidP="00301880">
      <w:pPr>
        <w:pStyle w:val="BodyText"/>
      </w:pPr>
      <w:r w:rsidRPr="00301880">
        <w:rPr>
          <w:b/>
          <w:color w:val="B5582D" w:themeColor="accent4"/>
        </w:rPr>
        <w:t xml:space="preserve">Recommendation </w:t>
      </w:r>
      <w:r w:rsidR="00CD0ADF">
        <w:rPr>
          <w:b/>
          <w:color w:val="B5582D" w:themeColor="accent4"/>
        </w:rPr>
        <w:t>6</w:t>
      </w:r>
      <w:r w:rsidRPr="00301880">
        <w:rPr>
          <w:b/>
          <w:color w:val="B5582D" w:themeColor="accent4"/>
        </w:rPr>
        <w:t xml:space="preserve">: </w:t>
      </w:r>
      <w:r w:rsidRPr="00730E4F">
        <w:t xml:space="preserve">For future capacity development efforts within the Partnership, the TSSP2 Capacity Development Framework provides a blueprint for engagement. An analysis of agency implementation status of the capacity development activities outlined in the Framework that needs further support is a good start on how to build and sustain capabilities within the transport sector in PNG. </w:t>
      </w:r>
    </w:p>
    <w:p w14:paraId="4E6E23E8" w14:textId="77777777" w:rsidR="00301880" w:rsidRPr="001D0884" w:rsidRDefault="00301880" w:rsidP="00301880">
      <w:pPr>
        <w:pStyle w:val="BodyText"/>
      </w:pPr>
      <w:r w:rsidRPr="00301880">
        <w:rPr>
          <w:b/>
          <w:color w:val="B5582D" w:themeColor="accent4"/>
        </w:rPr>
        <w:lastRenderedPageBreak/>
        <w:t xml:space="preserve">Recommendation </w:t>
      </w:r>
      <w:r w:rsidR="00CD0ADF">
        <w:rPr>
          <w:b/>
          <w:color w:val="B5582D" w:themeColor="accent4"/>
        </w:rPr>
        <w:t>7</w:t>
      </w:r>
      <w:r w:rsidRPr="00301880">
        <w:rPr>
          <w:b/>
          <w:color w:val="B5582D" w:themeColor="accent4"/>
        </w:rPr>
        <w:t xml:space="preserve">: </w:t>
      </w:r>
      <w:bookmarkStart w:id="19" w:name="_Hlk96357037"/>
      <w:r w:rsidR="005A74AD" w:rsidRPr="005A74AD">
        <w:t>The recommendation from the 2020</w:t>
      </w:r>
      <w:r w:rsidR="00402E59">
        <w:t xml:space="preserve"> </w:t>
      </w:r>
      <w:r w:rsidR="005A74AD" w:rsidRPr="005A74AD">
        <w:t>Review</w:t>
      </w:r>
      <w:r w:rsidR="00402E59">
        <w:t xml:space="preserve"> of the IPP</w:t>
      </w:r>
      <w:r w:rsidR="005A74AD" w:rsidRPr="005A74AD">
        <w:t xml:space="preserve"> to transfer the DITRDC </w:t>
      </w:r>
      <w:r w:rsidR="00C932BA" w:rsidRPr="005A74AD">
        <w:t>Infrastructure advisors</w:t>
      </w:r>
      <w:r w:rsidR="005A74AD" w:rsidRPr="005A74AD">
        <w:t xml:space="preserve"> from the IPP to bilateral sector </w:t>
      </w:r>
      <w:r w:rsidR="00072534">
        <w:t>p</w:t>
      </w:r>
      <w:r w:rsidR="005A74AD" w:rsidRPr="005A74AD">
        <w:t>rogram</w:t>
      </w:r>
      <w:r w:rsidR="00072534">
        <w:t>, TSSP,</w:t>
      </w:r>
      <w:r w:rsidR="005A74AD" w:rsidRPr="005A74AD">
        <w:t xml:space="preserve"> by mid-2022 </w:t>
      </w:r>
      <w:r w:rsidR="003F1162">
        <w:t>is welcome</w:t>
      </w:r>
      <w:r w:rsidR="005C5877">
        <w:t>, noting there will need to be</w:t>
      </w:r>
      <w:r w:rsidRPr="001D0884">
        <w:t xml:space="preserve"> clear funding and reporting lines</w:t>
      </w:r>
      <w:r w:rsidR="00994D34">
        <w:t xml:space="preserve">. It is envisaged that the </w:t>
      </w:r>
      <w:r w:rsidR="005C5877">
        <w:t xml:space="preserve">advisor </w:t>
      </w:r>
      <w:r w:rsidR="00994D34">
        <w:t xml:space="preserve">will report to </w:t>
      </w:r>
      <w:r w:rsidR="00760B4C">
        <w:t xml:space="preserve">both DFAT and </w:t>
      </w:r>
      <w:r w:rsidR="00743F71">
        <w:t>DITRDC</w:t>
      </w:r>
      <w:r w:rsidR="00247ED4">
        <w:t xml:space="preserve">. DFAT and DITRDC should </w:t>
      </w:r>
      <w:r w:rsidR="00D909B0">
        <w:t xml:space="preserve">therefore </w:t>
      </w:r>
      <w:r w:rsidR="000D4FE0">
        <w:t>collaborate on defining</w:t>
      </w:r>
      <w:r w:rsidR="00D909B0">
        <w:t xml:space="preserve"> and </w:t>
      </w:r>
      <w:r w:rsidR="00AD5084">
        <w:t>shaping the</w:t>
      </w:r>
      <w:r w:rsidR="000D4FE0">
        <w:t xml:space="preserve"> function and scope of the role</w:t>
      </w:r>
      <w:r w:rsidR="00AD5084">
        <w:t xml:space="preserve"> </w:t>
      </w:r>
      <w:r w:rsidR="002B4D16">
        <w:t>(</w:t>
      </w:r>
      <w:r w:rsidR="002B4D16" w:rsidRPr="002B4D16">
        <w:t>in consultation with DoT and TSSP</w:t>
      </w:r>
      <w:r w:rsidR="00844331" w:rsidRPr="002B4D16">
        <w:t>2)</w:t>
      </w:r>
      <w:r w:rsidR="002B4D16">
        <w:t xml:space="preserve"> </w:t>
      </w:r>
      <w:r w:rsidR="00AD5084">
        <w:t>to</w:t>
      </w:r>
      <w:r w:rsidRPr="001D0884">
        <w:t xml:space="preserve"> enhance clarity of mandates and </w:t>
      </w:r>
      <w:r w:rsidR="005C5877">
        <w:t>improved</w:t>
      </w:r>
      <w:r w:rsidR="005C5877" w:rsidRPr="001D0884">
        <w:t xml:space="preserve"> </w:t>
      </w:r>
      <w:r w:rsidRPr="001D0884">
        <w:t>and informed collaboration.</w:t>
      </w:r>
      <w:r w:rsidR="00322C9F">
        <w:t xml:space="preserve"> </w:t>
      </w:r>
      <w:r w:rsidR="00474B61">
        <w:t>Overall, the advisor should retain the</w:t>
      </w:r>
      <w:r w:rsidR="00AC444C">
        <w:t xml:space="preserve">ir DITRDC </w:t>
      </w:r>
      <w:r w:rsidR="00072B56">
        <w:t>scope</w:t>
      </w:r>
      <w:r w:rsidR="007676D2">
        <w:t xml:space="preserve"> of work but collaborate with DFAT under TSSP</w:t>
      </w:r>
      <w:r w:rsidR="005C5877">
        <w:t>,</w:t>
      </w:r>
      <w:r w:rsidR="007676D2">
        <w:t xml:space="preserve"> and support </w:t>
      </w:r>
      <w:r w:rsidR="00DB231D">
        <w:t xml:space="preserve">program </w:t>
      </w:r>
      <w:r w:rsidR="007676D2">
        <w:t>implementation of TSSP</w:t>
      </w:r>
      <w:r w:rsidR="00DB231D">
        <w:t>2</w:t>
      </w:r>
      <w:r w:rsidR="007676D2">
        <w:t xml:space="preserve"> </w:t>
      </w:r>
      <w:r w:rsidR="00072B56">
        <w:t>through closer working relationships with the managing contractor.</w:t>
      </w:r>
    </w:p>
    <w:bookmarkEnd w:id="19"/>
    <w:p w14:paraId="4C36E3B0" w14:textId="288F0209" w:rsidR="00956274" w:rsidRDefault="00301880" w:rsidP="00301880">
      <w:pPr>
        <w:pStyle w:val="BodyText"/>
      </w:pPr>
      <w:r w:rsidRPr="00301880">
        <w:rPr>
          <w:b/>
          <w:color w:val="B5582D" w:themeColor="accent4"/>
        </w:rPr>
        <w:t xml:space="preserve">Recommendation </w:t>
      </w:r>
      <w:r w:rsidR="00CD0ADF">
        <w:rPr>
          <w:b/>
          <w:color w:val="B5582D" w:themeColor="accent4"/>
        </w:rPr>
        <w:t>8</w:t>
      </w:r>
      <w:r w:rsidRPr="00301880">
        <w:rPr>
          <w:b/>
          <w:color w:val="B5582D" w:themeColor="accent4"/>
        </w:rPr>
        <w:t xml:space="preserve">: </w:t>
      </w:r>
      <w:r w:rsidRPr="001D0884">
        <w:t>That DFAT</w:t>
      </w:r>
      <w:r w:rsidR="00743F71">
        <w:t xml:space="preserve"> and </w:t>
      </w:r>
      <w:r w:rsidR="0018547B">
        <w:t>DITRDC</w:t>
      </w:r>
      <w:r w:rsidR="00265F4F">
        <w:t xml:space="preserve"> </w:t>
      </w:r>
      <w:r w:rsidR="00082161">
        <w:t>in defin</w:t>
      </w:r>
      <w:r w:rsidR="00265F4F">
        <w:t xml:space="preserve">ing and </w:t>
      </w:r>
      <w:r w:rsidR="00613507">
        <w:t xml:space="preserve">shaping </w:t>
      </w:r>
      <w:r w:rsidR="00265F4F">
        <w:t>the</w:t>
      </w:r>
      <w:r w:rsidR="0018547B">
        <w:t xml:space="preserve"> </w:t>
      </w:r>
      <w:r w:rsidRPr="001D0884">
        <w:t xml:space="preserve">scope and mandate of the IPP technical advisors </w:t>
      </w:r>
      <w:r w:rsidR="00E00E49">
        <w:t xml:space="preserve">moving </w:t>
      </w:r>
      <w:r w:rsidR="00C52D4E">
        <w:t>to</w:t>
      </w:r>
      <w:r w:rsidR="005C5877">
        <w:t xml:space="preserve"> the bilateral sector program, </w:t>
      </w:r>
      <w:r w:rsidR="005571AC" w:rsidRPr="001D0884">
        <w:t>TSSP</w:t>
      </w:r>
      <w:r w:rsidR="005C5877">
        <w:t>,</w:t>
      </w:r>
      <w:r w:rsidR="0018547B" w:rsidRPr="0018547B">
        <w:t xml:space="preserve"> </w:t>
      </w:r>
      <w:r w:rsidR="0009103C">
        <w:t>should explore</w:t>
      </w:r>
      <w:r w:rsidR="001F1F81">
        <w:t xml:space="preserve"> other roles that the advisor could </w:t>
      </w:r>
      <w:r w:rsidR="00E00E49">
        <w:t>undertake</w:t>
      </w:r>
      <w:r w:rsidR="0009103C">
        <w:t xml:space="preserve"> </w:t>
      </w:r>
      <w:r w:rsidR="0018547B" w:rsidRPr="0018547B">
        <w:t>beyond infrastructure policy advice</w:t>
      </w:r>
      <w:r w:rsidR="00425714">
        <w:t xml:space="preserve"> in PNG</w:t>
      </w:r>
      <w:r w:rsidR="00334DE5">
        <w:t xml:space="preserve">. </w:t>
      </w:r>
      <w:r w:rsidR="00425714">
        <w:t>For instance, t</w:t>
      </w:r>
      <w:r w:rsidR="00334DE5">
        <w:t xml:space="preserve">he advisor could </w:t>
      </w:r>
      <w:r w:rsidR="00077768">
        <w:t>also act as</w:t>
      </w:r>
      <w:r w:rsidR="004B24E5">
        <w:t xml:space="preserve"> a</w:t>
      </w:r>
      <w:r w:rsidR="001E1F44">
        <w:t xml:space="preserve">n </w:t>
      </w:r>
      <w:r w:rsidR="0017311F">
        <w:t>intermediary between</w:t>
      </w:r>
      <w:r w:rsidR="004B24E5">
        <w:t xml:space="preserve"> Australia</w:t>
      </w:r>
      <w:r w:rsidR="00E7239D">
        <w:t>n and the GoPNG transport agencies</w:t>
      </w:r>
      <w:r w:rsidR="0017311F">
        <w:t xml:space="preserve"> and</w:t>
      </w:r>
      <w:r w:rsidR="00E7239D">
        <w:t xml:space="preserve"> </w:t>
      </w:r>
      <w:r w:rsidRPr="001D0884">
        <w:t>provide coordination</w:t>
      </w:r>
      <w:r w:rsidR="00077768">
        <w:t xml:space="preserve"> support for</w:t>
      </w:r>
      <w:r w:rsidR="00956274">
        <w:t xml:space="preserve"> the Partnership</w:t>
      </w:r>
      <w:r w:rsidR="0017311F">
        <w:t xml:space="preserve">. Also, </w:t>
      </w:r>
      <w:r w:rsidR="001C2711">
        <w:t>the</w:t>
      </w:r>
      <w:r w:rsidR="00745317">
        <w:t xml:space="preserve"> advisor could</w:t>
      </w:r>
      <w:r w:rsidR="00137DE1">
        <w:t xml:space="preserve"> support DFAT with developing the</w:t>
      </w:r>
      <w:r w:rsidRPr="001D0884">
        <w:t xml:space="preserve"> Australia-PNG transport sector </w:t>
      </w:r>
      <w:r w:rsidR="00C472FA" w:rsidRPr="001D0884">
        <w:t>strategy and</w:t>
      </w:r>
      <w:r w:rsidR="00956274">
        <w:t xml:space="preserve"> provide</w:t>
      </w:r>
      <w:r w:rsidR="00956274" w:rsidRPr="00956274">
        <w:t xml:space="preserve"> technical assistance</w:t>
      </w:r>
      <w:r w:rsidR="00A924D4">
        <w:t xml:space="preserve"> to</w:t>
      </w:r>
      <w:r w:rsidR="0097612B">
        <w:t xml:space="preserve"> Do</w:t>
      </w:r>
      <w:r w:rsidR="00137DE1">
        <w:t>T in relation to its</w:t>
      </w:r>
      <w:r w:rsidR="0097612B">
        <w:t xml:space="preserve"> </w:t>
      </w:r>
      <w:r w:rsidR="00956274" w:rsidRPr="00956274">
        <w:t>regional aspirations on enhancing transport coordination, collaboration and knowledge sharing in the Pacific.</w:t>
      </w:r>
    </w:p>
    <w:p w14:paraId="508E1B47" w14:textId="77777777" w:rsidR="00EC11CB" w:rsidRDefault="00EC11CB" w:rsidP="00301880">
      <w:pPr>
        <w:pStyle w:val="BodyText"/>
        <w:rPr>
          <w:b/>
          <w:color w:val="B5582D" w:themeColor="accent4"/>
        </w:rPr>
      </w:pPr>
    </w:p>
    <w:p w14:paraId="406CB59D" w14:textId="77777777" w:rsidR="00EC11CB" w:rsidRDefault="00EC11CB" w:rsidP="00301880">
      <w:pPr>
        <w:pStyle w:val="BodyText"/>
        <w:rPr>
          <w:b/>
          <w:color w:val="B5582D" w:themeColor="accent4"/>
        </w:rPr>
      </w:pPr>
    </w:p>
    <w:p w14:paraId="41720B19" w14:textId="77777777" w:rsidR="00EC11CB" w:rsidRDefault="00EC11CB" w:rsidP="00301880">
      <w:pPr>
        <w:pStyle w:val="BodyText"/>
        <w:rPr>
          <w:b/>
          <w:color w:val="B5582D" w:themeColor="accent4"/>
        </w:rPr>
      </w:pPr>
    </w:p>
    <w:p w14:paraId="2E0FA5D3" w14:textId="77777777" w:rsidR="00EC11CB" w:rsidRDefault="00EC11CB" w:rsidP="00301880">
      <w:pPr>
        <w:pStyle w:val="BodyText"/>
        <w:rPr>
          <w:b/>
          <w:color w:val="B5582D" w:themeColor="accent4"/>
        </w:rPr>
      </w:pPr>
    </w:p>
    <w:p w14:paraId="64D22839" w14:textId="77777777" w:rsidR="00EC11CB" w:rsidRDefault="00EC11CB" w:rsidP="00301880">
      <w:pPr>
        <w:pStyle w:val="BodyText"/>
        <w:rPr>
          <w:b/>
          <w:color w:val="B5582D" w:themeColor="accent4"/>
        </w:rPr>
      </w:pPr>
    </w:p>
    <w:p w14:paraId="47D28253" w14:textId="77777777" w:rsidR="00EC11CB" w:rsidRDefault="00EC11CB" w:rsidP="00301880">
      <w:pPr>
        <w:pStyle w:val="BodyText"/>
        <w:rPr>
          <w:b/>
          <w:color w:val="B5582D" w:themeColor="accent4"/>
        </w:rPr>
      </w:pPr>
    </w:p>
    <w:p w14:paraId="7F8903CE" w14:textId="77777777" w:rsidR="00EC11CB" w:rsidRDefault="00EC11CB" w:rsidP="00301880">
      <w:pPr>
        <w:pStyle w:val="BodyText"/>
        <w:rPr>
          <w:b/>
          <w:color w:val="B5582D" w:themeColor="accent4"/>
        </w:rPr>
      </w:pPr>
    </w:p>
    <w:p w14:paraId="03F9AE59" w14:textId="77777777" w:rsidR="00EC11CB" w:rsidRDefault="00EC11CB" w:rsidP="00301880">
      <w:pPr>
        <w:pStyle w:val="BodyText"/>
        <w:rPr>
          <w:b/>
          <w:color w:val="B5582D" w:themeColor="accent4"/>
        </w:rPr>
      </w:pPr>
    </w:p>
    <w:p w14:paraId="193FC550" w14:textId="77777777" w:rsidR="00EC11CB" w:rsidRDefault="00EC11CB" w:rsidP="00301880">
      <w:pPr>
        <w:pStyle w:val="BodyText"/>
        <w:rPr>
          <w:b/>
          <w:color w:val="B5582D" w:themeColor="accent4"/>
        </w:rPr>
      </w:pPr>
    </w:p>
    <w:p w14:paraId="7F3502E1" w14:textId="77777777" w:rsidR="00EC11CB" w:rsidRDefault="00EC11CB" w:rsidP="00301880">
      <w:pPr>
        <w:pStyle w:val="BodyText"/>
        <w:rPr>
          <w:b/>
          <w:color w:val="B5582D" w:themeColor="accent4"/>
        </w:rPr>
      </w:pPr>
    </w:p>
    <w:p w14:paraId="6BA299EA" w14:textId="77777777" w:rsidR="00EC11CB" w:rsidRDefault="00EC11CB" w:rsidP="00301880">
      <w:pPr>
        <w:pStyle w:val="BodyText"/>
        <w:rPr>
          <w:b/>
          <w:color w:val="B5582D" w:themeColor="accent4"/>
        </w:rPr>
      </w:pPr>
    </w:p>
    <w:p w14:paraId="4EB98517" w14:textId="77777777" w:rsidR="00EC11CB" w:rsidRDefault="00EC11CB" w:rsidP="00301880">
      <w:pPr>
        <w:pStyle w:val="BodyText"/>
        <w:rPr>
          <w:b/>
          <w:color w:val="B5582D" w:themeColor="accent4"/>
        </w:rPr>
      </w:pPr>
    </w:p>
    <w:p w14:paraId="5EB1E6DC" w14:textId="77777777" w:rsidR="00EC11CB" w:rsidRDefault="00EC11CB" w:rsidP="00301880">
      <w:pPr>
        <w:pStyle w:val="BodyText"/>
        <w:rPr>
          <w:b/>
          <w:color w:val="B5582D" w:themeColor="accent4"/>
        </w:rPr>
      </w:pPr>
    </w:p>
    <w:p w14:paraId="12A3E9C4" w14:textId="77777777" w:rsidR="00EC11CB" w:rsidRDefault="00EC11CB" w:rsidP="00301880">
      <w:pPr>
        <w:pStyle w:val="BodyText"/>
        <w:rPr>
          <w:b/>
          <w:color w:val="B5582D" w:themeColor="accent4"/>
        </w:rPr>
      </w:pPr>
    </w:p>
    <w:p w14:paraId="3417884A" w14:textId="77777777" w:rsidR="00EC11CB" w:rsidRDefault="00EC11CB" w:rsidP="00301880">
      <w:pPr>
        <w:pStyle w:val="BodyText"/>
        <w:rPr>
          <w:b/>
          <w:color w:val="B5582D" w:themeColor="accent4"/>
        </w:rPr>
      </w:pPr>
    </w:p>
    <w:p w14:paraId="3E3164D2" w14:textId="77777777" w:rsidR="00EC11CB" w:rsidRDefault="00EC11CB" w:rsidP="00301880">
      <w:pPr>
        <w:pStyle w:val="BodyText"/>
        <w:rPr>
          <w:b/>
          <w:color w:val="B5582D" w:themeColor="accent4"/>
        </w:rPr>
      </w:pPr>
    </w:p>
    <w:p w14:paraId="73A5CC2B" w14:textId="77777777" w:rsidR="00EC11CB" w:rsidRDefault="00EC11CB" w:rsidP="00301880">
      <w:pPr>
        <w:pStyle w:val="BodyText"/>
        <w:rPr>
          <w:b/>
          <w:color w:val="B5582D" w:themeColor="accent4"/>
        </w:rPr>
      </w:pPr>
    </w:p>
    <w:p w14:paraId="3CDA08AE" w14:textId="77777777" w:rsidR="00EC11CB" w:rsidRDefault="00EC11CB" w:rsidP="00301880">
      <w:pPr>
        <w:pStyle w:val="BodyText"/>
        <w:rPr>
          <w:b/>
          <w:color w:val="B5582D" w:themeColor="accent4"/>
        </w:rPr>
      </w:pPr>
    </w:p>
    <w:p w14:paraId="735169BB" w14:textId="77777777" w:rsidR="00EC11CB" w:rsidRDefault="00EC11CB" w:rsidP="00301880">
      <w:pPr>
        <w:pStyle w:val="BodyText"/>
        <w:rPr>
          <w:b/>
          <w:color w:val="B5582D" w:themeColor="accent4"/>
        </w:rPr>
      </w:pPr>
    </w:p>
    <w:p w14:paraId="0D4D83E1" w14:textId="77777777" w:rsidR="00EC11CB" w:rsidRDefault="00EC11CB" w:rsidP="00301880">
      <w:pPr>
        <w:pStyle w:val="BodyText"/>
        <w:rPr>
          <w:b/>
          <w:color w:val="B5582D" w:themeColor="accent4"/>
        </w:rPr>
      </w:pPr>
    </w:p>
    <w:p w14:paraId="49DC4D54" w14:textId="77777777" w:rsidR="00EC11CB" w:rsidRDefault="00EC11CB" w:rsidP="00301880">
      <w:pPr>
        <w:pStyle w:val="BodyText"/>
        <w:rPr>
          <w:b/>
          <w:color w:val="B5582D" w:themeColor="accent4"/>
        </w:rPr>
      </w:pPr>
    </w:p>
    <w:p w14:paraId="0FA6614C" w14:textId="3A5D7720" w:rsidR="007E0180" w:rsidRDefault="00301880" w:rsidP="00301880">
      <w:pPr>
        <w:pStyle w:val="BodyText"/>
      </w:pPr>
      <w:r w:rsidRPr="00301880">
        <w:rPr>
          <w:b/>
          <w:color w:val="B5582D" w:themeColor="accent4"/>
        </w:rPr>
        <w:t xml:space="preserve">Recommendation </w:t>
      </w:r>
      <w:r w:rsidR="00CD0ADF">
        <w:rPr>
          <w:b/>
          <w:color w:val="B5582D" w:themeColor="accent4"/>
        </w:rPr>
        <w:t>9</w:t>
      </w:r>
      <w:r w:rsidRPr="00301880">
        <w:rPr>
          <w:b/>
          <w:color w:val="B5582D" w:themeColor="accent4"/>
        </w:rPr>
        <w:t xml:space="preserve">: </w:t>
      </w:r>
      <w:r w:rsidRPr="001D0884">
        <w:t>As COVID-19 travel restrictions ease, DFAT, DITRDC</w:t>
      </w:r>
      <w:r w:rsidR="00171AC0">
        <w:t>, TSSP2</w:t>
      </w:r>
      <w:r w:rsidRPr="001D0884">
        <w:t xml:space="preserve"> and other Australian </w:t>
      </w:r>
      <w:r w:rsidR="0093655E">
        <w:t xml:space="preserve">counterpart </w:t>
      </w:r>
      <w:r w:rsidR="0093655E" w:rsidRPr="001D0884">
        <w:t>agencies</w:t>
      </w:r>
      <w:r w:rsidRPr="001D0884">
        <w:t xml:space="preserve"> should prioritise having advisors on the ground to support GoPNG agencies in-country to </w:t>
      </w:r>
      <w:r w:rsidR="00C14A71">
        <w:t xml:space="preserve">help </w:t>
      </w:r>
      <w:r w:rsidRPr="001D0884">
        <w:t>ensure effective partnerships and progress in line with agreed outcomes and objectives.</w:t>
      </w:r>
      <w:r w:rsidR="00171AC0">
        <w:t xml:space="preserve"> </w:t>
      </w:r>
      <w:r w:rsidR="00745317">
        <w:t>Further</w:t>
      </w:r>
      <w:r w:rsidR="00171AC0">
        <w:t xml:space="preserve">, the </w:t>
      </w:r>
      <w:r w:rsidR="00171AC0" w:rsidRPr="00171AC0">
        <w:t xml:space="preserve">short-term </w:t>
      </w:r>
      <w:r w:rsidR="008C6DE7">
        <w:t xml:space="preserve">work </w:t>
      </w:r>
      <w:r w:rsidR="00171AC0" w:rsidRPr="00171AC0">
        <w:t xml:space="preserve">exchanges </w:t>
      </w:r>
      <w:r w:rsidR="007E0180">
        <w:t xml:space="preserve">and placements </w:t>
      </w:r>
      <w:r w:rsidR="008C6DE7">
        <w:t xml:space="preserve">where GoPNG agencies </w:t>
      </w:r>
      <w:r w:rsidR="007E0180">
        <w:t>visit and work on a short-term</w:t>
      </w:r>
      <w:r w:rsidR="00745317">
        <w:t xml:space="preserve"> basis</w:t>
      </w:r>
      <w:r w:rsidR="007E0180">
        <w:t xml:space="preserve"> with </w:t>
      </w:r>
      <w:r w:rsidR="003F79A4">
        <w:t xml:space="preserve">their </w:t>
      </w:r>
      <w:r w:rsidR="003F79A4" w:rsidRPr="00171AC0">
        <w:t>counterpart</w:t>
      </w:r>
      <w:r w:rsidR="00171AC0" w:rsidRPr="00171AC0">
        <w:t xml:space="preserve"> agencies </w:t>
      </w:r>
      <w:r w:rsidR="007E0180">
        <w:t>in Australia should</w:t>
      </w:r>
      <w:r w:rsidR="00745317">
        <w:t xml:space="preserve"> also</w:t>
      </w:r>
      <w:r w:rsidR="007E0180">
        <w:t xml:space="preserve"> be prioritised</w:t>
      </w:r>
      <w:r w:rsidR="003F79A4">
        <w:t xml:space="preserve">. </w:t>
      </w:r>
    </w:p>
    <w:p w14:paraId="17689A37" w14:textId="3D16771D" w:rsidR="00301880" w:rsidRPr="00730E4F" w:rsidRDefault="00301880" w:rsidP="002A38DF">
      <w:pPr>
        <w:pStyle w:val="BodyText"/>
      </w:pPr>
      <w:r w:rsidRPr="00301880">
        <w:rPr>
          <w:b/>
          <w:color w:val="B5582D" w:themeColor="accent4"/>
        </w:rPr>
        <w:t xml:space="preserve">Recommendation </w:t>
      </w:r>
      <w:r w:rsidR="00CD0ADF">
        <w:rPr>
          <w:b/>
          <w:color w:val="B5582D" w:themeColor="accent4"/>
        </w:rPr>
        <w:t>10</w:t>
      </w:r>
      <w:r w:rsidRPr="00301880">
        <w:rPr>
          <w:b/>
          <w:color w:val="B5582D" w:themeColor="accent4"/>
        </w:rPr>
        <w:t xml:space="preserve">: </w:t>
      </w:r>
      <w:r w:rsidRPr="00730E4F">
        <w:t>That DFAT, DITRDC and GoPNG counterpart agencies further embed structures and mechanisms that facilitate good whole of agency relationships</w:t>
      </w:r>
      <w:r w:rsidR="004D783C">
        <w:t xml:space="preserve"> building and management.</w:t>
      </w:r>
      <w:r w:rsidR="00105D64">
        <w:t xml:space="preserve"> This could be enhanced through</w:t>
      </w:r>
      <w:r w:rsidR="00D10541">
        <w:t xml:space="preserve"> senior leadership commitment</w:t>
      </w:r>
      <w:r w:rsidR="00836F3A">
        <w:t xml:space="preserve"> as well as clear</w:t>
      </w:r>
      <w:r w:rsidR="00D10541">
        <w:t xml:space="preserve"> articulation of the </w:t>
      </w:r>
      <w:r w:rsidR="00795EDE">
        <w:t>roles and responsibilities</w:t>
      </w:r>
      <w:r w:rsidR="00E17383">
        <w:t xml:space="preserve"> within the partnerships</w:t>
      </w:r>
      <w:r w:rsidR="00745317">
        <w:t xml:space="preserve"> </w:t>
      </w:r>
      <w:r w:rsidR="002A38DF">
        <w:t xml:space="preserve">and </w:t>
      </w:r>
      <w:r w:rsidR="00836F3A">
        <w:t xml:space="preserve">a </w:t>
      </w:r>
      <w:r w:rsidR="002A38DF">
        <w:t>common</w:t>
      </w:r>
      <w:r w:rsidR="00836F3A">
        <w:t xml:space="preserve"> </w:t>
      </w:r>
      <w:r w:rsidR="002A38DF">
        <w:t xml:space="preserve">vision of how the </w:t>
      </w:r>
      <w:r w:rsidR="00836F3A">
        <w:t>p</w:t>
      </w:r>
      <w:r w:rsidR="002A38DF">
        <w:t>artnershi</w:t>
      </w:r>
      <w:r w:rsidR="00836F3A">
        <w:t>ps</w:t>
      </w:r>
      <w:r w:rsidR="002A38DF">
        <w:t xml:space="preserve"> should work</w:t>
      </w:r>
      <w:r w:rsidR="008A4469">
        <w:t xml:space="preserve"> in practice.</w:t>
      </w:r>
      <w:r w:rsidR="00105D64">
        <w:t xml:space="preserve"> </w:t>
      </w:r>
    </w:p>
    <w:p w14:paraId="428E517B" w14:textId="50FA67EE" w:rsidR="00301880" w:rsidRPr="004F58B5" w:rsidRDefault="00301880" w:rsidP="004F58B5">
      <w:pPr>
        <w:pStyle w:val="BodyText"/>
        <w:sectPr w:rsidR="00301880" w:rsidRPr="004F58B5" w:rsidSect="008B095E">
          <w:headerReference w:type="default" r:id="rId12"/>
          <w:footerReference w:type="default" r:id="rId13"/>
          <w:type w:val="continuous"/>
          <w:pgSz w:w="11906" w:h="16838" w:code="9"/>
          <w:pgMar w:top="1134" w:right="1134" w:bottom="1134" w:left="1134" w:header="737" w:footer="567" w:gutter="0"/>
          <w:pgNumType w:start="1"/>
          <w:cols w:num="2" w:space="227"/>
          <w:docGrid w:linePitch="360"/>
        </w:sectPr>
      </w:pPr>
      <w:r w:rsidRPr="00301880">
        <w:rPr>
          <w:b/>
          <w:color w:val="B5582D" w:themeColor="accent4"/>
        </w:rPr>
        <w:t>Recommendation 1</w:t>
      </w:r>
      <w:r w:rsidR="00CD0ADF">
        <w:rPr>
          <w:b/>
          <w:color w:val="B5582D" w:themeColor="accent4"/>
        </w:rPr>
        <w:t>1</w:t>
      </w:r>
      <w:r w:rsidRPr="00301880">
        <w:rPr>
          <w:b/>
          <w:color w:val="B5582D" w:themeColor="accent4"/>
        </w:rPr>
        <w:t xml:space="preserve">: </w:t>
      </w:r>
      <w:r w:rsidRPr="00730E4F">
        <w:t xml:space="preserve">The ASAs funding model is reviewed </w:t>
      </w:r>
      <w:r w:rsidR="008A4469">
        <w:t xml:space="preserve">upon renewal </w:t>
      </w:r>
      <w:r w:rsidRPr="00730E4F">
        <w:t>to address the challenges associated with GoPNG transport agencies pre-financing activities</w:t>
      </w:r>
      <w:r w:rsidR="004F58B5">
        <w:t xml:space="preserve"> with constrained budgets.</w:t>
      </w:r>
    </w:p>
    <w:p w14:paraId="6A5D6938" w14:textId="03C87D28" w:rsidR="00301880" w:rsidRPr="002A4B62" w:rsidRDefault="00301880" w:rsidP="002A4B62">
      <w:pPr>
        <w:tabs>
          <w:tab w:val="left" w:pos="2180"/>
        </w:tabs>
        <w:rPr>
          <w:b/>
          <w:color w:val="003478"/>
          <w:sz w:val="32"/>
          <w:szCs w:val="32"/>
        </w:rPr>
      </w:pPr>
      <w:r w:rsidRPr="00395767">
        <w:rPr>
          <w:b/>
          <w:color w:val="007C89" w:themeColor="accent1"/>
          <w:sz w:val="32"/>
          <w:szCs w:val="32"/>
        </w:rPr>
        <w:lastRenderedPageBreak/>
        <w:t>Contents</w:t>
      </w:r>
    </w:p>
    <w:p w14:paraId="51BB5A62" w14:textId="2BA7363F" w:rsidR="002D7E4A" w:rsidRDefault="008B095E">
      <w:pPr>
        <w:pStyle w:val="TOC1"/>
        <w:rPr>
          <w:rFonts w:asciiTheme="minorHAnsi" w:eastAsiaTheme="minorEastAsia" w:hAnsiTheme="minorHAnsi" w:cstheme="minorBidi"/>
          <w:b w:val="0"/>
          <w:bCs w:val="0"/>
          <w:caps w:val="0"/>
          <w:color w:val="auto"/>
          <w:spacing w:val="0"/>
          <w:sz w:val="22"/>
          <w:szCs w:val="22"/>
        </w:rPr>
      </w:pPr>
      <w:r>
        <w:fldChar w:fldCharType="begin"/>
      </w:r>
      <w:r>
        <w:instrText xml:space="preserve"> TOC \o "1-3" \h \z \u </w:instrText>
      </w:r>
      <w:r>
        <w:fldChar w:fldCharType="separate"/>
      </w:r>
      <w:hyperlink w:anchor="_Toc98526253" w:history="1">
        <w:r w:rsidR="002D7E4A" w:rsidRPr="00727130">
          <w:rPr>
            <w:rStyle w:val="Hyperlink"/>
          </w:rPr>
          <w:t>Executive Summary</w:t>
        </w:r>
        <w:r w:rsidR="002D7E4A">
          <w:rPr>
            <w:webHidden/>
          </w:rPr>
          <w:tab/>
        </w:r>
        <w:r w:rsidR="002D7E4A">
          <w:rPr>
            <w:webHidden/>
          </w:rPr>
          <w:fldChar w:fldCharType="begin"/>
        </w:r>
        <w:r w:rsidR="002D7E4A">
          <w:rPr>
            <w:webHidden/>
          </w:rPr>
          <w:instrText xml:space="preserve"> PAGEREF _Toc98526253 \h </w:instrText>
        </w:r>
        <w:r w:rsidR="002D7E4A">
          <w:rPr>
            <w:webHidden/>
          </w:rPr>
        </w:r>
        <w:r w:rsidR="002D7E4A">
          <w:rPr>
            <w:webHidden/>
          </w:rPr>
          <w:fldChar w:fldCharType="separate"/>
        </w:r>
        <w:r w:rsidR="002F2BC9">
          <w:rPr>
            <w:webHidden/>
          </w:rPr>
          <w:t>1</w:t>
        </w:r>
        <w:r w:rsidR="002D7E4A">
          <w:rPr>
            <w:webHidden/>
          </w:rPr>
          <w:fldChar w:fldCharType="end"/>
        </w:r>
      </w:hyperlink>
    </w:p>
    <w:p w14:paraId="1B873A78" w14:textId="72CBBEE8" w:rsidR="002D7E4A" w:rsidRDefault="00255FE8">
      <w:pPr>
        <w:pStyle w:val="TOC2"/>
        <w:rPr>
          <w:rFonts w:asciiTheme="minorHAnsi" w:eastAsiaTheme="minorEastAsia" w:hAnsiTheme="minorHAnsi" w:cstheme="minorBidi"/>
          <w:color w:val="auto"/>
          <w:spacing w:val="0"/>
          <w:sz w:val="22"/>
          <w:szCs w:val="22"/>
          <w:lang w:val="en-US" w:eastAsia="en-US"/>
        </w:rPr>
      </w:pPr>
      <w:hyperlink w:anchor="_Toc98526254" w:history="1">
        <w:r w:rsidR="002D7E4A" w:rsidRPr="00727130">
          <w:rPr>
            <w:rStyle w:val="Hyperlink"/>
          </w:rPr>
          <w:t>Introduction</w:t>
        </w:r>
        <w:r w:rsidR="002D7E4A">
          <w:rPr>
            <w:webHidden/>
          </w:rPr>
          <w:tab/>
        </w:r>
        <w:r w:rsidR="002D7E4A">
          <w:rPr>
            <w:webHidden/>
          </w:rPr>
          <w:fldChar w:fldCharType="begin"/>
        </w:r>
        <w:r w:rsidR="002D7E4A">
          <w:rPr>
            <w:webHidden/>
          </w:rPr>
          <w:instrText xml:space="preserve"> PAGEREF _Toc98526254 \h </w:instrText>
        </w:r>
        <w:r w:rsidR="002D7E4A">
          <w:rPr>
            <w:webHidden/>
          </w:rPr>
        </w:r>
        <w:r w:rsidR="002D7E4A">
          <w:rPr>
            <w:webHidden/>
          </w:rPr>
          <w:fldChar w:fldCharType="separate"/>
        </w:r>
        <w:r w:rsidR="002F2BC9">
          <w:rPr>
            <w:webHidden/>
          </w:rPr>
          <w:t>1</w:t>
        </w:r>
        <w:r w:rsidR="002D7E4A">
          <w:rPr>
            <w:webHidden/>
          </w:rPr>
          <w:fldChar w:fldCharType="end"/>
        </w:r>
      </w:hyperlink>
    </w:p>
    <w:p w14:paraId="2DDAD168" w14:textId="6142EF34" w:rsidR="002D7E4A" w:rsidRDefault="00255FE8">
      <w:pPr>
        <w:pStyle w:val="TOC2"/>
        <w:rPr>
          <w:rFonts w:asciiTheme="minorHAnsi" w:eastAsiaTheme="minorEastAsia" w:hAnsiTheme="minorHAnsi" w:cstheme="minorBidi"/>
          <w:color w:val="auto"/>
          <w:spacing w:val="0"/>
          <w:sz w:val="22"/>
          <w:szCs w:val="22"/>
          <w:lang w:val="en-US" w:eastAsia="en-US"/>
        </w:rPr>
      </w:pPr>
      <w:hyperlink w:anchor="_Toc98526255" w:history="1">
        <w:r w:rsidR="002D7E4A" w:rsidRPr="00727130">
          <w:rPr>
            <w:rStyle w:val="Hyperlink"/>
          </w:rPr>
          <w:t>Background and context</w:t>
        </w:r>
        <w:r w:rsidR="002D7E4A">
          <w:rPr>
            <w:webHidden/>
          </w:rPr>
          <w:tab/>
        </w:r>
        <w:r w:rsidR="002D7E4A">
          <w:rPr>
            <w:webHidden/>
          </w:rPr>
          <w:fldChar w:fldCharType="begin"/>
        </w:r>
        <w:r w:rsidR="002D7E4A">
          <w:rPr>
            <w:webHidden/>
          </w:rPr>
          <w:instrText xml:space="preserve"> PAGEREF _Toc98526255 \h </w:instrText>
        </w:r>
        <w:r w:rsidR="002D7E4A">
          <w:rPr>
            <w:webHidden/>
          </w:rPr>
        </w:r>
        <w:r w:rsidR="002D7E4A">
          <w:rPr>
            <w:webHidden/>
          </w:rPr>
          <w:fldChar w:fldCharType="separate"/>
        </w:r>
        <w:r w:rsidR="002F2BC9">
          <w:rPr>
            <w:webHidden/>
          </w:rPr>
          <w:t>1</w:t>
        </w:r>
        <w:r w:rsidR="002D7E4A">
          <w:rPr>
            <w:webHidden/>
          </w:rPr>
          <w:fldChar w:fldCharType="end"/>
        </w:r>
      </w:hyperlink>
    </w:p>
    <w:p w14:paraId="3EA04505" w14:textId="1E8A89DF" w:rsidR="002D7E4A" w:rsidRDefault="00255FE8">
      <w:pPr>
        <w:pStyle w:val="TOC2"/>
        <w:rPr>
          <w:rFonts w:asciiTheme="minorHAnsi" w:eastAsiaTheme="minorEastAsia" w:hAnsiTheme="minorHAnsi" w:cstheme="minorBidi"/>
          <w:color w:val="auto"/>
          <w:spacing w:val="0"/>
          <w:sz w:val="22"/>
          <w:szCs w:val="22"/>
          <w:lang w:val="en-US" w:eastAsia="en-US"/>
        </w:rPr>
      </w:pPr>
      <w:hyperlink w:anchor="_Toc98526256" w:history="1">
        <w:r w:rsidR="002D7E4A" w:rsidRPr="00727130">
          <w:rPr>
            <w:rStyle w:val="Hyperlink"/>
          </w:rPr>
          <w:t>Review purpose and scope</w:t>
        </w:r>
        <w:r w:rsidR="002D7E4A">
          <w:rPr>
            <w:webHidden/>
          </w:rPr>
          <w:tab/>
        </w:r>
        <w:r w:rsidR="002D7E4A">
          <w:rPr>
            <w:webHidden/>
          </w:rPr>
          <w:fldChar w:fldCharType="begin"/>
        </w:r>
        <w:r w:rsidR="002D7E4A">
          <w:rPr>
            <w:webHidden/>
          </w:rPr>
          <w:instrText xml:space="preserve"> PAGEREF _Toc98526256 \h </w:instrText>
        </w:r>
        <w:r w:rsidR="002D7E4A">
          <w:rPr>
            <w:webHidden/>
          </w:rPr>
        </w:r>
        <w:r w:rsidR="002D7E4A">
          <w:rPr>
            <w:webHidden/>
          </w:rPr>
          <w:fldChar w:fldCharType="separate"/>
        </w:r>
        <w:r w:rsidR="002F2BC9">
          <w:rPr>
            <w:webHidden/>
          </w:rPr>
          <w:t>1</w:t>
        </w:r>
        <w:r w:rsidR="002D7E4A">
          <w:rPr>
            <w:webHidden/>
          </w:rPr>
          <w:fldChar w:fldCharType="end"/>
        </w:r>
      </w:hyperlink>
    </w:p>
    <w:p w14:paraId="25849A2C" w14:textId="4D1C5A20" w:rsidR="002D7E4A" w:rsidRDefault="00255FE8">
      <w:pPr>
        <w:pStyle w:val="TOC2"/>
        <w:rPr>
          <w:rFonts w:asciiTheme="minorHAnsi" w:eastAsiaTheme="minorEastAsia" w:hAnsiTheme="minorHAnsi" w:cstheme="minorBidi"/>
          <w:color w:val="auto"/>
          <w:spacing w:val="0"/>
          <w:sz w:val="22"/>
          <w:szCs w:val="22"/>
          <w:lang w:val="en-US" w:eastAsia="en-US"/>
        </w:rPr>
      </w:pPr>
      <w:hyperlink w:anchor="_Toc98526257" w:history="1">
        <w:r w:rsidR="002D7E4A" w:rsidRPr="00727130">
          <w:rPr>
            <w:rStyle w:val="Hyperlink"/>
          </w:rPr>
          <w:t>Key evaluation questions and objectives</w:t>
        </w:r>
        <w:r w:rsidR="002D7E4A">
          <w:rPr>
            <w:webHidden/>
          </w:rPr>
          <w:tab/>
        </w:r>
        <w:r w:rsidR="002D7E4A">
          <w:rPr>
            <w:webHidden/>
          </w:rPr>
          <w:fldChar w:fldCharType="begin"/>
        </w:r>
        <w:r w:rsidR="002D7E4A">
          <w:rPr>
            <w:webHidden/>
          </w:rPr>
          <w:instrText xml:space="preserve"> PAGEREF _Toc98526257 \h </w:instrText>
        </w:r>
        <w:r w:rsidR="002D7E4A">
          <w:rPr>
            <w:webHidden/>
          </w:rPr>
        </w:r>
        <w:r w:rsidR="002D7E4A">
          <w:rPr>
            <w:webHidden/>
          </w:rPr>
          <w:fldChar w:fldCharType="separate"/>
        </w:r>
        <w:r w:rsidR="002F2BC9">
          <w:rPr>
            <w:webHidden/>
          </w:rPr>
          <w:t>2</w:t>
        </w:r>
        <w:r w:rsidR="002D7E4A">
          <w:rPr>
            <w:webHidden/>
          </w:rPr>
          <w:fldChar w:fldCharType="end"/>
        </w:r>
      </w:hyperlink>
    </w:p>
    <w:p w14:paraId="6B1B5D27" w14:textId="2D1974A8" w:rsidR="002D7E4A" w:rsidRDefault="00255FE8">
      <w:pPr>
        <w:pStyle w:val="TOC2"/>
        <w:rPr>
          <w:rFonts w:asciiTheme="minorHAnsi" w:eastAsiaTheme="minorEastAsia" w:hAnsiTheme="minorHAnsi" w:cstheme="minorBidi"/>
          <w:color w:val="auto"/>
          <w:spacing w:val="0"/>
          <w:sz w:val="22"/>
          <w:szCs w:val="22"/>
          <w:lang w:val="en-US" w:eastAsia="en-US"/>
        </w:rPr>
      </w:pPr>
      <w:hyperlink w:anchor="_Toc98526258" w:history="1">
        <w:r w:rsidR="002D7E4A" w:rsidRPr="00727130">
          <w:rPr>
            <w:rStyle w:val="Hyperlink"/>
          </w:rPr>
          <w:t>Summary of findings</w:t>
        </w:r>
        <w:r w:rsidR="002D7E4A">
          <w:rPr>
            <w:webHidden/>
          </w:rPr>
          <w:tab/>
        </w:r>
        <w:r w:rsidR="002D7E4A">
          <w:rPr>
            <w:webHidden/>
          </w:rPr>
          <w:fldChar w:fldCharType="begin"/>
        </w:r>
        <w:r w:rsidR="002D7E4A">
          <w:rPr>
            <w:webHidden/>
          </w:rPr>
          <w:instrText xml:space="preserve"> PAGEREF _Toc98526258 \h </w:instrText>
        </w:r>
        <w:r w:rsidR="002D7E4A">
          <w:rPr>
            <w:webHidden/>
          </w:rPr>
        </w:r>
        <w:r w:rsidR="002D7E4A">
          <w:rPr>
            <w:webHidden/>
          </w:rPr>
          <w:fldChar w:fldCharType="separate"/>
        </w:r>
        <w:r w:rsidR="002F2BC9">
          <w:rPr>
            <w:webHidden/>
          </w:rPr>
          <w:t>2</w:t>
        </w:r>
        <w:r w:rsidR="002D7E4A">
          <w:rPr>
            <w:webHidden/>
          </w:rPr>
          <w:fldChar w:fldCharType="end"/>
        </w:r>
      </w:hyperlink>
    </w:p>
    <w:p w14:paraId="13D192D6" w14:textId="5A017B86" w:rsidR="002D7E4A" w:rsidRDefault="00255FE8">
      <w:pPr>
        <w:pStyle w:val="TOC2"/>
        <w:rPr>
          <w:rFonts w:asciiTheme="minorHAnsi" w:eastAsiaTheme="minorEastAsia" w:hAnsiTheme="minorHAnsi" w:cstheme="minorBidi"/>
          <w:color w:val="auto"/>
          <w:spacing w:val="0"/>
          <w:sz w:val="22"/>
          <w:szCs w:val="22"/>
          <w:lang w:val="en-US" w:eastAsia="en-US"/>
        </w:rPr>
      </w:pPr>
      <w:hyperlink w:anchor="_Toc98526259" w:history="1">
        <w:r w:rsidR="002D7E4A" w:rsidRPr="00727130">
          <w:rPr>
            <w:rStyle w:val="Hyperlink"/>
          </w:rPr>
          <w:t>Summary of recommendations</w:t>
        </w:r>
        <w:r w:rsidR="002D7E4A">
          <w:rPr>
            <w:webHidden/>
          </w:rPr>
          <w:tab/>
        </w:r>
        <w:r w:rsidR="002D7E4A">
          <w:rPr>
            <w:webHidden/>
          </w:rPr>
          <w:fldChar w:fldCharType="begin"/>
        </w:r>
        <w:r w:rsidR="002D7E4A">
          <w:rPr>
            <w:webHidden/>
          </w:rPr>
          <w:instrText xml:space="preserve"> PAGEREF _Toc98526259 \h </w:instrText>
        </w:r>
        <w:r w:rsidR="002D7E4A">
          <w:rPr>
            <w:webHidden/>
          </w:rPr>
        </w:r>
        <w:r w:rsidR="002D7E4A">
          <w:rPr>
            <w:webHidden/>
          </w:rPr>
          <w:fldChar w:fldCharType="separate"/>
        </w:r>
        <w:r w:rsidR="002F2BC9">
          <w:rPr>
            <w:webHidden/>
          </w:rPr>
          <w:t>3</w:t>
        </w:r>
        <w:r w:rsidR="002D7E4A">
          <w:rPr>
            <w:webHidden/>
          </w:rPr>
          <w:fldChar w:fldCharType="end"/>
        </w:r>
      </w:hyperlink>
    </w:p>
    <w:p w14:paraId="69FAE458" w14:textId="61106CBD" w:rsidR="002D7E4A" w:rsidRDefault="00255FE8">
      <w:pPr>
        <w:pStyle w:val="TOC1"/>
        <w:rPr>
          <w:rFonts w:asciiTheme="minorHAnsi" w:eastAsiaTheme="minorEastAsia" w:hAnsiTheme="minorHAnsi" w:cstheme="minorBidi"/>
          <w:b w:val="0"/>
          <w:bCs w:val="0"/>
          <w:caps w:val="0"/>
          <w:color w:val="auto"/>
          <w:spacing w:val="0"/>
          <w:sz w:val="22"/>
          <w:szCs w:val="22"/>
        </w:rPr>
      </w:pPr>
      <w:hyperlink w:anchor="_Toc98526260" w:history="1">
        <w:r w:rsidR="002D7E4A" w:rsidRPr="00727130">
          <w:rPr>
            <w:rStyle w:val="Hyperlink"/>
          </w:rPr>
          <w:t>Chapter 1: Overview of the Australia-PNG Government Transport Partnership</w:t>
        </w:r>
        <w:r w:rsidR="002D7E4A">
          <w:rPr>
            <w:webHidden/>
          </w:rPr>
          <w:tab/>
        </w:r>
        <w:r w:rsidR="002D7E4A">
          <w:rPr>
            <w:webHidden/>
          </w:rPr>
          <w:fldChar w:fldCharType="begin"/>
        </w:r>
        <w:r w:rsidR="002D7E4A">
          <w:rPr>
            <w:webHidden/>
          </w:rPr>
          <w:instrText xml:space="preserve"> PAGEREF _Toc98526260 \h </w:instrText>
        </w:r>
        <w:r w:rsidR="002D7E4A">
          <w:rPr>
            <w:webHidden/>
          </w:rPr>
        </w:r>
        <w:r w:rsidR="002D7E4A">
          <w:rPr>
            <w:webHidden/>
          </w:rPr>
          <w:fldChar w:fldCharType="separate"/>
        </w:r>
        <w:r w:rsidR="002F2BC9">
          <w:rPr>
            <w:webHidden/>
          </w:rPr>
          <w:t>7</w:t>
        </w:r>
        <w:r w:rsidR="002D7E4A">
          <w:rPr>
            <w:webHidden/>
          </w:rPr>
          <w:fldChar w:fldCharType="end"/>
        </w:r>
      </w:hyperlink>
    </w:p>
    <w:p w14:paraId="5917048B" w14:textId="7FD62150" w:rsidR="002D7E4A" w:rsidRDefault="00255FE8">
      <w:pPr>
        <w:pStyle w:val="TOC2"/>
        <w:tabs>
          <w:tab w:val="left" w:pos="600"/>
        </w:tabs>
        <w:rPr>
          <w:rFonts w:asciiTheme="minorHAnsi" w:eastAsiaTheme="minorEastAsia" w:hAnsiTheme="minorHAnsi" w:cstheme="minorBidi"/>
          <w:color w:val="auto"/>
          <w:spacing w:val="0"/>
          <w:sz w:val="22"/>
          <w:szCs w:val="22"/>
          <w:lang w:val="en-US" w:eastAsia="en-US"/>
        </w:rPr>
      </w:pPr>
      <w:hyperlink w:anchor="_Toc98526261" w:history="1">
        <w:r w:rsidR="002D7E4A" w:rsidRPr="00727130">
          <w:rPr>
            <w:rStyle w:val="Hyperlink"/>
          </w:rPr>
          <w:t>1.1</w:t>
        </w:r>
        <w:r w:rsidR="002D7E4A">
          <w:rPr>
            <w:rFonts w:asciiTheme="minorHAnsi" w:eastAsiaTheme="minorEastAsia" w:hAnsiTheme="minorHAnsi" w:cstheme="minorBidi"/>
            <w:color w:val="auto"/>
            <w:spacing w:val="0"/>
            <w:sz w:val="22"/>
            <w:szCs w:val="22"/>
            <w:lang w:val="en-US" w:eastAsia="en-US"/>
          </w:rPr>
          <w:tab/>
        </w:r>
        <w:r w:rsidR="002D7E4A" w:rsidRPr="00727130">
          <w:rPr>
            <w:rStyle w:val="Hyperlink"/>
          </w:rPr>
          <w:t>Types of partnerships</w:t>
        </w:r>
        <w:r w:rsidR="002D7E4A">
          <w:rPr>
            <w:webHidden/>
          </w:rPr>
          <w:tab/>
        </w:r>
        <w:r w:rsidR="002D7E4A">
          <w:rPr>
            <w:webHidden/>
          </w:rPr>
          <w:fldChar w:fldCharType="begin"/>
        </w:r>
        <w:r w:rsidR="002D7E4A">
          <w:rPr>
            <w:webHidden/>
          </w:rPr>
          <w:instrText xml:space="preserve"> PAGEREF _Toc98526261 \h </w:instrText>
        </w:r>
        <w:r w:rsidR="002D7E4A">
          <w:rPr>
            <w:webHidden/>
          </w:rPr>
        </w:r>
        <w:r w:rsidR="002D7E4A">
          <w:rPr>
            <w:webHidden/>
          </w:rPr>
          <w:fldChar w:fldCharType="separate"/>
        </w:r>
        <w:r w:rsidR="002F2BC9">
          <w:rPr>
            <w:webHidden/>
          </w:rPr>
          <w:t>7</w:t>
        </w:r>
        <w:r w:rsidR="002D7E4A">
          <w:rPr>
            <w:webHidden/>
          </w:rPr>
          <w:fldChar w:fldCharType="end"/>
        </w:r>
      </w:hyperlink>
    </w:p>
    <w:p w14:paraId="63163D02" w14:textId="3EE7E0FF" w:rsidR="002D7E4A" w:rsidRDefault="00255FE8">
      <w:pPr>
        <w:pStyle w:val="TOC1"/>
        <w:rPr>
          <w:rFonts w:asciiTheme="minorHAnsi" w:eastAsiaTheme="minorEastAsia" w:hAnsiTheme="minorHAnsi" w:cstheme="minorBidi"/>
          <w:b w:val="0"/>
          <w:bCs w:val="0"/>
          <w:caps w:val="0"/>
          <w:color w:val="auto"/>
          <w:spacing w:val="0"/>
          <w:sz w:val="22"/>
          <w:szCs w:val="22"/>
        </w:rPr>
      </w:pPr>
      <w:hyperlink w:anchor="_Toc98526262" w:history="1">
        <w:r w:rsidR="002D7E4A" w:rsidRPr="00727130">
          <w:rPr>
            <w:rStyle w:val="Hyperlink"/>
          </w:rPr>
          <w:t>Chapter 2: The Australia-PNG Government Transport Partnership in Practice</w:t>
        </w:r>
        <w:r w:rsidR="002D7E4A">
          <w:rPr>
            <w:webHidden/>
          </w:rPr>
          <w:tab/>
        </w:r>
        <w:r w:rsidR="002D7E4A">
          <w:rPr>
            <w:webHidden/>
          </w:rPr>
          <w:fldChar w:fldCharType="begin"/>
        </w:r>
        <w:r w:rsidR="002D7E4A">
          <w:rPr>
            <w:webHidden/>
          </w:rPr>
          <w:instrText xml:space="preserve"> PAGEREF _Toc98526262 \h </w:instrText>
        </w:r>
        <w:r w:rsidR="002D7E4A">
          <w:rPr>
            <w:webHidden/>
          </w:rPr>
        </w:r>
        <w:r w:rsidR="002D7E4A">
          <w:rPr>
            <w:webHidden/>
          </w:rPr>
          <w:fldChar w:fldCharType="separate"/>
        </w:r>
        <w:r w:rsidR="002F2BC9">
          <w:rPr>
            <w:webHidden/>
          </w:rPr>
          <w:t>10</w:t>
        </w:r>
        <w:r w:rsidR="002D7E4A">
          <w:rPr>
            <w:webHidden/>
          </w:rPr>
          <w:fldChar w:fldCharType="end"/>
        </w:r>
      </w:hyperlink>
    </w:p>
    <w:p w14:paraId="672F60DF" w14:textId="463B6154" w:rsidR="002D7E4A" w:rsidRDefault="00255FE8">
      <w:pPr>
        <w:pStyle w:val="TOC2"/>
        <w:tabs>
          <w:tab w:val="left" w:pos="600"/>
        </w:tabs>
        <w:rPr>
          <w:rFonts w:asciiTheme="minorHAnsi" w:eastAsiaTheme="minorEastAsia" w:hAnsiTheme="minorHAnsi" w:cstheme="minorBidi"/>
          <w:color w:val="auto"/>
          <w:spacing w:val="0"/>
          <w:sz w:val="22"/>
          <w:szCs w:val="22"/>
          <w:lang w:val="en-US" w:eastAsia="en-US"/>
        </w:rPr>
      </w:pPr>
      <w:hyperlink w:anchor="_Toc98526263" w:history="1">
        <w:r w:rsidR="002D7E4A" w:rsidRPr="00727130">
          <w:rPr>
            <w:rStyle w:val="Hyperlink"/>
          </w:rPr>
          <w:t>2.1</w:t>
        </w:r>
        <w:r w:rsidR="002D7E4A">
          <w:rPr>
            <w:rFonts w:asciiTheme="minorHAnsi" w:eastAsiaTheme="minorEastAsia" w:hAnsiTheme="minorHAnsi" w:cstheme="minorBidi"/>
            <w:color w:val="auto"/>
            <w:spacing w:val="0"/>
            <w:sz w:val="22"/>
            <w:szCs w:val="22"/>
            <w:lang w:val="en-US" w:eastAsia="en-US"/>
          </w:rPr>
          <w:tab/>
        </w:r>
        <w:r w:rsidR="002D7E4A" w:rsidRPr="00727130">
          <w:rPr>
            <w:rStyle w:val="Hyperlink"/>
          </w:rPr>
          <w:t>Key findings</w:t>
        </w:r>
        <w:r w:rsidR="002D7E4A">
          <w:rPr>
            <w:webHidden/>
          </w:rPr>
          <w:tab/>
        </w:r>
        <w:r w:rsidR="002D7E4A">
          <w:rPr>
            <w:webHidden/>
          </w:rPr>
          <w:fldChar w:fldCharType="begin"/>
        </w:r>
        <w:r w:rsidR="002D7E4A">
          <w:rPr>
            <w:webHidden/>
          </w:rPr>
          <w:instrText xml:space="preserve"> PAGEREF _Toc98526263 \h </w:instrText>
        </w:r>
        <w:r w:rsidR="002D7E4A">
          <w:rPr>
            <w:webHidden/>
          </w:rPr>
        </w:r>
        <w:r w:rsidR="002D7E4A">
          <w:rPr>
            <w:webHidden/>
          </w:rPr>
          <w:fldChar w:fldCharType="separate"/>
        </w:r>
        <w:r w:rsidR="002F2BC9">
          <w:rPr>
            <w:webHidden/>
          </w:rPr>
          <w:t>10</w:t>
        </w:r>
        <w:r w:rsidR="002D7E4A">
          <w:rPr>
            <w:webHidden/>
          </w:rPr>
          <w:fldChar w:fldCharType="end"/>
        </w:r>
      </w:hyperlink>
    </w:p>
    <w:p w14:paraId="1FA4417A" w14:textId="1300BB92" w:rsidR="002D7E4A" w:rsidRDefault="00255FE8">
      <w:pPr>
        <w:pStyle w:val="TOC2"/>
        <w:tabs>
          <w:tab w:val="left" w:pos="600"/>
        </w:tabs>
        <w:rPr>
          <w:rFonts w:asciiTheme="minorHAnsi" w:eastAsiaTheme="minorEastAsia" w:hAnsiTheme="minorHAnsi" w:cstheme="minorBidi"/>
          <w:color w:val="auto"/>
          <w:spacing w:val="0"/>
          <w:sz w:val="22"/>
          <w:szCs w:val="22"/>
          <w:lang w:val="en-US" w:eastAsia="en-US"/>
        </w:rPr>
      </w:pPr>
      <w:hyperlink w:anchor="_Toc98526264" w:history="1">
        <w:r w:rsidR="002D7E4A" w:rsidRPr="00727130">
          <w:rPr>
            <w:rStyle w:val="Hyperlink"/>
          </w:rPr>
          <w:t>2.2</w:t>
        </w:r>
        <w:r w:rsidR="002D7E4A">
          <w:rPr>
            <w:rFonts w:asciiTheme="minorHAnsi" w:eastAsiaTheme="minorEastAsia" w:hAnsiTheme="minorHAnsi" w:cstheme="minorBidi"/>
            <w:color w:val="auto"/>
            <w:spacing w:val="0"/>
            <w:sz w:val="22"/>
            <w:szCs w:val="22"/>
            <w:lang w:val="en-US" w:eastAsia="en-US"/>
          </w:rPr>
          <w:tab/>
        </w:r>
        <w:r w:rsidR="002D7E4A" w:rsidRPr="00727130">
          <w:rPr>
            <w:rStyle w:val="Hyperlink"/>
          </w:rPr>
          <w:t>Conclusions</w:t>
        </w:r>
        <w:r w:rsidR="002D7E4A">
          <w:rPr>
            <w:webHidden/>
          </w:rPr>
          <w:tab/>
        </w:r>
        <w:r w:rsidR="002D7E4A">
          <w:rPr>
            <w:webHidden/>
          </w:rPr>
          <w:fldChar w:fldCharType="begin"/>
        </w:r>
        <w:r w:rsidR="002D7E4A">
          <w:rPr>
            <w:webHidden/>
          </w:rPr>
          <w:instrText xml:space="preserve"> PAGEREF _Toc98526264 \h </w:instrText>
        </w:r>
        <w:r w:rsidR="002D7E4A">
          <w:rPr>
            <w:webHidden/>
          </w:rPr>
        </w:r>
        <w:r w:rsidR="002D7E4A">
          <w:rPr>
            <w:webHidden/>
          </w:rPr>
          <w:fldChar w:fldCharType="separate"/>
        </w:r>
        <w:r w:rsidR="002F2BC9">
          <w:rPr>
            <w:webHidden/>
          </w:rPr>
          <w:t>15</w:t>
        </w:r>
        <w:r w:rsidR="002D7E4A">
          <w:rPr>
            <w:webHidden/>
          </w:rPr>
          <w:fldChar w:fldCharType="end"/>
        </w:r>
      </w:hyperlink>
    </w:p>
    <w:p w14:paraId="7B709F76" w14:textId="1613108E" w:rsidR="002D7E4A" w:rsidRDefault="00255FE8">
      <w:pPr>
        <w:pStyle w:val="TOC2"/>
        <w:tabs>
          <w:tab w:val="left" w:pos="600"/>
        </w:tabs>
        <w:rPr>
          <w:rFonts w:asciiTheme="minorHAnsi" w:eastAsiaTheme="minorEastAsia" w:hAnsiTheme="minorHAnsi" w:cstheme="minorBidi"/>
          <w:color w:val="auto"/>
          <w:spacing w:val="0"/>
          <w:sz w:val="22"/>
          <w:szCs w:val="22"/>
          <w:lang w:val="en-US" w:eastAsia="en-US"/>
        </w:rPr>
      </w:pPr>
      <w:hyperlink w:anchor="_Toc98526265" w:history="1">
        <w:r w:rsidR="002D7E4A" w:rsidRPr="00727130">
          <w:rPr>
            <w:rStyle w:val="Hyperlink"/>
          </w:rPr>
          <w:t>2.3</w:t>
        </w:r>
        <w:r w:rsidR="002D7E4A">
          <w:rPr>
            <w:rFonts w:asciiTheme="minorHAnsi" w:eastAsiaTheme="minorEastAsia" w:hAnsiTheme="minorHAnsi" w:cstheme="minorBidi"/>
            <w:color w:val="auto"/>
            <w:spacing w:val="0"/>
            <w:sz w:val="22"/>
            <w:szCs w:val="22"/>
            <w:lang w:val="en-US" w:eastAsia="en-US"/>
          </w:rPr>
          <w:tab/>
        </w:r>
        <w:r w:rsidR="002D7E4A" w:rsidRPr="00727130">
          <w:rPr>
            <w:rStyle w:val="Hyperlink"/>
          </w:rPr>
          <w:t>Recommendations</w:t>
        </w:r>
        <w:r w:rsidR="002D7E4A">
          <w:rPr>
            <w:webHidden/>
          </w:rPr>
          <w:tab/>
        </w:r>
        <w:r w:rsidR="002D7E4A">
          <w:rPr>
            <w:webHidden/>
          </w:rPr>
          <w:fldChar w:fldCharType="begin"/>
        </w:r>
        <w:r w:rsidR="002D7E4A">
          <w:rPr>
            <w:webHidden/>
          </w:rPr>
          <w:instrText xml:space="preserve"> PAGEREF _Toc98526265 \h </w:instrText>
        </w:r>
        <w:r w:rsidR="002D7E4A">
          <w:rPr>
            <w:webHidden/>
          </w:rPr>
        </w:r>
        <w:r w:rsidR="002D7E4A">
          <w:rPr>
            <w:webHidden/>
          </w:rPr>
          <w:fldChar w:fldCharType="separate"/>
        </w:r>
        <w:r w:rsidR="002F2BC9">
          <w:rPr>
            <w:webHidden/>
          </w:rPr>
          <w:t>15</w:t>
        </w:r>
        <w:r w:rsidR="002D7E4A">
          <w:rPr>
            <w:webHidden/>
          </w:rPr>
          <w:fldChar w:fldCharType="end"/>
        </w:r>
      </w:hyperlink>
    </w:p>
    <w:p w14:paraId="2AA27046" w14:textId="5B709F77" w:rsidR="002D7E4A" w:rsidRDefault="00255FE8">
      <w:pPr>
        <w:pStyle w:val="TOC1"/>
        <w:rPr>
          <w:rFonts w:asciiTheme="minorHAnsi" w:eastAsiaTheme="minorEastAsia" w:hAnsiTheme="minorHAnsi" w:cstheme="minorBidi"/>
          <w:b w:val="0"/>
          <w:bCs w:val="0"/>
          <w:caps w:val="0"/>
          <w:color w:val="auto"/>
          <w:spacing w:val="0"/>
          <w:sz w:val="22"/>
          <w:szCs w:val="22"/>
        </w:rPr>
      </w:pPr>
      <w:hyperlink w:anchor="_Toc98526266" w:history="1">
        <w:r w:rsidR="002D7E4A" w:rsidRPr="00727130">
          <w:rPr>
            <w:rStyle w:val="Hyperlink"/>
          </w:rPr>
          <w:t>Chapter 3: Effective and Efficient Partnership</w:t>
        </w:r>
        <w:r w:rsidR="002D7E4A">
          <w:rPr>
            <w:webHidden/>
          </w:rPr>
          <w:tab/>
        </w:r>
        <w:r w:rsidR="002D7E4A">
          <w:rPr>
            <w:webHidden/>
          </w:rPr>
          <w:fldChar w:fldCharType="begin"/>
        </w:r>
        <w:r w:rsidR="002D7E4A">
          <w:rPr>
            <w:webHidden/>
          </w:rPr>
          <w:instrText xml:space="preserve"> PAGEREF _Toc98526266 \h </w:instrText>
        </w:r>
        <w:r w:rsidR="002D7E4A">
          <w:rPr>
            <w:webHidden/>
          </w:rPr>
        </w:r>
        <w:r w:rsidR="002D7E4A">
          <w:rPr>
            <w:webHidden/>
          </w:rPr>
          <w:fldChar w:fldCharType="separate"/>
        </w:r>
        <w:r w:rsidR="002F2BC9">
          <w:rPr>
            <w:webHidden/>
          </w:rPr>
          <w:t>15</w:t>
        </w:r>
        <w:r w:rsidR="002D7E4A">
          <w:rPr>
            <w:webHidden/>
          </w:rPr>
          <w:fldChar w:fldCharType="end"/>
        </w:r>
      </w:hyperlink>
    </w:p>
    <w:p w14:paraId="34B9F164" w14:textId="143B7702" w:rsidR="002D7E4A" w:rsidRDefault="00255FE8">
      <w:pPr>
        <w:pStyle w:val="TOC2"/>
        <w:tabs>
          <w:tab w:val="left" w:pos="600"/>
        </w:tabs>
        <w:rPr>
          <w:rFonts w:asciiTheme="minorHAnsi" w:eastAsiaTheme="minorEastAsia" w:hAnsiTheme="minorHAnsi" w:cstheme="minorBidi"/>
          <w:color w:val="auto"/>
          <w:spacing w:val="0"/>
          <w:sz w:val="22"/>
          <w:szCs w:val="22"/>
          <w:lang w:val="en-US" w:eastAsia="en-US"/>
        </w:rPr>
      </w:pPr>
      <w:hyperlink w:anchor="_Toc98526267" w:history="1">
        <w:r w:rsidR="002D7E4A" w:rsidRPr="00727130">
          <w:rPr>
            <w:rStyle w:val="Hyperlink"/>
          </w:rPr>
          <w:t>3.1</w:t>
        </w:r>
        <w:r w:rsidR="002D7E4A">
          <w:rPr>
            <w:rFonts w:asciiTheme="minorHAnsi" w:eastAsiaTheme="minorEastAsia" w:hAnsiTheme="minorHAnsi" w:cstheme="minorBidi"/>
            <w:color w:val="auto"/>
            <w:spacing w:val="0"/>
            <w:sz w:val="22"/>
            <w:szCs w:val="22"/>
            <w:lang w:val="en-US" w:eastAsia="en-US"/>
          </w:rPr>
          <w:tab/>
        </w:r>
        <w:r w:rsidR="002D7E4A" w:rsidRPr="00727130">
          <w:rPr>
            <w:rStyle w:val="Hyperlink"/>
          </w:rPr>
          <w:t>Key findings</w:t>
        </w:r>
        <w:r w:rsidR="002D7E4A">
          <w:rPr>
            <w:webHidden/>
          </w:rPr>
          <w:tab/>
        </w:r>
        <w:r w:rsidR="002D7E4A">
          <w:rPr>
            <w:webHidden/>
          </w:rPr>
          <w:fldChar w:fldCharType="begin"/>
        </w:r>
        <w:r w:rsidR="002D7E4A">
          <w:rPr>
            <w:webHidden/>
          </w:rPr>
          <w:instrText xml:space="preserve"> PAGEREF _Toc98526267 \h </w:instrText>
        </w:r>
        <w:r w:rsidR="002D7E4A">
          <w:rPr>
            <w:webHidden/>
          </w:rPr>
        </w:r>
        <w:r w:rsidR="002D7E4A">
          <w:rPr>
            <w:webHidden/>
          </w:rPr>
          <w:fldChar w:fldCharType="separate"/>
        </w:r>
        <w:r w:rsidR="002F2BC9">
          <w:rPr>
            <w:webHidden/>
          </w:rPr>
          <w:t>15</w:t>
        </w:r>
        <w:r w:rsidR="002D7E4A">
          <w:rPr>
            <w:webHidden/>
          </w:rPr>
          <w:fldChar w:fldCharType="end"/>
        </w:r>
      </w:hyperlink>
    </w:p>
    <w:p w14:paraId="5C6E5980" w14:textId="71083829" w:rsidR="002D7E4A" w:rsidRDefault="00255FE8">
      <w:pPr>
        <w:pStyle w:val="TOC2"/>
        <w:tabs>
          <w:tab w:val="left" w:pos="600"/>
        </w:tabs>
        <w:rPr>
          <w:rFonts w:asciiTheme="minorHAnsi" w:eastAsiaTheme="minorEastAsia" w:hAnsiTheme="minorHAnsi" w:cstheme="minorBidi"/>
          <w:color w:val="auto"/>
          <w:spacing w:val="0"/>
          <w:sz w:val="22"/>
          <w:szCs w:val="22"/>
          <w:lang w:val="en-US" w:eastAsia="en-US"/>
        </w:rPr>
      </w:pPr>
      <w:hyperlink w:anchor="_Toc98526268" w:history="1">
        <w:r w:rsidR="002D7E4A" w:rsidRPr="00727130">
          <w:rPr>
            <w:rStyle w:val="Hyperlink"/>
          </w:rPr>
          <w:t>3.2</w:t>
        </w:r>
        <w:r w:rsidR="002D7E4A">
          <w:rPr>
            <w:rFonts w:asciiTheme="minorHAnsi" w:eastAsiaTheme="minorEastAsia" w:hAnsiTheme="minorHAnsi" w:cstheme="minorBidi"/>
            <w:color w:val="auto"/>
            <w:spacing w:val="0"/>
            <w:sz w:val="22"/>
            <w:szCs w:val="22"/>
            <w:lang w:val="en-US" w:eastAsia="en-US"/>
          </w:rPr>
          <w:tab/>
        </w:r>
        <w:r w:rsidR="002D7E4A" w:rsidRPr="00727130">
          <w:rPr>
            <w:rStyle w:val="Hyperlink"/>
          </w:rPr>
          <w:t>Conclusions</w:t>
        </w:r>
        <w:r w:rsidR="002D7E4A">
          <w:rPr>
            <w:webHidden/>
          </w:rPr>
          <w:tab/>
        </w:r>
        <w:r w:rsidR="002D7E4A">
          <w:rPr>
            <w:webHidden/>
          </w:rPr>
          <w:fldChar w:fldCharType="begin"/>
        </w:r>
        <w:r w:rsidR="002D7E4A">
          <w:rPr>
            <w:webHidden/>
          </w:rPr>
          <w:instrText xml:space="preserve"> PAGEREF _Toc98526268 \h </w:instrText>
        </w:r>
        <w:r w:rsidR="002D7E4A">
          <w:rPr>
            <w:webHidden/>
          </w:rPr>
        </w:r>
        <w:r w:rsidR="002D7E4A">
          <w:rPr>
            <w:webHidden/>
          </w:rPr>
          <w:fldChar w:fldCharType="separate"/>
        </w:r>
        <w:r w:rsidR="002F2BC9">
          <w:rPr>
            <w:webHidden/>
          </w:rPr>
          <w:t>16</w:t>
        </w:r>
        <w:r w:rsidR="002D7E4A">
          <w:rPr>
            <w:webHidden/>
          </w:rPr>
          <w:fldChar w:fldCharType="end"/>
        </w:r>
      </w:hyperlink>
    </w:p>
    <w:p w14:paraId="106C6AFB" w14:textId="6097021B" w:rsidR="002D7E4A" w:rsidRDefault="00255FE8">
      <w:pPr>
        <w:pStyle w:val="TOC2"/>
        <w:tabs>
          <w:tab w:val="left" w:pos="600"/>
        </w:tabs>
        <w:rPr>
          <w:rFonts w:asciiTheme="minorHAnsi" w:eastAsiaTheme="minorEastAsia" w:hAnsiTheme="minorHAnsi" w:cstheme="minorBidi"/>
          <w:color w:val="auto"/>
          <w:spacing w:val="0"/>
          <w:sz w:val="22"/>
          <w:szCs w:val="22"/>
          <w:lang w:val="en-US" w:eastAsia="en-US"/>
        </w:rPr>
      </w:pPr>
      <w:hyperlink w:anchor="_Toc98526269" w:history="1">
        <w:r w:rsidR="002D7E4A" w:rsidRPr="00727130">
          <w:rPr>
            <w:rStyle w:val="Hyperlink"/>
          </w:rPr>
          <w:t>3.3</w:t>
        </w:r>
        <w:r w:rsidR="002D7E4A">
          <w:rPr>
            <w:rFonts w:asciiTheme="minorHAnsi" w:eastAsiaTheme="minorEastAsia" w:hAnsiTheme="minorHAnsi" w:cstheme="minorBidi"/>
            <w:color w:val="auto"/>
            <w:spacing w:val="0"/>
            <w:sz w:val="22"/>
            <w:szCs w:val="22"/>
            <w:lang w:val="en-US" w:eastAsia="en-US"/>
          </w:rPr>
          <w:tab/>
        </w:r>
        <w:r w:rsidR="002D7E4A" w:rsidRPr="00727130">
          <w:rPr>
            <w:rStyle w:val="Hyperlink"/>
          </w:rPr>
          <w:t>Recommendations</w:t>
        </w:r>
        <w:r w:rsidR="002D7E4A">
          <w:rPr>
            <w:webHidden/>
          </w:rPr>
          <w:tab/>
        </w:r>
        <w:r w:rsidR="002D7E4A">
          <w:rPr>
            <w:webHidden/>
          </w:rPr>
          <w:fldChar w:fldCharType="begin"/>
        </w:r>
        <w:r w:rsidR="002D7E4A">
          <w:rPr>
            <w:webHidden/>
          </w:rPr>
          <w:instrText xml:space="preserve"> PAGEREF _Toc98526269 \h </w:instrText>
        </w:r>
        <w:r w:rsidR="002D7E4A">
          <w:rPr>
            <w:webHidden/>
          </w:rPr>
        </w:r>
        <w:r w:rsidR="002D7E4A">
          <w:rPr>
            <w:webHidden/>
          </w:rPr>
          <w:fldChar w:fldCharType="separate"/>
        </w:r>
        <w:r w:rsidR="002F2BC9">
          <w:rPr>
            <w:webHidden/>
          </w:rPr>
          <w:t>16</w:t>
        </w:r>
        <w:r w:rsidR="002D7E4A">
          <w:rPr>
            <w:webHidden/>
          </w:rPr>
          <w:fldChar w:fldCharType="end"/>
        </w:r>
      </w:hyperlink>
    </w:p>
    <w:p w14:paraId="2A50CCBE" w14:textId="43939201" w:rsidR="002D7E4A" w:rsidRDefault="00255FE8">
      <w:pPr>
        <w:pStyle w:val="TOC1"/>
        <w:rPr>
          <w:rFonts w:asciiTheme="minorHAnsi" w:eastAsiaTheme="minorEastAsia" w:hAnsiTheme="minorHAnsi" w:cstheme="minorBidi"/>
          <w:b w:val="0"/>
          <w:bCs w:val="0"/>
          <w:caps w:val="0"/>
          <w:color w:val="auto"/>
          <w:spacing w:val="0"/>
          <w:sz w:val="22"/>
          <w:szCs w:val="22"/>
        </w:rPr>
      </w:pPr>
      <w:hyperlink w:anchor="_Toc98526270" w:history="1">
        <w:r w:rsidR="002D7E4A" w:rsidRPr="00727130">
          <w:rPr>
            <w:rStyle w:val="Hyperlink"/>
          </w:rPr>
          <w:t>Chapter 4: Priorities and future roles for the Partnership</w:t>
        </w:r>
        <w:r w:rsidR="002D7E4A">
          <w:rPr>
            <w:webHidden/>
          </w:rPr>
          <w:tab/>
        </w:r>
        <w:r w:rsidR="002D7E4A">
          <w:rPr>
            <w:webHidden/>
          </w:rPr>
          <w:fldChar w:fldCharType="begin"/>
        </w:r>
        <w:r w:rsidR="002D7E4A">
          <w:rPr>
            <w:webHidden/>
          </w:rPr>
          <w:instrText xml:space="preserve"> PAGEREF _Toc98526270 \h </w:instrText>
        </w:r>
        <w:r w:rsidR="002D7E4A">
          <w:rPr>
            <w:webHidden/>
          </w:rPr>
        </w:r>
        <w:r w:rsidR="002D7E4A">
          <w:rPr>
            <w:webHidden/>
          </w:rPr>
          <w:fldChar w:fldCharType="separate"/>
        </w:r>
        <w:r w:rsidR="002F2BC9">
          <w:rPr>
            <w:webHidden/>
          </w:rPr>
          <w:t>16</w:t>
        </w:r>
        <w:r w:rsidR="002D7E4A">
          <w:rPr>
            <w:webHidden/>
          </w:rPr>
          <w:fldChar w:fldCharType="end"/>
        </w:r>
      </w:hyperlink>
    </w:p>
    <w:p w14:paraId="78CB5948" w14:textId="49AF3E81" w:rsidR="002D7E4A" w:rsidRDefault="00255FE8">
      <w:pPr>
        <w:pStyle w:val="TOC2"/>
        <w:tabs>
          <w:tab w:val="left" w:pos="600"/>
        </w:tabs>
        <w:rPr>
          <w:rFonts w:asciiTheme="minorHAnsi" w:eastAsiaTheme="minorEastAsia" w:hAnsiTheme="minorHAnsi" w:cstheme="minorBidi"/>
          <w:color w:val="auto"/>
          <w:spacing w:val="0"/>
          <w:sz w:val="22"/>
          <w:szCs w:val="22"/>
          <w:lang w:val="en-US" w:eastAsia="en-US"/>
        </w:rPr>
      </w:pPr>
      <w:hyperlink w:anchor="_Toc98526271" w:history="1">
        <w:r w:rsidR="002D7E4A" w:rsidRPr="00727130">
          <w:rPr>
            <w:rStyle w:val="Hyperlink"/>
          </w:rPr>
          <w:t>4.1</w:t>
        </w:r>
        <w:r w:rsidR="002D7E4A">
          <w:rPr>
            <w:rFonts w:asciiTheme="minorHAnsi" w:eastAsiaTheme="minorEastAsia" w:hAnsiTheme="minorHAnsi" w:cstheme="minorBidi"/>
            <w:color w:val="auto"/>
            <w:spacing w:val="0"/>
            <w:sz w:val="22"/>
            <w:szCs w:val="22"/>
            <w:lang w:val="en-US" w:eastAsia="en-US"/>
          </w:rPr>
          <w:tab/>
        </w:r>
        <w:r w:rsidR="002D7E4A" w:rsidRPr="00727130">
          <w:rPr>
            <w:rStyle w:val="Hyperlink"/>
          </w:rPr>
          <w:t>Key priorities and options for future considerations</w:t>
        </w:r>
        <w:r w:rsidR="002D7E4A">
          <w:rPr>
            <w:webHidden/>
          </w:rPr>
          <w:tab/>
        </w:r>
        <w:r w:rsidR="002D7E4A">
          <w:rPr>
            <w:webHidden/>
          </w:rPr>
          <w:fldChar w:fldCharType="begin"/>
        </w:r>
        <w:r w:rsidR="002D7E4A">
          <w:rPr>
            <w:webHidden/>
          </w:rPr>
          <w:instrText xml:space="preserve"> PAGEREF _Toc98526271 \h </w:instrText>
        </w:r>
        <w:r w:rsidR="002D7E4A">
          <w:rPr>
            <w:webHidden/>
          </w:rPr>
        </w:r>
        <w:r w:rsidR="002D7E4A">
          <w:rPr>
            <w:webHidden/>
          </w:rPr>
          <w:fldChar w:fldCharType="separate"/>
        </w:r>
        <w:r w:rsidR="002F2BC9">
          <w:rPr>
            <w:webHidden/>
          </w:rPr>
          <w:t>16</w:t>
        </w:r>
        <w:r w:rsidR="002D7E4A">
          <w:rPr>
            <w:webHidden/>
          </w:rPr>
          <w:fldChar w:fldCharType="end"/>
        </w:r>
      </w:hyperlink>
    </w:p>
    <w:p w14:paraId="2C2D0B34" w14:textId="3D09AC88" w:rsidR="002D7E4A" w:rsidRDefault="00255FE8">
      <w:pPr>
        <w:pStyle w:val="TOC1"/>
        <w:rPr>
          <w:rFonts w:asciiTheme="minorHAnsi" w:eastAsiaTheme="minorEastAsia" w:hAnsiTheme="minorHAnsi" w:cstheme="minorBidi"/>
          <w:b w:val="0"/>
          <w:bCs w:val="0"/>
          <w:caps w:val="0"/>
          <w:color w:val="auto"/>
          <w:spacing w:val="0"/>
          <w:sz w:val="22"/>
          <w:szCs w:val="22"/>
        </w:rPr>
      </w:pPr>
      <w:hyperlink w:anchor="_Toc98526272" w:history="1">
        <w:r w:rsidR="002D7E4A" w:rsidRPr="00727130">
          <w:rPr>
            <w:rStyle w:val="Hyperlink"/>
          </w:rPr>
          <w:t>Chapter 5: Overall conclusions</w:t>
        </w:r>
        <w:r w:rsidR="002D7E4A">
          <w:rPr>
            <w:webHidden/>
          </w:rPr>
          <w:tab/>
        </w:r>
        <w:r w:rsidR="002D7E4A">
          <w:rPr>
            <w:webHidden/>
          </w:rPr>
          <w:fldChar w:fldCharType="begin"/>
        </w:r>
        <w:r w:rsidR="002D7E4A">
          <w:rPr>
            <w:webHidden/>
          </w:rPr>
          <w:instrText xml:space="preserve"> PAGEREF _Toc98526272 \h </w:instrText>
        </w:r>
        <w:r w:rsidR="002D7E4A">
          <w:rPr>
            <w:webHidden/>
          </w:rPr>
        </w:r>
        <w:r w:rsidR="002D7E4A">
          <w:rPr>
            <w:webHidden/>
          </w:rPr>
          <w:fldChar w:fldCharType="separate"/>
        </w:r>
        <w:r w:rsidR="002F2BC9">
          <w:rPr>
            <w:webHidden/>
          </w:rPr>
          <w:t>18</w:t>
        </w:r>
        <w:r w:rsidR="002D7E4A">
          <w:rPr>
            <w:webHidden/>
          </w:rPr>
          <w:fldChar w:fldCharType="end"/>
        </w:r>
      </w:hyperlink>
    </w:p>
    <w:p w14:paraId="59DBA854" w14:textId="5713A108" w:rsidR="008B095E" w:rsidRDefault="008B095E" w:rsidP="00301880">
      <w:pPr>
        <w:tabs>
          <w:tab w:val="center" w:pos="4819"/>
        </w:tabs>
        <w:sectPr w:rsidR="008B095E" w:rsidSect="008B095E">
          <w:pgSz w:w="11906" w:h="16838" w:code="9"/>
          <w:pgMar w:top="1134" w:right="1134" w:bottom="1134" w:left="1134" w:header="737" w:footer="567" w:gutter="0"/>
          <w:cols w:space="227"/>
          <w:docGrid w:linePitch="360"/>
        </w:sectPr>
      </w:pPr>
      <w:r>
        <w:fldChar w:fldCharType="end"/>
      </w:r>
    </w:p>
    <w:p w14:paraId="1C9A7624" w14:textId="68D8A26A" w:rsidR="00301880" w:rsidRPr="00A13AE8" w:rsidRDefault="00301880" w:rsidP="00301880">
      <w:pPr>
        <w:tabs>
          <w:tab w:val="center" w:pos="4819"/>
        </w:tabs>
        <w:sectPr w:rsidR="00301880" w:rsidRPr="00A13AE8" w:rsidSect="008B095E">
          <w:pgSz w:w="11906" w:h="16838" w:code="9"/>
          <w:pgMar w:top="1134" w:right="1134" w:bottom="1134" w:left="1134" w:header="737" w:footer="567" w:gutter="0"/>
          <w:cols w:space="227"/>
          <w:docGrid w:linePitch="360"/>
        </w:sectPr>
      </w:pPr>
    </w:p>
    <w:p w14:paraId="2CEDC61E" w14:textId="77777777" w:rsidR="00301880" w:rsidRPr="00395767" w:rsidRDefault="00301880" w:rsidP="00301880">
      <w:pPr>
        <w:tabs>
          <w:tab w:val="left" w:pos="2180"/>
        </w:tabs>
        <w:rPr>
          <w:b/>
          <w:color w:val="007C89" w:themeColor="accent1"/>
          <w:sz w:val="32"/>
          <w:szCs w:val="32"/>
        </w:rPr>
      </w:pPr>
      <w:bookmarkStart w:id="20" w:name="_Hlk8041853"/>
      <w:bookmarkStart w:id="21" w:name="_Hlk8804536"/>
      <w:bookmarkStart w:id="22" w:name="_Toc452476012"/>
      <w:bookmarkStart w:id="23" w:name="_Toc452476667"/>
      <w:bookmarkStart w:id="24" w:name="_Toc455345789"/>
      <w:bookmarkStart w:id="25" w:name="_Toc456276031"/>
      <w:bookmarkStart w:id="26" w:name="_Toc467854447"/>
      <w:bookmarkStart w:id="27" w:name="_Toc468117697"/>
      <w:bookmarkStart w:id="28" w:name="_Toc468117827"/>
      <w:r w:rsidRPr="00395767">
        <w:rPr>
          <w:b/>
          <w:color w:val="007C89" w:themeColor="accent1"/>
          <w:sz w:val="32"/>
          <w:szCs w:val="32"/>
        </w:rPr>
        <w:t>List of Acronyms</w:t>
      </w:r>
    </w:p>
    <w:p w14:paraId="0FAAFBB3" w14:textId="03DF9754" w:rsidR="00A70AF7" w:rsidRDefault="00A70AF7" w:rsidP="00301880">
      <w:pPr>
        <w:pStyle w:val="BodyText"/>
        <w:ind w:left="1134" w:hanging="1134"/>
        <w:rPr>
          <w:lang w:val="en-US"/>
        </w:rPr>
      </w:pPr>
      <w:r>
        <w:t>ACD</w:t>
      </w:r>
      <w:r>
        <w:tab/>
      </w:r>
      <w:r>
        <w:rPr>
          <w:lang w:val="en-US"/>
        </w:rPr>
        <w:t xml:space="preserve">Agency Capacity Diagnostics </w:t>
      </w:r>
    </w:p>
    <w:p w14:paraId="0AA1C92B" w14:textId="7FC6FB7E" w:rsidR="00301880" w:rsidRPr="00301880" w:rsidRDefault="00301880" w:rsidP="00301880">
      <w:pPr>
        <w:pStyle w:val="BodyText"/>
        <w:ind w:left="1134" w:hanging="1134"/>
      </w:pPr>
      <w:r w:rsidRPr="00301880">
        <w:t xml:space="preserve">ADB </w:t>
      </w:r>
      <w:r w:rsidRPr="00301880">
        <w:tab/>
        <w:t>Asian Development Bank</w:t>
      </w:r>
    </w:p>
    <w:p w14:paraId="7BAF3EA0" w14:textId="77777777" w:rsidR="00301880" w:rsidRPr="00301880" w:rsidRDefault="00301880" w:rsidP="00301880">
      <w:pPr>
        <w:pStyle w:val="BodyText"/>
        <w:ind w:left="1134" w:hanging="1134"/>
      </w:pPr>
      <w:r w:rsidRPr="00301880">
        <w:t>AHC</w:t>
      </w:r>
      <w:r w:rsidRPr="00301880">
        <w:tab/>
        <w:t>Australian High Commission</w:t>
      </w:r>
    </w:p>
    <w:p w14:paraId="0D026F52" w14:textId="77777777" w:rsidR="00301880" w:rsidRPr="00301880" w:rsidRDefault="00301880" w:rsidP="00301880">
      <w:pPr>
        <w:pStyle w:val="BodyText"/>
        <w:ind w:left="1134" w:hanging="1134"/>
      </w:pPr>
      <w:r w:rsidRPr="00301880">
        <w:t>AIC</w:t>
      </w:r>
      <w:r w:rsidRPr="00301880">
        <w:tab/>
        <w:t>Accident Investigation Commission</w:t>
      </w:r>
    </w:p>
    <w:p w14:paraId="3175658C" w14:textId="77777777" w:rsidR="00301880" w:rsidRPr="00301880" w:rsidRDefault="00301880" w:rsidP="00301880">
      <w:pPr>
        <w:pStyle w:val="BodyText"/>
        <w:ind w:left="1134" w:hanging="1134"/>
      </w:pPr>
      <w:r w:rsidRPr="00301880">
        <w:t>AIFFP</w:t>
      </w:r>
      <w:r w:rsidRPr="00301880">
        <w:tab/>
        <w:t>Australian Infrastructure Financing Facility for the Pacific</w:t>
      </w:r>
    </w:p>
    <w:p w14:paraId="7FC56DA5" w14:textId="77777777" w:rsidR="00301880" w:rsidRPr="00301880" w:rsidRDefault="00301880" w:rsidP="00301880">
      <w:pPr>
        <w:pStyle w:val="BodyText"/>
        <w:ind w:left="1134" w:hanging="1134"/>
      </w:pPr>
      <w:r w:rsidRPr="00301880">
        <w:t>ASAs</w:t>
      </w:r>
      <w:r w:rsidRPr="00301880">
        <w:tab/>
        <w:t>Agency Support Arrangements</w:t>
      </w:r>
    </w:p>
    <w:p w14:paraId="540C3F36" w14:textId="59E94AEE" w:rsidR="00301880" w:rsidRDefault="00301880" w:rsidP="00301880">
      <w:pPr>
        <w:pStyle w:val="BodyText"/>
        <w:ind w:left="1134" w:hanging="1134"/>
      </w:pPr>
      <w:r w:rsidRPr="00301880">
        <w:t>CASA PNG</w:t>
      </w:r>
      <w:r w:rsidRPr="00301880">
        <w:tab/>
        <w:t>Civil Aviation Safety Authority</w:t>
      </w:r>
    </w:p>
    <w:p w14:paraId="65EC64CD" w14:textId="41AFFC29" w:rsidR="004C6836" w:rsidRPr="00301880" w:rsidRDefault="004C6836" w:rsidP="00301880">
      <w:pPr>
        <w:pStyle w:val="BodyText"/>
        <w:ind w:left="1134" w:hanging="1134"/>
      </w:pPr>
      <w:r>
        <w:t>CRP</w:t>
      </w:r>
      <w:r>
        <w:tab/>
      </w:r>
      <w:r w:rsidRPr="004C6836">
        <w:t>COVID-19 Development Response Plan </w:t>
      </w:r>
    </w:p>
    <w:p w14:paraId="74E1E696" w14:textId="77777777" w:rsidR="00301880" w:rsidRPr="00301880" w:rsidRDefault="00301880" w:rsidP="00301880">
      <w:pPr>
        <w:pStyle w:val="BodyText"/>
        <w:ind w:left="1134" w:hanging="1134"/>
      </w:pPr>
      <w:r w:rsidRPr="00301880">
        <w:t>DITRDC</w:t>
      </w:r>
      <w:r w:rsidRPr="00301880">
        <w:tab/>
        <w:t>Department of Infrastructure, Transport, Regional Development and Communications</w:t>
      </w:r>
    </w:p>
    <w:p w14:paraId="1957FEE2" w14:textId="77777777" w:rsidR="00301880" w:rsidRPr="00301880" w:rsidRDefault="00301880" w:rsidP="00301880">
      <w:pPr>
        <w:pStyle w:val="BodyText"/>
        <w:ind w:left="1134" w:hanging="1134"/>
      </w:pPr>
      <w:r w:rsidRPr="00301880">
        <w:t>DFAT</w:t>
      </w:r>
      <w:r w:rsidRPr="00301880">
        <w:tab/>
        <w:t>Department of Foreign Affairs and Trade</w:t>
      </w:r>
    </w:p>
    <w:p w14:paraId="5FD9D747" w14:textId="77777777" w:rsidR="00301880" w:rsidRPr="00301880" w:rsidRDefault="00301880" w:rsidP="00301880">
      <w:pPr>
        <w:pStyle w:val="BodyText"/>
        <w:ind w:left="1134" w:hanging="1134"/>
      </w:pPr>
      <w:r w:rsidRPr="00301880">
        <w:t>DoT</w:t>
      </w:r>
      <w:r w:rsidRPr="00301880">
        <w:tab/>
        <w:t>Department of Transport</w:t>
      </w:r>
    </w:p>
    <w:p w14:paraId="43249AF4" w14:textId="77777777" w:rsidR="00301880" w:rsidRPr="00301880" w:rsidRDefault="00301880" w:rsidP="00301880">
      <w:pPr>
        <w:pStyle w:val="BodyText"/>
        <w:ind w:left="1134" w:hanging="1134"/>
      </w:pPr>
      <w:r w:rsidRPr="00301880">
        <w:t>DoW</w:t>
      </w:r>
      <w:r w:rsidRPr="00301880">
        <w:tab/>
        <w:t>Department of Works</w:t>
      </w:r>
    </w:p>
    <w:p w14:paraId="6E596C83" w14:textId="0D2B0E95" w:rsidR="00301880" w:rsidRPr="00301880" w:rsidRDefault="00301880" w:rsidP="00301880">
      <w:pPr>
        <w:pStyle w:val="BodyText"/>
        <w:ind w:left="1134" w:hanging="1134"/>
      </w:pPr>
      <w:r w:rsidRPr="00301880">
        <w:t xml:space="preserve">ECP </w:t>
      </w:r>
      <w:r w:rsidRPr="00301880">
        <w:tab/>
      </w:r>
      <w:r w:rsidR="00655910" w:rsidRPr="00301880">
        <w:t>E</w:t>
      </w:r>
      <w:r w:rsidR="00655910">
        <w:t>nhanced</w:t>
      </w:r>
      <w:r w:rsidR="00655910" w:rsidRPr="00301880">
        <w:t xml:space="preserve"> </w:t>
      </w:r>
      <w:r w:rsidRPr="00301880">
        <w:t xml:space="preserve">Cooperation Partnership </w:t>
      </w:r>
    </w:p>
    <w:p w14:paraId="77A4D0AD" w14:textId="77777777" w:rsidR="00301880" w:rsidRPr="00301880" w:rsidRDefault="00301880" w:rsidP="00301880">
      <w:pPr>
        <w:pStyle w:val="BodyText"/>
        <w:ind w:left="1134" w:hanging="1134"/>
      </w:pPr>
      <w:r w:rsidRPr="00301880">
        <w:t>EOPO</w:t>
      </w:r>
      <w:r w:rsidRPr="00301880">
        <w:tab/>
        <w:t>End of Program Outcomes</w:t>
      </w:r>
    </w:p>
    <w:p w14:paraId="08E67D0E" w14:textId="77777777" w:rsidR="00301880" w:rsidRPr="00301880" w:rsidRDefault="00301880" w:rsidP="00301880">
      <w:pPr>
        <w:pStyle w:val="BodyText"/>
        <w:ind w:left="1134" w:hanging="1134"/>
      </w:pPr>
      <w:r w:rsidRPr="00301880">
        <w:t xml:space="preserve">FIFO </w:t>
      </w:r>
      <w:r w:rsidRPr="00301880">
        <w:tab/>
        <w:t>Fly-in-fly-out</w:t>
      </w:r>
    </w:p>
    <w:p w14:paraId="0D582D79" w14:textId="77777777" w:rsidR="00301880" w:rsidRPr="00301880" w:rsidRDefault="00301880" w:rsidP="00301880">
      <w:pPr>
        <w:pStyle w:val="BodyText"/>
        <w:ind w:left="1134" w:hanging="1134"/>
      </w:pPr>
      <w:r w:rsidRPr="00301880">
        <w:t>GoPNG</w:t>
      </w:r>
      <w:r w:rsidRPr="00301880">
        <w:tab/>
        <w:t>Government of Papua New Guinea</w:t>
      </w:r>
    </w:p>
    <w:p w14:paraId="0AD534F5" w14:textId="77777777" w:rsidR="00301880" w:rsidRPr="00301880" w:rsidRDefault="00301880" w:rsidP="00301880">
      <w:pPr>
        <w:pStyle w:val="BodyText"/>
        <w:ind w:left="1134" w:hanging="1134"/>
      </w:pPr>
      <w:r w:rsidRPr="00301880">
        <w:t>IPP</w:t>
      </w:r>
      <w:r w:rsidRPr="00301880">
        <w:tab/>
        <w:t>Institutional Partnerships Program</w:t>
      </w:r>
    </w:p>
    <w:p w14:paraId="305D3EBF" w14:textId="77777777" w:rsidR="00301880" w:rsidRPr="00301880" w:rsidRDefault="00301880" w:rsidP="00301880">
      <w:pPr>
        <w:pStyle w:val="BodyText"/>
        <w:ind w:left="1134" w:hanging="1134"/>
      </w:pPr>
      <w:r w:rsidRPr="00301880">
        <w:t>JICA</w:t>
      </w:r>
      <w:r w:rsidRPr="00301880">
        <w:tab/>
        <w:t>Japan International Cooperation Agency</w:t>
      </w:r>
    </w:p>
    <w:p w14:paraId="043CF185" w14:textId="77777777" w:rsidR="00301880" w:rsidRPr="00301880" w:rsidRDefault="00301880" w:rsidP="00301880">
      <w:pPr>
        <w:pStyle w:val="BodyText"/>
        <w:ind w:left="1134" w:hanging="1134"/>
      </w:pPr>
      <w:r w:rsidRPr="00301880">
        <w:t xml:space="preserve">M&amp;E </w:t>
      </w:r>
      <w:r w:rsidRPr="00301880">
        <w:tab/>
        <w:t>Monitoring and Evaluation</w:t>
      </w:r>
    </w:p>
    <w:p w14:paraId="310A1D69" w14:textId="77777777" w:rsidR="00301880" w:rsidRPr="00301880" w:rsidRDefault="00301880" w:rsidP="00301880">
      <w:pPr>
        <w:pStyle w:val="BodyText"/>
        <w:ind w:left="1134" w:hanging="1134"/>
      </w:pPr>
      <w:r w:rsidRPr="00301880">
        <w:t>MoG</w:t>
      </w:r>
      <w:r w:rsidRPr="00301880">
        <w:tab/>
        <w:t>Machinery of Government</w:t>
      </w:r>
    </w:p>
    <w:p w14:paraId="6C17116B" w14:textId="77777777" w:rsidR="00301880" w:rsidRPr="00301880" w:rsidRDefault="00301880" w:rsidP="00301880">
      <w:pPr>
        <w:pStyle w:val="BodyText"/>
        <w:ind w:left="1134" w:hanging="1134"/>
      </w:pPr>
      <w:r w:rsidRPr="00301880">
        <w:t xml:space="preserve">NMSA </w:t>
      </w:r>
      <w:r w:rsidRPr="00301880">
        <w:tab/>
        <w:t>National Maritime Safety Authority</w:t>
      </w:r>
    </w:p>
    <w:p w14:paraId="4C0432A0" w14:textId="77777777" w:rsidR="00301880" w:rsidRPr="00301880" w:rsidRDefault="00301880" w:rsidP="00301880">
      <w:pPr>
        <w:pStyle w:val="BodyText"/>
        <w:ind w:left="1134" w:hanging="1134"/>
      </w:pPr>
      <w:r w:rsidRPr="00301880">
        <w:t>NSPL</w:t>
      </w:r>
      <w:r w:rsidRPr="00301880">
        <w:tab/>
        <w:t xml:space="preserve">NiuSky Pacific Limited </w:t>
      </w:r>
    </w:p>
    <w:p w14:paraId="58170E99" w14:textId="77777777" w:rsidR="00301880" w:rsidRPr="00301880" w:rsidRDefault="00301880" w:rsidP="00301880">
      <w:pPr>
        <w:pStyle w:val="BodyText"/>
        <w:ind w:left="1134" w:hanging="1134"/>
      </w:pPr>
      <w:r w:rsidRPr="00301880">
        <w:t>PNG</w:t>
      </w:r>
      <w:r w:rsidRPr="00301880">
        <w:tab/>
        <w:t>Papua New Guinea</w:t>
      </w:r>
    </w:p>
    <w:p w14:paraId="0797E1B2" w14:textId="77777777" w:rsidR="00301880" w:rsidRPr="00301880" w:rsidRDefault="00301880" w:rsidP="00301880">
      <w:pPr>
        <w:pStyle w:val="BodyText"/>
        <w:ind w:left="1134" w:hanging="1134"/>
      </w:pPr>
      <w:r w:rsidRPr="00301880">
        <w:t>RoU</w:t>
      </w:r>
      <w:r w:rsidRPr="00301880">
        <w:tab/>
        <w:t>Record of Understanding</w:t>
      </w:r>
    </w:p>
    <w:p w14:paraId="68BA2288" w14:textId="77777777" w:rsidR="00301880" w:rsidRPr="00301880" w:rsidRDefault="00301880" w:rsidP="00301880">
      <w:pPr>
        <w:pStyle w:val="BodyText"/>
        <w:ind w:left="1134" w:hanging="1134"/>
      </w:pPr>
      <w:r w:rsidRPr="00301880">
        <w:t xml:space="preserve">SGP </w:t>
      </w:r>
      <w:r w:rsidRPr="00301880">
        <w:tab/>
        <w:t xml:space="preserve">Strongim Gavman Program </w:t>
      </w:r>
    </w:p>
    <w:p w14:paraId="47CBB670" w14:textId="77777777" w:rsidR="00301880" w:rsidRPr="00301880" w:rsidRDefault="00301880" w:rsidP="00301880">
      <w:pPr>
        <w:pStyle w:val="BodyText"/>
        <w:ind w:left="1134" w:hanging="1134"/>
      </w:pPr>
      <w:r w:rsidRPr="00301880">
        <w:t>Tetra Tech</w:t>
      </w:r>
      <w:r w:rsidRPr="00301880">
        <w:tab/>
        <w:t>Tetra Tech International Development Pty Ltd</w:t>
      </w:r>
    </w:p>
    <w:p w14:paraId="6D22CA44" w14:textId="77777777" w:rsidR="00301880" w:rsidRPr="00301880" w:rsidRDefault="00301880" w:rsidP="00301880">
      <w:pPr>
        <w:pStyle w:val="BodyText"/>
        <w:ind w:left="1134" w:hanging="1134"/>
      </w:pPr>
      <w:r w:rsidRPr="00301880">
        <w:t>TSCMIC</w:t>
      </w:r>
      <w:r w:rsidRPr="00301880">
        <w:tab/>
        <w:t xml:space="preserve">Transport Sector Coordination, Monitoring and Implementation Committee </w:t>
      </w:r>
    </w:p>
    <w:p w14:paraId="6AB67BE6" w14:textId="77777777" w:rsidR="00301880" w:rsidRPr="00301880" w:rsidRDefault="00301880" w:rsidP="00301880">
      <w:pPr>
        <w:pStyle w:val="BodyText"/>
        <w:ind w:left="1134" w:hanging="1134"/>
      </w:pPr>
      <w:r w:rsidRPr="00301880">
        <w:t>TSSP2</w:t>
      </w:r>
      <w:r w:rsidRPr="00301880">
        <w:tab/>
        <w:t>Australia Transport Sector Support Program Phase 2</w:t>
      </w:r>
    </w:p>
    <w:p w14:paraId="75BC27A7" w14:textId="77777777" w:rsidR="00301880" w:rsidRDefault="00301880" w:rsidP="00301880">
      <w:pPr>
        <w:tabs>
          <w:tab w:val="left" w:pos="1668"/>
        </w:tabs>
      </w:pPr>
    </w:p>
    <w:p w14:paraId="4E4A3099" w14:textId="77777777" w:rsidR="00301880" w:rsidRPr="00106836" w:rsidRDefault="00301880" w:rsidP="00301880">
      <w:pPr>
        <w:tabs>
          <w:tab w:val="left" w:pos="1668"/>
        </w:tabs>
      </w:pPr>
    </w:p>
    <w:p w14:paraId="0F372C09" w14:textId="77777777" w:rsidR="00301880" w:rsidRPr="00106836" w:rsidRDefault="00301880" w:rsidP="00301880">
      <w:pPr>
        <w:tabs>
          <w:tab w:val="left" w:pos="1668"/>
        </w:tabs>
      </w:pPr>
    </w:p>
    <w:p w14:paraId="53D2E400" w14:textId="77777777" w:rsidR="00301880" w:rsidRDefault="00301880" w:rsidP="00301880">
      <w:pPr>
        <w:pStyle w:val="BodyText"/>
        <w:rPr>
          <w:lang w:val="en-US"/>
        </w:rPr>
        <w:sectPr w:rsidR="00301880" w:rsidSect="00301880">
          <w:type w:val="continuous"/>
          <w:pgSz w:w="11906" w:h="16838"/>
          <w:pgMar w:top="1134" w:right="1134" w:bottom="1134" w:left="1134" w:header="1304" w:footer="567" w:gutter="0"/>
          <w:cols w:space="708"/>
          <w:titlePg/>
          <w:docGrid w:linePitch="360"/>
        </w:sectPr>
      </w:pPr>
    </w:p>
    <w:p w14:paraId="07DEED4B" w14:textId="77777777" w:rsidR="00301880" w:rsidRPr="00301880" w:rsidRDefault="00301880" w:rsidP="00301880">
      <w:pPr>
        <w:pStyle w:val="Heading1"/>
      </w:pPr>
      <w:bookmarkStart w:id="29" w:name="_Toc93912273"/>
      <w:bookmarkStart w:id="30" w:name="_Toc96441096"/>
      <w:bookmarkStart w:id="31" w:name="_Toc98526260"/>
      <w:r w:rsidRPr="00301880">
        <w:lastRenderedPageBreak/>
        <w:t>Chapter 1: Overview of the Australia-PNG Government Transport Partnership</w:t>
      </w:r>
      <w:bookmarkEnd w:id="29"/>
      <w:bookmarkEnd w:id="30"/>
      <w:bookmarkEnd w:id="31"/>
      <w:r w:rsidRPr="00301880">
        <w:t xml:space="preserve"> </w:t>
      </w:r>
    </w:p>
    <w:p w14:paraId="0E4211E4" w14:textId="73116A67" w:rsidR="00301880" w:rsidRDefault="00301880" w:rsidP="00301880">
      <w:pPr>
        <w:pStyle w:val="BodyText"/>
        <w:rPr>
          <w:lang w:val="en-US"/>
        </w:rPr>
      </w:pPr>
      <w:r w:rsidRPr="004A15D8">
        <w:rPr>
          <w:lang w:val="en-US"/>
        </w:rPr>
        <w:t>The Australian Government provides support to the transport sector in Papua New Guinea</w:t>
      </w:r>
      <w:r>
        <w:rPr>
          <w:lang w:val="en-US"/>
        </w:rPr>
        <w:t xml:space="preserve"> (PNG)</w:t>
      </w:r>
      <w:r w:rsidRPr="004A15D8">
        <w:rPr>
          <w:lang w:val="en-US"/>
        </w:rPr>
        <w:t xml:space="preserve"> through several partnership</w:t>
      </w:r>
      <w:r>
        <w:rPr>
          <w:lang w:val="en-US"/>
        </w:rPr>
        <w:t xml:space="preserve"> arrangements</w:t>
      </w:r>
      <w:r w:rsidRPr="004A15D8">
        <w:rPr>
          <w:lang w:val="en-US"/>
        </w:rPr>
        <w:t xml:space="preserve">. </w:t>
      </w:r>
      <w:r>
        <w:rPr>
          <w:lang w:val="en-US"/>
        </w:rPr>
        <w:t>This chapter provides a summary of the different partnership</w:t>
      </w:r>
      <w:r w:rsidR="00925E0C">
        <w:rPr>
          <w:rFonts w:hint="eastAsia"/>
          <w:lang w:val="en-US"/>
        </w:rPr>
        <w:t xml:space="preserve"> </w:t>
      </w:r>
      <w:r>
        <w:rPr>
          <w:lang w:val="en-US"/>
        </w:rPr>
        <w:t xml:space="preserve">arrangements, their objectives, the agencies involved, </w:t>
      </w:r>
      <w:r w:rsidRPr="00B422D9">
        <w:rPr>
          <w:lang w:val="en-US"/>
        </w:rPr>
        <w:t xml:space="preserve">key partnership structures </w:t>
      </w:r>
      <w:r>
        <w:rPr>
          <w:lang w:val="en-US"/>
        </w:rPr>
        <w:t>and the support modalities and delivery mechanisms.</w:t>
      </w:r>
    </w:p>
    <w:p w14:paraId="10A0B579" w14:textId="77777777" w:rsidR="00C85849" w:rsidRDefault="00C85849" w:rsidP="00395767">
      <w:pPr>
        <w:pStyle w:val="Heading2"/>
        <w:ind w:left="426" w:hanging="426"/>
      </w:pPr>
      <w:bookmarkStart w:id="32" w:name="_Toc93912274"/>
      <w:bookmarkStart w:id="33" w:name="_Toc96441097"/>
    </w:p>
    <w:p w14:paraId="17B521C9" w14:textId="7D07003A" w:rsidR="00301880" w:rsidRPr="000055A6" w:rsidRDefault="00395767" w:rsidP="00395767">
      <w:pPr>
        <w:pStyle w:val="Heading2"/>
        <w:ind w:left="426" w:hanging="426"/>
      </w:pPr>
      <w:bookmarkStart w:id="34" w:name="_Toc98526261"/>
      <w:r>
        <w:t>1.1</w:t>
      </w:r>
      <w:r>
        <w:tab/>
      </w:r>
      <w:r w:rsidR="00301880" w:rsidRPr="000055A6">
        <w:t xml:space="preserve">Types of </w:t>
      </w:r>
      <w:r w:rsidR="00301880" w:rsidRPr="00301880">
        <w:t>partnerships</w:t>
      </w:r>
      <w:bookmarkEnd w:id="32"/>
      <w:bookmarkEnd w:id="33"/>
      <w:bookmarkEnd w:id="34"/>
      <w:r w:rsidR="00301880" w:rsidRPr="000055A6">
        <w:t xml:space="preserve"> </w:t>
      </w:r>
    </w:p>
    <w:p w14:paraId="1ADDDA36" w14:textId="26C610B7" w:rsidR="00301880" w:rsidRDefault="00301880" w:rsidP="00301880">
      <w:pPr>
        <w:pStyle w:val="BodyText"/>
        <w:rPr>
          <w:lang w:val="en-US"/>
        </w:rPr>
      </w:pPr>
      <w:r w:rsidRPr="00561DFF">
        <w:rPr>
          <w:lang w:val="en-US"/>
        </w:rPr>
        <w:t xml:space="preserve">The Review identified five </w:t>
      </w:r>
      <w:r w:rsidR="005300F3">
        <w:rPr>
          <w:lang w:val="en-US"/>
        </w:rPr>
        <w:t xml:space="preserve">key </w:t>
      </w:r>
      <w:r w:rsidRPr="00561DFF">
        <w:rPr>
          <w:lang w:val="en-US"/>
        </w:rPr>
        <w:t>types of partnerships under the Australia-PNG Government Transport Partnership</w:t>
      </w:r>
      <w:r>
        <w:rPr>
          <w:lang w:val="en-US"/>
        </w:rPr>
        <w:t xml:space="preserve"> (the Partnership)</w:t>
      </w:r>
      <w:r w:rsidRPr="00561DFF">
        <w:rPr>
          <w:lang w:val="en-US"/>
        </w:rPr>
        <w:t xml:space="preserve">. </w:t>
      </w:r>
      <w:r w:rsidR="00C85849">
        <w:rPr>
          <w:lang w:val="en-US"/>
        </w:rPr>
        <w:t>The diagram below shows these key partnerships and the relationships between them.</w:t>
      </w:r>
    </w:p>
    <w:p w14:paraId="2E8306C8" w14:textId="77777777" w:rsidR="00BC2049" w:rsidRDefault="00BC2049" w:rsidP="00301880">
      <w:pPr>
        <w:pStyle w:val="BodyText"/>
        <w:rPr>
          <w:lang w:val="en-US"/>
        </w:rPr>
      </w:pPr>
    </w:p>
    <w:p w14:paraId="0BDABFD5" w14:textId="77777777" w:rsidR="00BC2049" w:rsidRDefault="00BC2049" w:rsidP="00301880">
      <w:pPr>
        <w:pStyle w:val="BodyText"/>
        <w:rPr>
          <w:lang w:val="en-US"/>
        </w:rPr>
      </w:pPr>
    </w:p>
    <w:p w14:paraId="01AA22C7" w14:textId="73A7EA77" w:rsidR="00BC2049" w:rsidRDefault="00BC2049" w:rsidP="00301880">
      <w:pPr>
        <w:pStyle w:val="BodyText"/>
        <w:rPr>
          <w:lang w:val="en-US"/>
        </w:rPr>
        <w:sectPr w:rsidR="00BC2049" w:rsidSect="00301880">
          <w:pgSz w:w="11906" w:h="16838"/>
          <w:pgMar w:top="1134" w:right="1134" w:bottom="1134" w:left="1134" w:header="1304" w:footer="567" w:gutter="0"/>
          <w:cols w:num="2" w:space="708"/>
          <w:titlePg/>
          <w:docGrid w:linePitch="360"/>
        </w:sectPr>
      </w:pPr>
    </w:p>
    <w:p w14:paraId="6EE481B9" w14:textId="761DF4F3" w:rsidR="00BC2049" w:rsidRDefault="00BC2049" w:rsidP="008B095E">
      <w:pPr>
        <w:pStyle w:val="BodyText"/>
        <w:jc w:val="center"/>
        <w:rPr>
          <w:lang w:val="en-US"/>
        </w:rPr>
      </w:pPr>
    </w:p>
    <w:p w14:paraId="05F6037D" w14:textId="1680BAFB" w:rsidR="00BC2049" w:rsidRDefault="008139D1" w:rsidP="008139D1">
      <w:pPr>
        <w:pStyle w:val="BodyText"/>
        <w:ind w:left="-851"/>
        <w:rPr>
          <w:lang w:val="en-US"/>
        </w:rPr>
      </w:pPr>
      <w:r>
        <w:rPr>
          <w:noProof/>
          <w:lang w:val="en-US"/>
        </w:rPr>
        <w:drawing>
          <wp:inline distT="0" distB="0" distL="0" distR="0" wp14:anchorId="56E44EEE" wp14:editId="31D410DB">
            <wp:extent cx="7210425" cy="6218064"/>
            <wp:effectExtent l="0" t="0" r="0" b="0"/>
            <wp:docPr id="4" name="Picture 4" descr="Graphic of the TSSP partnerships showing flowing from Government of Australia and Government of PNG through departments and into TSSP Subsidiary Arrangement. TSSP flows down into Agency Support Arrangements (ASAs), Institutional Partnerships Program (IPP) and TS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 of the TSSP partnerships showing flowing from Government of Australia and Government of PNG through departments and into TSSP Subsidiary Arrangement. TSSP flows down into Agency Support Arrangements (ASAs), Institutional Partnerships Program (IPP) and TSSP2."/>
                    <pic:cNvPicPr/>
                  </pic:nvPicPr>
                  <pic:blipFill rotWithShape="1">
                    <a:blip r:embed="rId14"/>
                    <a:srcRect l="9701" r="8317"/>
                    <a:stretch/>
                  </pic:blipFill>
                  <pic:spPr bwMode="auto">
                    <a:xfrm>
                      <a:off x="0" y="0"/>
                      <a:ext cx="7220239" cy="6226527"/>
                    </a:xfrm>
                    <a:prstGeom prst="rect">
                      <a:avLst/>
                    </a:prstGeom>
                    <a:ln>
                      <a:noFill/>
                    </a:ln>
                    <a:extLst>
                      <a:ext uri="{53640926-AAD7-44D8-BBD7-CCE9431645EC}">
                        <a14:shadowObscured xmlns:a14="http://schemas.microsoft.com/office/drawing/2010/main"/>
                      </a:ext>
                    </a:extLst>
                  </pic:spPr>
                </pic:pic>
              </a:graphicData>
            </a:graphic>
          </wp:inline>
        </w:drawing>
      </w:r>
    </w:p>
    <w:p w14:paraId="127949B0" w14:textId="4F5188B2" w:rsidR="00BC2049" w:rsidRDefault="00BC2049" w:rsidP="00301880">
      <w:pPr>
        <w:pStyle w:val="BodyText"/>
        <w:rPr>
          <w:lang w:val="en-US"/>
        </w:rPr>
        <w:sectPr w:rsidR="00BC2049" w:rsidSect="00BC2049">
          <w:type w:val="continuous"/>
          <w:pgSz w:w="11906" w:h="16838"/>
          <w:pgMar w:top="1134" w:right="1134" w:bottom="1134" w:left="1134" w:header="1304" w:footer="567" w:gutter="0"/>
          <w:cols w:space="708"/>
          <w:titlePg/>
          <w:docGrid w:linePitch="360"/>
        </w:sectPr>
      </w:pPr>
    </w:p>
    <w:p w14:paraId="6BE15A77" w14:textId="77777777" w:rsidR="00BC2049" w:rsidRDefault="00BC2049">
      <w:pPr>
        <w:autoSpaceDE/>
        <w:autoSpaceDN/>
        <w:adjustRightInd/>
        <w:spacing w:before="0" w:after="160" w:line="259" w:lineRule="auto"/>
        <w:jc w:val="left"/>
        <w:rPr>
          <w:rFonts w:ascii="Calibri Light" w:hAnsi="Calibri Light"/>
          <w:b/>
          <w:bCs/>
          <w:color w:val="B5582D" w:themeColor="accent4"/>
          <w:spacing w:val="0"/>
          <w:sz w:val="20"/>
          <w:szCs w:val="19"/>
          <w:lang w:val="en-US"/>
        </w:rPr>
      </w:pPr>
      <w:r>
        <w:rPr>
          <w:b/>
          <w:bCs/>
          <w:color w:val="B5582D" w:themeColor="accent4"/>
          <w:lang w:val="en-US"/>
        </w:rPr>
        <w:br w:type="page"/>
      </w:r>
    </w:p>
    <w:p w14:paraId="4C091A51" w14:textId="61FE17BB" w:rsidR="00301880" w:rsidRPr="00301880" w:rsidRDefault="00301880" w:rsidP="008B095E">
      <w:pPr>
        <w:pStyle w:val="BodyText"/>
        <w:spacing w:line="240" w:lineRule="auto"/>
        <w:ind w:left="284" w:hanging="284"/>
        <w:rPr>
          <w:b/>
          <w:bCs/>
          <w:color w:val="B5582D" w:themeColor="accent4"/>
          <w:lang w:val="en-US"/>
        </w:rPr>
      </w:pPr>
      <w:r w:rsidRPr="00301880">
        <w:rPr>
          <w:b/>
          <w:bCs/>
          <w:color w:val="B5582D" w:themeColor="accent4"/>
          <w:lang w:val="en-US"/>
        </w:rPr>
        <w:lastRenderedPageBreak/>
        <w:t>1.</w:t>
      </w:r>
      <w:r w:rsidRPr="00301880">
        <w:rPr>
          <w:b/>
          <w:bCs/>
          <w:color w:val="B5582D" w:themeColor="accent4"/>
          <w:lang w:val="en-US"/>
        </w:rPr>
        <w:tab/>
        <w:t>Memorandum of Understanding (MoU)</w:t>
      </w:r>
    </w:p>
    <w:p w14:paraId="144360F5" w14:textId="134430C0" w:rsidR="00301880" w:rsidRPr="00730E4F" w:rsidRDefault="00301880" w:rsidP="008B095E">
      <w:pPr>
        <w:pStyle w:val="BodyText"/>
        <w:spacing w:line="240" w:lineRule="auto"/>
        <w:rPr>
          <w:lang w:val="en-US"/>
        </w:rPr>
      </w:pPr>
      <w:bookmarkStart w:id="35" w:name="_Hlk96319860"/>
      <w:r w:rsidRPr="003A7730">
        <w:rPr>
          <w:lang w:val="en-US"/>
        </w:rPr>
        <w:t>The MoU is determined and signed off between the Secretary for the Depa</w:t>
      </w:r>
      <w:r w:rsidRPr="007F57E4">
        <w:rPr>
          <w:lang w:val="en-US"/>
        </w:rPr>
        <w:t>rtment of Trans</w:t>
      </w:r>
      <w:r w:rsidRPr="00730E4F">
        <w:rPr>
          <w:lang w:val="en-US"/>
        </w:rPr>
        <w:t>port (DoT) in PNG and the Secretary for the Department of Infrastructure, Transport, Regional Development and Communications (</w:t>
      </w:r>
      <w:r w:rsidRPr="001D0884">
        <w:t>DITRDC</w:t>
      </w:r>
      <w:r w:rsidRPr="003A7730">
        <w:rPr>
          <w:lang w:val="en-US"/>
        </w:rPr>
        <w:t xml:space="preserve">) </w:t>
      </w:r>
      <w:r w:rsidRPr="00730E4F">
        <w:rPr>
          <w:lang w:val="en-US"/>
        </w:rPr>
        <w:t xml:space="preserve">in Australia. </w:t>
      </w:r>
      <w:bookmarkEnd w:id="35"/>
      <w:r w:rsidRPr="00730E4F">
        <w:rPr>
          <w:lang w:val="en-US"/>
        </w:rPr>
        <w:t xml:space="preserve">Executed in 2015 and </w:t>
      </w:r>
      <w:r w:rsidR="00093923">
        <w:rPr>
          <w:lang w:val="en-US"/>
        </w:rPr>
        <w:t>revised in 2021</w:t>
      </w:r>
      <w:r w:rsidRPr="00730E4F">
        <w:rPr>
          <w:lang w:val="en-US"/>
        </w:rPr>
        <w:t>, this agreement provides the general understanding, intent, agreement, and preliminary plans on the transport sector between the two countries.</w:t>
      </w:r>
    </w:p>
    <w:p w14:paraId="77EB4E13" w14:textId="77777777" w:rsidR="00301880" w:rsidRPr="00730E4F" w:rsidRDefault="00301880" w:rsidP="008B095E">
      <w:pPr>
        <w:pStyle w:val="BodyText"/>
        <w:spacing w:line="240" w:lineRule="auto"/>
        <w:rPr>
          <w:lang w:val="en-US"/>
        </w:rPr>
      </w:pPr>
      <w:r w:rsidRPr="00730E4F">
        <w:rPr>
          <w:lang w:val="en-US"/>
        </w:rPr>
        <w:t>The MoU aims to encourage cooperation between the different parties involved in the safety and security of transport networks including air, maritime and roads. It also aims to develop and maintain relations between transport agencies, relevant industry parties and other organisations concerned with the safety and security of the transport network.</w:t>
      </w:r>
    </w:p>
    <w:p w14:paraId="191F1C27" w14:textId="1C0171BA" w:rsidR="00301880" w:rsidRPr="00730E4F" w:rsidRDefault="00301880" w:rsidP="008B095E">
      <w:pPr>
        <w:pStyle w:val="BodyText"/>
        <w:spacing w:line="240" w:lineRule="auto"/>
        <w:rPr>
          <w:lang w:val="en-US"/>
        </w:rPr>
      </w:pPr>
      <w:r w:rsidRPr="00730E4F">
        <w:rPr>
          <w:lang w:val="en-US"/>
        </w:rPr>
        <w:t xml:space="preserve">The MoU’s focus </w:t>
      </w:r>
      <w:r w:rsidR="00925E0C">
        <w:rPr>
          <w:lang w:val="en-US"/>
        </w:rPr>
        <w:t>on</w:t>
      </w:r>
      <w:r w:rsidRPr="00730E4F">
        <w:rPr>
          <w:lang w:val="en-US"/>
        </w:rPr>
        <w:t xml:space="preserve"> cooperation covers:</w:t>
      </w:r>
    </w:p>
    <w:p w14:paraId="5987B159" w14:textId="77777777" w:rsidR="00301880" w:rsidRPr="00730E4F" w:rsidRDefault="00301880" w:rsidP="008B095E">
      <w:pPr>
        <w:pStyle w:val="BodyBullet"/>
        <w:spacing w:before="60" w:after="60" w:line="240" w:lineRule="auto"/>
        <w:rPr>
          <w:lang w:val="en-US"/>
        </w:rPr>
      </w:pPr>
      <w:r w:rsidRPr="00730E4F">
        <w:rPr>
          <w:lang w:val="en-US"/>
        </w:rPr>
        <w:t xml:space="preserve">Civil aviation </w:t>
      </w:r>
      <w:bookmarkStart w:id="36" w:name="_Hlk91333453"/>
      <w:r w:rsidRPr="00730E4F">
        <w:rPr>
          <w:lang w:val="en-US"/>
        </w:rPr>
        <w:t>with both domestic and international requirements</w:t>
      </w:r>
      <w:bookmarkEnd w:id="36"/>
    </w:p>
    <w:p w14:paraId="45AB917A" w14:textId="77777777" w:rsidR="00301880" w:rsidRPr="00730E4F" w:rsidRDefault="00301880" w:rsidP="008B095E">
      <w:pPr>
        <w:pStyle w:val="BodyBullet"/>
        <w:spacing w:before="60" w:after="60" w:line="240" w:lineRule="auto"/>
        <w:rPr>
          <w:lang w:val="en-US"/>
        </w:rPr>
      </w:pPr>
      <w:r w:rsidRPr="00730E4F">
        <w:rPr>
          <w:lang w:val="en-US"/>
        </w:rPr>
        <w:t>Sea or maritime with both domestic and international requirements</w:t>
      </w:r>
    </w:p>
    <w:p w14:paraId="61F8CF9B" w14:textId="77777777" w:rsidR="00301880" w:rsidRPr="00730E4F" w:rsidRDefault="00301880" w:rsidP="008B095E">
      <w:pPr>
        <w:pStyle w:val="BodyBullet"/>
        <w:spacing w:before="60" w:after="60" w:line="240" w:lineRule="auto"/>
        <w:rPr>
          <w:lang w:val="en-US"/>
        </w:rPr>
      </w:pPr>
      <w:r w:rsidRPr="00730E4F">
        <w:rPr>
          <w:lang w:val="en-US"/>
        </w:rPr>
        <w:t>Land transport</w:t>
      </w:r>
    </w:p>
    <w:p w14:paraId="414E02B9" w14:textId="6B5AFE6F" w:rsidR="00984A3F" w:rsidRPr="00BC2049" w:rsidRDefault="00301880" w:rsidP="008B095E">
      <w:pPr>
        <w:pStyle w:val="BodyBullet"/>
        <w:spacing w:before="60" w:after="60" w:line="240" w:lineRule="auto"/>
        <w:rPr>
          <w:lang w:val="en-US"/>
        </w:rPr>
      </w:pPr>
      <w:r w:rsidRPr="00730E4F">
        <w:rPr>
          <w:lang w:val="en-US"/>
        </w:rPr>
        <w:t>Other sectors that impact or relate to transport safety, security, and investigation, such as meteorological services and transport accident investigation.</w:t>
      </w:r>
    </w:p>
    <w:p w14:paraId="6076309E" w14:textId="5E459494" w:rsidR="00301880" w:rsidRDefault="00301880" w:rsidP="008B095E">
      <w:pPr>
        <w:pStyle w:val="BodyText"/>
        <w:spacing w:before="360" w:line="240" w:lineRule="auto"/>
        <w:ind w:left="284" w:hanging="284"/>
        <w:rPr>
          <w:b/>
          <w:bCs/>
          <w:color w:val="B5582D" w:themeColor="accent4"/>
          <w:lang w:val="en-US"/>
        </w:rPr>
      </w:pPr>
      <w:r w:rsidRPr="00301880">
        <w:rPr>
          <w:b/>
          <w:bCs/>
          <w:color w:val="B5582D" w:themeColor="accent4"/>
          <w:lang w:val="en-US"/>
        </w:rPr>
        <w:t>2.</w:t>
      </w:r>
      <w:r w:rsidRPr="00301880">
        <w:rPr>
          <w:b/>
          <w:bCs/>
          <w:color w:val="B5582D" w:themeColor="accent4"/>
          <w:lang w:val="en-US"/>
        </w:rPr>
        <w:tab/>
        <w:t>Agency Support Arrangements (ASAs)</w:t>
      </w:r>
    </w:p>
    <w:p w14:paraId="3133FA63" w14:textId="2CE4B905" w:rsidR="00301880" w:rsidRPr="00730E4F" w:rsidRDefault="00EB07CB" w:rsidP="008B095E">
      <w:pPr>
        <w:pStyle w:val="BodyText"/>
        <w:spacing w:line="240" w:lineRule="auto"/>
        <w:rPr>
          <w:lang w:val="en-US"/>
        </w:rPr>
      </w:pPr>
      <w:r w:rsidRPr="00EB07CB">
        <w:rPr>
          <w:lang w:val="en-US"/>
        </w:rPr>
        <w:t xml:space="preserve">The ASAs are signed between DFAT and </w:t>
      </w:r>
      <w:r w:rsidR="00925855" w:rsidRPr="00EB07CB">
        <w:rPr>
          <w:lang w:val="en-US"/>
        </w:rPr>
        <w:t>G</w:t>
      </w:r>
      <w:r w:rsidR="00925855">
        <w:rPr>
          <w:lang w:val="en-US"/>
        </w:rPr>
        <w:t>overnment of PNG</w:t>
      </w:r>
      <w:r w:rsidR="00925855" w:rsidRPr="00EB07CB">
        <w:rPr>
          <w:lang w:val="en-US"/>
        </w:rPr>
        <w:t xml:space="preserve"> </w:t>
      </w:r>
      <w:r w:rsidR="00E36B11">
        <w:rPr>
          <w:lang w:val="en-US"/>
        </w:rPr>
        <w:t>(</w:t>
      </w:r>
      <w:r w:rsidR="00E36B11" w:rsidRPr="00D83032">
        <w:rPr>
          <w:lang w:val="en-US"/>
        </w:rPr>
        <w:t>GoPNG</w:t>
      </w:r>
      <w:r w:rsidR="00E36B11">
        <w:rPr>
          <w:lang w:val="en-US"/>
        </w:rPr>
        <w:t xml:space="preserve">) </w:t>
      </w:r>
      <w:r w:rsidRPr="00EB07CB">
        <w:rPr>
          <w:lang w:val="en-US"/>
        </w:rPr>
        <w:t>transport agencies.</w:t>
      </w:r>
      <w:r w:rsidR="00352383" w:rsidRPr="00352383">
        <w:t xml:space="preserve"> </w:t>
      </w:r>
      <w:r w:rsidR="00352383" w:rsidRPr="00352383">
        <w:rPr>
          <w:lang w:val="en-US"/>
        </w:rPr>
        <w:t>Through the ASAs, DFAT uses its integrated transport program (incorporating TSSP2, the transport component of the IPP and the transport M</w:t>
      </w:r>
      <w:r w:rsidR="003327BC">
        <w:rPr>
          <w:lang w:val="en-US"/>
        </w:rPr>
        <w:t>o</w:t>
      </w:r>
      <w:r w:rsidR="00352383" w:rsidRPr="00352383">
        <w:rPr>
          <w:lang w:val="en-US"/>
        </w:rPr>
        <w:t>U</w:t>
      </w:r>
      <w:r w:rsidR="000C667F">
        <w:rPr>
          <w:lang w:val="en-US"/>
        </w:rPr>
        <w:t>)</w:t>
      </w:r>
      <w:r w:rsidR="00352383" w:rsidRPr="00352383">
        <w:rPr>
          <w:lang w:val="en-US"/>
        </w:rPr>
        <w:t xml:space="preserve"> to deliver and coordinate </w:t>
      </w:r>
      <w:r w:rsidR="00FE55F7">
        <w:rPr>
          <w:lang w:val="en-US"/>
        </w:rPr>
        <w:t xml:space="preserve">the Australian </w:t>
      </w:r>
      <w:r w:rsidR="003327BC">
        <w:rPr>
          <w:lang w:val="en-US"/>
        </w:rPr>
        <w:t>G</w:t>
      </w:r>
      <w:r w:rsidR="00BC1A68">
        <w:rPr>
          <w:lang w:val="en-US"/>
        </w:rPr>
        <w:t xml:space="preserve">overnment </w:t>
      </w:r>
      <w:r w:rsidR="00352383" w:rsidRPr="00352383">
        <w:rPr>
          <w:lang w:val="en-US"/>
        </w:rPr>
        <w:t>assistance in the transport sector in PNG under the oversight of</w:t>
      </w:r>
      <w:r w:rsidR="0066182C" w:rsidRPr="0066182C">
        <w:rPr>
          <w:rFonts w:ascii="Calibri" w:hAnsi="Calibri"/>
          <w:spacing w:val="-2"/>
          <w:sz w:val="22"/>
          <w:szCs w:val="20"/>
          <w:lang w:val="en-US"/>
        </w:rPr>
        <w:t xml:space="preserve"> </w:t>
      </w:r>
      <w:r w:rsidR="0066182C" w:rsidRPr="0066182C">
        <w:rPr>
          <w:lang w:val="en-US"/>
        </w:rPr>
        <w:t>Transport Sector Coordination, Monitoring and Implementation Committee (TSCMIC).</w:t>
      </w:r>
      <w:r w:rsidR="00352383" w:rsidRPr="00352383">
        <w:rPr>
          <w:lang w:val="en-US"/>
        </w:rPr>
        <w:t xml:space="preserve"> </w:t>
      </w:r>
      <w:r w:rsidR="00BC1A68">
        <w:rPr>
          <w:lang w:val="en-US"/>
        </w:rPr>
        <w:t xml:space="preserve">Activities implemented under the ASAs </w:t>
      </w:r>
      <w:r w:rsidR="00301880" w:rsidRPr="00730E4F">
        <w:rPr>
          <w:lang w:val="en-US"/>
        </w:rPr>
        <w:t>are determined and agreed upon between</w:t>
      </w:r>
      <w:r w:rsidR="00AE3B29">
        <w:rPr>
          <w:lang w:val="en-US"/>
        </w:rPr>
        <w:t xml:space="preserve"> </w:t>
      </w:r>
      <w:r w:rsidR="00301880" w:rsidRPr="00730E4F">
        <w:rPr>
          <w:lang w:val="en-US"/>
        </w:rPr>
        <w:t xml:space="preserve">specific agencies operating within the transport sector in Australia and PNG. There are currently active ASAs </w:t>
      </w:r>
      <w:r w:rsidR="00A37828">
        <w:rPr>
          <w:lang w:val="en-US"/>
        </w:rPr>
        <w:t xml:space="preserve">between DFAT and the </w:t>
      </w:r>
      <w:r w:rsidR="00301880" w:rsidRPr="00730E4F">
        <w:rPr>
          <w:lang w:val="en-US"/>
        </w:rPr>
        <w:t>following departments:</w:t>
      </w:r>
    </w:p>
    <w:p w14:paraId="32196B67" w14:textId="77777777" w:rsidR="00301880" w:rsidRPr="00730E4F" w:rsidRDefault="00301880" w:rsidP="008B095E">
      <w:pPr>
        <w:pStyle w:val="BodyBullet"/>
        <w:spacing w:before="60" w:after="60" w:line="240" w:lineRule="auto"/>
        <w:rPr>
          <w:lang w:val="en-US"/>
        </w:rPr>
      </w:pPr>
      <w:r w:rsidRPr="00730E4F">
        <w:rPr>
          <w:lang w:val="en-US"/>
        </w:rPr>
        <w:t xml:space="preserve">Department of Works (DoW) </w:t>
      </w:r>
    </w:p>
    <w:p w14:paraId="143A142E" w14:textId="77777777" w:rsidR="00301880" w:rsidRPr="00730E4F" w:rsidRDefault="00301880" w:rsidP="008B095E">
      <w:pPr>
        <w:pStyle w:val="BodyBullet"/>
        <w:spacing w:before="60" w:after="60" w:line="240" w:lineRule="auto"/>
        <w:rPr>
          <w:lang w:val="en-US"/>
        </w:rPr>
      </w:pPr>
      <w:r w:rsidRPr="00730E4F">
        <w:rPr>
          <w:lang w:val="en-US"/>
        </w:rPr>
        <w:t>Department of Transport (DoT)</w:t>
      </w:r>
      <w:r w:rsidRPr="00730E4F">
        <w:t xml:space="preserve"> </w:t>
      </w:r>
    </w:p>
    <w:p w14:paraId="1324E050" w14:textId="77777777" w:rsidR="00301880" w:rsidRPr="003A7730" w:rsidRDefault="00301880" w:rsidP="008B095E">
      <w:pPr>
        <w:pStyle w:val="BodyBullet"/>
        <w:spacing w:before="60" w:after="60" w:line="240" w:lineRule="auto"/>
        <w:rPr>
          <w:lang w:val="en-US"/>
        </w:rPr>
      </w:pPr>
      <w:r w:rsidRPr="00730E4F">
        <w:rPr>
          <w:lang w:val="en-US"/>
        </w:rPr>
        <w:t xml:space="preserve">PNG Civil Aviation Safety Authority (CASA PNG) </w:t>
      </w:r>
      <w:r w:rsidRPr="001D0884">
        <w:t xml:space="preserve"> </w:t>
      </w:r>
    </w:p>
    <w:p w14:paraId="08BE0800" w14:textId="77777777" w:rsidR="00301880" w:rsidRPr="00730E4F" w:rsidRDefault="00301880" w:rsidP="008B095E">
      <w:pPr>
        <w:pStyle w:val="BodyBullet"/>
        <w:spacing w:before="60" w:after="60" w:line="240" w:lineRule="auto"/>
        <w:rPr>
          <w:lang w:val="en-US"/>
        </w:rPr>
      </w:pPr>
      <w:r w:rsidRPr="00341870">
        <w:rPr>
          <w:lang w:val="en-US"/>
        </w:rPr>
        <w:t>NiuSky</w:t>
      </w:r>
      <w:r w:rsidRPr="003A7730">
        <w:rPr>
          <w:lang w:val="en-US"/>
        </w:rPr>
        <w:t xml:space="preserve"> Pacific</w:t>
      </w:r>
      <w:r w:rsidRPr="00730E4F">
        <w:rPr>
          <w:lang w:val="en-US"/>
        </w:rPr>
        <w:t xml:space="preserve"> Ltd (formerly PNG Air </w:t>
      </w:r>
      <w:r>
        <w:rPr>
          <w:lang w:val="en-US"/>
        </w:rPr>
        <w:t>S</w:t>
      </w:r>
      <w:r w:rsidRPr="00341870">
        <w:rPr>
          <w:lang w:val="en-US"/>
        </w:rPr>
        <w:t>ervices</w:t>
      </w:r>
      <w:r w:rsidRPr="003A7730">
        <w:rPr>
          <w:lang w:val="en-US"/>
        </w:rPr>
        <w:t xml:space="preserve"> Ltd)</w:t>
      </w:r>
    </w:p>
    <w:p w14:paraId="7D459E8B" w14:textId="77777777" w:rsidR="00301880" w:rsidRPr="00BA06DD" w:rsidRDefault="00301880" w:rsidP="008B095E">
      <w:pPr>
        <w:pStyle w:val="BodyBullet"/>
        <w:spacing w:before="60" w:after="60" w:line="240" w:lineRule="auto"/>
        <w:rPr>
          <w:lang w:val="en-US"/>
        </w:rPr>
      </w:pPr>
      <w:r w:rsidRPr="00BA06DD">
        <w:rPr>
          <w:lang w:val="en-US"/>
        </w:rPr>
        <w:t>National Maritime Safety Authority (NMSA).</w:t>
      </w:r>
    </w:p>
    <w:p w14:paraId="72E043B0" w14:textId="2B678B80" w:rsidR="00301880" w:rsidRPr="00730E4F" w:rsidRDefault="00301880" w:rsidP="008B095E">
      <w:pPr>
        <w:pStyle w:val="BodyText"/>
        <w:spacing w:line="240" w:lineRule="auto"/>
        <w:rPr>
          <w:lang w:val="en-US"/>
        </w:rPr>
      </w:pPr>
      <w:r w:rsidRPr="003A7730">
        <w:rPr>
          <w:lang w:val="en-US"/>
        </w:rPr>
        <w:t>An</w:t>
      </w:r>
      <w:r w:rsidRPr="007F57E4">
        <w:rPr>
          <w:lang w:val="en-US"/>
        </w:rPr>
        <w:t xml:space="preserve"> </w:t>
      </w:r>
      <w:r w:rsidRPr="00730E4F">
        <w:rPr>
          <w:lang w:val="en-US"/>
        </w:rPr>
        <w:t xml:space="preserve">additional </w:t>
      </w:r>
      <w:r>
        <w:rPr>
          <w:lang w:val="en-US"/>
        </w:rPr>
        <w:t>ASA</w:t>
      </w:r>
      <w:r w:rsidRPr="003A7730">
        <w:rPr>
          <w:lang w:val="en-US"/>
        </w:rPr>
        <w:t xml:space="preserve"> with the </w:t>
      </w:r>
      <w:r w:rsidRPr="007F57E4">
        <w:rPr>
          <w:lang w:val="en-US"/>
        </w:rPr>
        <w:t>Accident Investigation Commission</w:t>
      </w:r>
      <w:r w:rsidRPr="00730E4F">
        <w:rPr>
          <w:lang w:val="en-US"/>
        </w:rPr>
        <w:t xml:space="preserve"> (AIC) ha</w:t>
      </w:r>
      <w:r w:rsidR="00DB6FE1">
        <w:rPr>
          <w:lang w:val="en-US"/>
        </w:rPr>
        <w:t>d</w:t>
      </w:r>
      <w:r w:rsidRPr="00730E4F">
        <w:rPr>
          <w:lang w:val="en-US"/>
        </w:rPr>
        <w:t xml:space="preserve"> not been renewed</w:t>
      </w:r>
      <w:r w:rsidR="003A398D">
        <w:rPr>
          <w:lang w:val="en-US"/>
        </w:rPr>
        <w:t xml:space="preserve"> by the time of this Review</w:t>
      </w:r>
      <w:r w:rsidRPr="00730E4F">
        <w:rPr>
          <w:lang w:val="en-US"/>
        </w:rPr>
        <w:t>.</w:t>
      </w:r>
    </w:p>
    <w:p w14:paraId="0ECA4D3F" w14:textId="7B4BEF25" w:rsidR="00301880" w:rsidRPr="00301880" w:rsidRDefault="00301880" w:rsidP="008B095E">
      <w:pPr>
        <w:pStyle w:val="BodyText"/>
        <w:spacing w:line="240" w:lineRule="auto"/>
        <w:rPr>
          <w:lang w:val="en-US"/>
        </w:rPr>
      </w:pPr>
      <w:r w:rsidRPr="00730E4F">
        <w:rPr>
          <w:lang w:val="en-US"/>
        </w:rPr>
        <w:t xml:space="preserve">Below is a summary of </w:t>
      </w:r>
      <w:r w:rsidR="00903EA7">
        <w:rPr>
          <w:lang w:val="en-US"/>
        </w:rPr>
        <w:t xml:space="preserve">ASAs between DFAT and the GoPNG agencies and their counterpart </w:t>
      </w:r>
      <w:r w:rsidRPr="00730E4F">
        <w:rPr>
          <w:lang w:val="en-US"/>
        </w:rPr>
        <w:t>agencies in Australia</w:t>
      </w:r>
      <w:r w:rsidR="005C2F50">
        <w:rPr>
          <w:lang w:val="en-US"/>
        </w:rPr>
        <w:t>:</w:t>
      </w:r>
      <w:r w:rsidRPr="00730E4F">
        <w:rPr>
          <w:lang w:val="en-US"/>
        </w:rPr>
        <w:t xml:space="preserve"> </w:t>
      </w:r>
    </w:p>
    <w:tbl>
      <w:tblPr>
        <w:tblStyle w:val="Style1"/>
        <w:tblW w:w="5000" w:type="pct"/>
        <w:tblLook w:val="04A0" w:firstRow="1" w:lastRow="0" w:firstColumn="1" w:lastColumn="0" w:noHBand="0" w:noVBand="1"/>
      </w:tblPr>
      <w:tblGrid>
        <w:gridCol w:w="851"/>
        <w:gridCol w:w="1559"/>
        <w:gridCol w:w="2055"/>
      </w:tblGrid>
      <w:tr w:rsidR="00137A4C" w:rsidRPr="00301880" w14:paraId="34944511" w14:textId="77777777" w:rsidTr="008139D1">
        <w:trPr>
          <w:cnfStyle w:val="100000000000" w:firstRow="1" w:lastRow="0" w:firstColumn="0" w:lastColumn="0" w:oddVBand="0" w:evenVBand="0" w:oddHBand="0" w:evenHBand="0" w:firstRowFirstColumn="0" w:firstRowLastColumn="0" w:lastRowFirstColumn="0" w:lastRowLastColumn="0"/>
          <w:trHeight w:val="425"/>
        </w:trPr>
        <w:tc>
          <w:tcPr>
            <w:tcW w:w="953" w:type="pct"/>
            <w:vAlign w:val="center"/>
          </w:tcPr>
          <w:p w14:paraId="7079E1EC" w14:textId="691162BE" w:rsidR="00137A4C" w:rsidRPr="00301880" w:rsidRDefault="00903EA7" w:rsidP="008139D1">
            <w:pPr>
              <w:spacing w:before="0" w:after="0"/>
              <w:jc w:val="left"/>
              <w:rPr>
                <w:rFonts w:asciiTheme="minorHAnsi" w:eastAsia="Calibri" w:hAnsiTheme="minorHAnsi" w:cs="Calibri Light"/>
                <w:bCs/>
                <w:sz w:val="18"/>
                <w:szCs w:val="18"/>
              </w:rPr>
            </w:pPr>
            <w:r>
              <w:rPr>
                <w:rFonts w:asciiTheme="minorHAnsi" w:eastAsia="Calibri" w:hAnsiTheme="minorHAnsi" w:cs="Calibri Light"/>
                <w:bCs/>
                <w:sz w:val="18"/>
                <w:szCs w:val="18"/>
              </w:rPr>
              <w:t xml:space="preserve">DFAT </w:t>
            </w:r>
          </w:p>
        </w:tc>
        <w:tc>
          <w:tcPr>
            <w:tcW w:w="1746" w:type="pct"/>
            <w:vAlign w:val="center"/>
          </w:tcPr>
          <w:p w14:paraId="02021B32" w14:textId="67DE3781" w:rsidR="00137A4C" w:rsidRPr="00301880" w:rsidRDefault="00137A4C" w:rsidP="008139D1">
            <w:pPr>
              <w:spacing w:before="0" w:after="0"/>
              <w:jc w:val="left"/>
              <w:rPr>
                <w:b w:val="0"/>
                <w:bCs/>
                <w:color w:val="007C89" w:themeColor="accent1"/>
                <w:sz w:val="18"/>
                <w:szCs w:val="18"/>
                <w:lang w:val="en-NZ" w:eastAsia="en-AU"/>
              </w:rPr>
            </w:pPr>
            <w:r w:rsidRPr="00301880">
              <w:rPr>
                <w:rFonts w:asciiTheme="minorHAnsi" w:eastAsia="Calibri" w:hAnsiTheme="minorHAnsi" w:cs="Calibri Light"/>
                <w:bCs/>
                <w:sz w:val="18"/>
                <w:szCs w:val="18"/>
              </w:rPr>
              <w:t>GoPNG Transport Agencies</w:t>
            </w:r>
            <w:r w:rsidR="002A0DD3">
              <w:rPr>
                <w:rFonts w:asciiTheme="minorHAnsi" w:eastAsia="Calibri" w:hAnsiTheme="minorHAnsi" w:cs="Calibri Light"/>
                <w:bCs/>
                <w:sz w:val="18"/>
                <w:szCs w:val="18"/>
              </w:rPr>
              <w:t xml:space="preserve"> with ASAs </w:t>
            </w:r>
          </w:p>
        </w:tc>
        <w:tc>
          <w:tcPr>
            <w:tcW w:w="2301" w:type="pct"/>
            <w:vAlign w:val="center"/>
          </w:tcPr>
          <w:p w14:paraId="25D9EE36" w14:textId="09B51465" w:rsidR="00137A4C" w:rsidRPr="00301880" w:rsidRDefault="00137A4C" w:rsidP="008139D1">
            <w:pPr>
              <w:spacing w:before="0" w:after="0"/>
              <w:jc w:val="left"/>
              <w:rPr>
                <w:b w:val="0"/>
                <w:bCs/>
                <w:color w:val="007C89" w:themeColor="accent1"/>
                <w:sz w:val="18"/>
                <w:szCs w:val="18"/>
                <w:lang w:val="en-NZ" w:eastAsia="en-AU"/>
              </w:rPr>
            </w:pPr>
            <w:r>
              <w:rPr>
                <w:rFonts w:asciiTheme="minorHAnsi" w:eastAsia="Calibri" w:hAnsiTheme="minorHAnsi" w:cs="Calibri Light"/>
                <w:bCs/>
                <w:sz w:val="18"/>
                <w:szCs w:val="18"/>
              </w:rPr>
              <w:t xml:space="preserve">Counterpart </w:t>
            </w:r>
            <w:r w:rsidRPr="00301880">
              <w:rPr>
                <w:rFonts w:asciiTheme="minorHAnsi" w:eastAsia="Calibri" w:hAnsiTheme="minorHAnsi" w:cs="Calibri Light"/>
                <w:bCs/>
                <w:sz w:val="18"/>
                <w:szCs w:val="18"/>
              </w:rPr>
              <w:t>Australian Government Transport Agencies</w:t>
            </w:r>
          </w:p>
        </w:tc>
      </w:tr>
      <w:tr w:rsidR="00137A4C" w:rsidRPr="00301880" w14:paraId="63F2D83F" w14:textId="77777777" w:rsidTr="008139D1">
        <w:trPr>
          <w:trHeight w:val="284"/>
        </w:trPr>
        <w:tc>
          <w:tcPr>
            <w:tcW w:w="953" w:type="pct"/>
            <w:vMerge w:val="restart"/>
            <w:shd w:val="clear" w:color="auto" w:fill="F2F2F2" w:themeFill="background1" w:themeFillShade="F2"/>
            <w:vAlign w:val="center"/>
          </w:tcPr>
          <w:p w14:paraId="5F56F3AB" w14:textId="43A21909" w:rsidR="00137A4C" w:rsidRPr="00301880" w:rsidRDefault="002A0DD3" w:rsidP="008139D1">
            <w:pPr>
              <w:pStyle w:val="BodyText"/>
              <w:spacing w:before="0" w:after="0" w:line="240" w:lineRule="auto"/>
              <w:rPr>
                <w:sz w:val="18"/>
                <w:szCs w:val="18"/>
                <w:lang w:val="en-NZ" w:eastAsia="en-AU"/>
              </w:rPr>
            </w:pPr>
            <w:r>
              <w:rPr>
                <w:sz w:val="18"/>
                <w:szCs w:val="18"/>
                <w:lang w:val="en-NZ" w:eastAsia="en-AU"/>
              </w:rPr>
              <w:t xml:space="preserve">DFAT </w:t>
            </w:r>
          </w:p>
        </w:tc>
        <w:tc>
          <w:tcPr>
            <w:tcW w:w="1746" w:type="pct"/>
          </w:tcPr>
          <w:p w14:paraId="372A778A" w14:textId="7BD96DD1" w:rsidR="00137A4C" w:rsidRPr="00301880" w:rsidRDefault="00137A4C" w:rsidP="008B095E">
            <w:pPr>
              <w:pStyle w:val="BodyText"/>
              <w:spacing w:before="0" w:after="0" w:line="240" w:lineRule="auto"/>
              <w:rPr>
                <w:b/>
                <w:bCs/>
                <w:sz w:val="18"/>
                <w:szCs w:val="18"/>
                <w:lang w:val="en-NZ" w:eastAsia="en-AU"/>
              </w:rPr>
            </w:pPr>
            <w:r w:rsidRPr="00301880">
              <w:rPr>
                <w:sz w:val="18"/>
                <w:szCs w:val="18"/>
                <w:lang w:val="en-NZ" w:eastAsia="en-AU"/>
              </w:rPr>
              <w:t>Department of Transport (DoT)</w:t>
            </w:r>
          </w:p>
        </w:tc>
        <w:tc>
          <w:tcPr>
            <w:tcW w:w="2301" w:type="pct"/>
            <w:vAlign w:val="center"/>
          </w:tcPr>
          <w:p w14:paraId="7338C538" w14:textId="77777777" w:rsidR="00137A4C" w:rsidRPr="00301880" w:rsidRDefault="00137A4C" w:rsidP="008B095E">
            <w:pPr>
              <w:pStyle w:val="BodyText"/>
              <w:spacing w:before="0" w:after="0" w:line="240" w:lineRule="auto"/>
              <w:rPr>
                <w:sz w:val="18"/>
                <w:szCs w:val="18"/>
                <w:lang w:val="en-NZ" w:eastAsia="en-AU"/>
              </w:rPr>
            </w:pPr>
            <w:r w:rsidRPr="00301880">
              <w:rPr>
                <w:sz w:val="18"/>
                <w:szCs w:val="18"/>
                <w:lang w:val="en-NZ" w:eastAsia="en-AU"/>
              </w:rPr>
              <w:t>Department of Infrastructure, Transport, Regional Development, and Communication (DITRDC)</w:t>
            </w:r>
          </w:p>
        </w:tc>
      </w:tr>
      <w:tr w:rsidR="00137A4C" w:rsidRPr="00301880" w14:paraId="7256E875" w14:textId="77777777" w:rsidTr="008139D1">
        <w:trPr>
          <w:trHeight w:val="300"/>
        </w:trPr>
        <w:tc>
          <w:tcPr>
            <w:tcW w:w="953" w:type="pct"/>
            <w:vMerge/>
            <w:shd w:val="clear" w:color="auto" w:fill="F2F2F2" w:themeFill="background1" w:themeFillShade="F2"/>
          </w:tcPr>
          <w:p w14:paraId="7270C3E8" w14:textId="77777777" w:rsidR="00137A4C" w:rsidRPr="00301880" w:rsidRDefault="00137A4C" w:rsidP="008B095E">
            <w:pPr>
              <w:pStyle w:val="BodyText"/>
              <w:spacing w:before="0" w:after="0" w:line="240" w:lineRule="auto"/>
              <w:rPr>
                <w:sz w:val="18"/>
                <w:szCs w:val="18"/>
                <w:lang w:val="en-NZ" w:eastAsia="en-AU"/>
              </w:rPr>
            </w:pPr>
          </w:p>
        </w:tc>
        <w:tc>
          <w:tcPr>
            <w:tcW w:w="1746" w:type="pct"/>
          </w:tcPr>
          <w:p w14:paraId="765EE018" w14:textId="5906BC40" w:rsidR="00137A4C" w:rsidRPr="00301880" w:rsidRDefault="00137A4C" w:rsidP="008B095E">
            <w:pPr>
              <w:pStyle w:val="BodyText"/>
              <w:spacing w:before="0" w:after="0" w:line="240" w:lineRule="auto"/>
              <w:rPr>
                <w:sz w:val="18"/>
                <w:szCs w:val="18"/>
                <w:lang w:val="en-NZ" w:eastAsia="en-AU"/>
              </w:rPr>
            </w:pPr>
            <w:r w:rsidRPr="00301880">
              <w:rPr>
                <w:sz w:val="18"/>
                <w:szCs w:val="18"/>
                <w:lang w:val="en-NZ" w:eastAsia="en-AU"/>
              </w:rPr>
              <w:t>PNG Civil Aviation Safety Authority (CASA PNG)</w:t>
            </w:r>
          </w:p>
        </w:tc>
        <w:tc>
          <w:tcPr>
            <w:tcW w:w="2301" w:type="pct"/>
            <w:vAlign w:val="center"/>
          </w:tcPr>
          <w:p w14:paraId="0296E835" w14:textId="730C49BF" w:rsidR="00137A4C" w:rsidRPr="00301880" w:rsidRDefault="00137A4C" w:rsidP="008B095E">
            <w:pPr>
              <w:pStyle w:val="BodyText"/>
              <w:spacing w:before="0" w:after="0" w:line="240" w:lineRule="auto"/>
              <w:rPr>
                <w:sz w:val="18"/>
                <w:szCs w:val="18"/>
                <w:lang w:val="en-NZ" w:eastAsia="en-AU"/>
              </w:rPr>
            </w:pPr>
            <w:r w:rsidRPr="00301880">
              <w:rPr>
                <w:sz w:val="18"/>
                <w:szCs w:val="18"/>
                <w:lang w:val="en-NZ" w:eastAsia="en-AU"/>
              </w:rPr>
              <w:t>CASA Australia</w:t>
            </w:r>
          </w:p>
        </w:tc>
      </w:tr>
      <w:tr w:rsidR="00137A4C" w:rsidRPr="00301880" w14:paraId="4587D1B6" w14:textId="77777777" w:rsidTr="008139D1">
        <w:trPr>
          <w:trHeight w:val="284"/>
        </w:trPr>
        <w:tc>
          <w:tcPr>
            <w:tcW w:w="953" w:type="pct"/>
            <w:vMerge/>
            <w:shd w:val="clear" w:color="auto" w:fill="F2F2F2" w:themeFill="background1" w:themeFillShade="F2"/>
          </w:tcPr>
          <w:p w14:paraId="0A48C7D2" w14:textId="77777777" w:rsidR="00137A4C" w:rsidRPr="00301880" w:rsidRDefault="00137A4C" w:rsidP="008B095E">
            <w:pPr>
              <w:pStyle w:val="BodyText"/>
              <w:spacing w:before="0" w:after="0" w:line="240" w:lineRule="auto"/>
              <w:rPr>
                <w:sz w:val="18"/>
                <w:szCs w:val="18"/>
                <w:lang w:eastAsia="en-AU"/>
              </w:rPr>
            </w:pPr>
          </w:p>
        </w:tc>
        <w:tc>
          <w:tcPr>
            <w:tcW w:w="1746" w:type="pct"/>
          </w:tcPr>
          <w:p w14:paraId="01B1FDF0" w14:textId="40334772" w:rsidR="00137A4C" w:rsidRPr="00301880" w:rsidRDefault="00137A4C" w:rsidP="008B095E">
            <w:pPr>
              <w:pStyle w:val="BodyText"/>
              <w:spacing w:before="0" w:after="0" w:line="240" w:lineRule="auto"/>
              <w:rPr>
                <w:sz w:val="18"/>
                <w:szCs w:val="18"/>
                <w:lang w:eastAsia="en-AU"/>
              </w:rPr>
            </w:pPr>
            <w:r w:rsidRPr="00301880">
              <w:rPr>
                <w:sz w:val="18"/>
                <w:szCs w:val="18"/>
                <w:lang w:eastAsia="en-AU"/>
              </w:rPr>
              <w:t>NiuSky Pacific Limited (NSPL)</w:t>
            </w:r>
          </w:p>
        </w:tc>
        <w:tc>
          <w:tcPr>
            <w:tcW w:w="2301" w:type="pct"/>
            <w:vAlign w:val="center"/>
          </w:tcPr>
          <w:p w14:paraId="340BD8C5" w14:textId="27473D6D" w:rsidR="00137A4C" w:rsidRPr="00301880" w:rsidRDefault="00137A4C" w:rsidP="008B095E">
            <w:pPr>
              <w:pStyle w:val="BodyText"/>
              <w:spacing w:before="0" w:after="0" w:line="240" w:lineRule="auto"/>
              <w:rPr>
                <w:sz w:val="18"/>
                <w:szCs w:val="18"/>
                <w:lang w:val="en-NZ" w:eastAsia="en-AU"/>
              </w:rPr>
            </w:pPr>
            <w:r w:rsidRPr="00301880">
              <w:rPr>
                <w:sz w:val="18"/>
                <w:szCs w:val="18"/>
                <w:lang w:val="en-NZ" w:eastAsia="en-AU"/>
              </w:rPr>
              <w:t>Air Service Australia</w:t>
            </w:r>
          </w:p>
        </w:tc>
      </w:tr>
      <w:tr w:rsidR="00137A4C" w:rsidRPr="00301880" w14:paraId="50A2E365" w14:textId="77777777" w:rsidTr="008139D1">
        <w:trPr>
          <w:trHeight w:val="268"/>
        </w:trPr>
        <w:tc>
          <w:tcPr>
            <w:tcW w:w="953" w:type="pct"/>
            <w:vMerge/>
            <w:shd w:val="clear" w:color="auto" w:fill="F2F2F2" w:themeFill="background1" w:themeFillShade="F2"/>
          </w:tcPr>
          <w:p w14:paraId="78FCCA8D" w14:textId="77777777" w:rsidR="00137A4C" w:rsidRPr="00301880" w:rsidRDefault="00137A4C" w:rsidP="008B095E">
            <w:pPr>
              <w:pStyle w:val="BodyText"/>
              <w:spacing w:before="0" w:after="0" w:line="240" w:lineRule="auto"/>
              <w:rPr>
                <w:sz w:val="18"/>
                <w:szCs w:val="18"/>
                <w:lang w:eastAsia="en-AU"/>
              </w:rPr>
            </w:pPr>
          </w:p>
        </w:tc>
        <w:tc>
          <w:tcPr>
            <w:tcW w:w="1746" w:type="pct"/>
          </w:tcPr>
          <w:p w14:paraId="393505D7" w14:textId="3FA35B92" w:rsidR="00137A4C" w:rsidRPr="00301880" w:rsidRDefault="00137A4C" w:rsidP="008B095E">
            <w:pPr>
              <w:pStyle w:val="BodyText"/>
              <w:spacing w:before="0" w:after="0" w:line="240" w:lineRule="auto"/>
              <w:rPr>
                <w:sz w:val="18"/>
                <w:szCs w:val="18"/>
                <w:lang w:eastAsia="en-AU"/>
              </w:rPr>
            </w:pPr>
            <w:r w:rsidRPr="00301880">
              <w:rPr>
                <w:sz w:val="18"/>
                <w:szCs w:val="18"/>
                <w:lang w:eastAsia="en-AU"/>
              </w:rPr>
              <w:t>Accident Investigation Commission (AIC)</w:t>
            </w:r>
          </w:p>
        </w:tc>
        <w:tc>
          <w:tcPr>
            <w:tcW w:w="2301" w:type="pct"/>
            <w:vAlign w:val="center"/>
          </w:tcPr>
          <w:p w14:paraId="7526128F" w14:textId="39762BB5" w:rsidR="00137A4C" w:rsidRPr="00301880" w:rsidRDefault="00137A4C" w:rsidP="008B095E">
            <w:pPr>
              <w:pStyle w:val="BodyText"/>
              <w:spacing w:before="0" w:after="0" w:line="240" w:lineRule="auto"/>
              <w:rPr>
                <w:sz w:val="18"/>
                <w:szCs w:val="18"/>
                <w:lang w:val="en-NZ" w:eastAsia="en-AU"/>
              </w:rPr>
            </w:pPr>
            <w:r w:rsidRPr="00301880">
              <w:rPr>
                <w:sz w:val="18"/>
                <w:szCs w:val="18"/>
                <w:lang w:val="en-NZ" w:eastAsia="en-AU"/>
              </w:rPr>
              <w:t>Australia Transport Safety Bureau (ATSB)</w:t>
            </w:r>
          </w:p>
        </w:tc>
      </w:tr>
      <w:tr w:rsidR="00F569E3" w:rsidRPr="00301880" w14:paraId="22282EBC" w14:textId="77777777" w:rsidTr="00F569E3">
        <w:trPr>
          <w:trHeight w:val="403"/>
        </w:trPr>
        <w:tc>
          <w:tcPr>
            <w:tcW w:w="953" w:type="pct"/>
            <w:vMerge/>
            <w:shd w:val="clear" w:color="auto" w:fill="F2F2F2" w:themeFill="background1" w:themeFillShade="F2"/>
          </w:tcPr>
          <w:p w14:paraId="0A7CA29B" w14:textId="77777777" w:rsidR="00F569E3" w:rsidRPr="00301880" w:rsidRDefault="00F569E3" w:rsidP="008B095E">
            <w:pPr>
              <w:pStyle w:val="BodyText"/>
              <w:spacing w:before="0" w:after="0" w:line="240" w:lineRule="auto"/>
              <w:rPr>
                <w:sz w:val="18"/>
                <w:szCs w:val="18"/>
                <w:lang w:eastAsia="en-AU"/>
              </w:rPr>
            </w:pPr>
          </w:p>
        </w:tc>
        <w:tc>
          <w:tcPr>
            <w:tcW w:w="1746" w:type="pct"/>
          </w:tcPr>
          <w:p w14:paraId="0CEC5A87" w14:textId="3EF9A6B1" w:rsidR="00F569E3" w:rsidRPr="00301880" w:rsidRDefault="00F569E3" w:rsidP="008B095E">
            <w:pPr>
              <w:pStyle w:val="BodyText"/>
              <w:spacing w:before="0" w:after="0" w:line="240" w:lineRule="auto"/>
              <w:rPr>
                <w:sz w:val="18"/>
                <w:szCs w:val="18"/>
                <w:lang w:eastAsia="en-AU"/>
              </w:rPr>
            </w:pPr>
            <w:r w:rsidRPr="00301880">
              <w:rPr>
                <w:sz w:val="18"/>
                <w:szCs w:val="18"/>
                <w:lang w:eastAsia="en-AU"/>
              </w:rPr>
              <w:t>National Weather Service (NWS)</w:t>
            </w:r>
          </w:p>
        </w:tc>
        <w:tc>
          <w:tcPr>
            <w:tcW w:w="2301" w:type="pct"/>
            <w:vAlign w:val="center"/>
          </w:tcPr>
          <w:p w14:paraId="625997FA" w14:textId="77777777" w:rsidR="00F569E3" w:rsidRPr="00301880" w:rsidRDefault="00F569E3" w:rsidP="008B095E">
            <w:pPr>
              <w:pStyle w:val="BodyText"/>
              <w:spacing w:before="0" w:after="0" w:line="240" w:lineRule="auto"/>
              <w:rPr>
                <w:sz w:val="18"/>
                <w:szCs w:val="18"/>
                <w:lang w:val="en-NZ" w:eastAsia="en-AU"/>
              </w:rPr>
            </w:pPr>
            <w:r w:rsidRPr="00301880">
              <w:rPr>
                <w:sz w:val="18"/>
                <w:szCs w:val="18"/>
                <w:lang w:val="en-NZ" w:eastAsia="en-AU"/>
              </w:rPr>
              <w:t>Australia Bureau of Meteorology</w:t>
            </w:r>
          </w:p>
        </w:tc>
      </w:tr>
    </w:tbl>
    <w:p w14:paraId="07680769" w14:textId="531ECA30" w:rsidR="00301880" w:rsidRPr="00D83032" w:rsidRDefault="00301880" w:rsidP="008B095E">
      <w:pPr>
        <w:pStyle w:val="BodyText"/>
        <w:spacing w:line="240" w:lineRule="auto"/>
        <w:rPr>
          <w:lang w:val="en-US"/>
        </w:rPr>
      </w:pPr>
      <w:r w:rsidRPr="00D83032">
        <w:rPr>
          <w:lang w:val="en-US"/>
        </w:rPr>
        <w:t xml:space="preserve">Through the ASAs, </w:t>
      </w:r>
      <w:r>
        <w:rPr>
          <w:lang w:val="en-US"/>
        </w:rPr>
        <w:t xml:space="preserve">the </w:t>
      </w:r>
      <w:r w:rsidRPr="00D83032">
        <w:rPr>
          <w:lang w:val="en-US"/>
        </w:rPr>
        <w:t>GoPNG</w:t>
      </w:r>
      <w:r>
        <w:rPr>
          <w:lang w:val="en-US"/>
        </w:rPr>
        <w:t xml:space="preserve"> </w:t>
      </w:r>
      <w:r w:rsidRPr="00D83032">
        <w:rPr>
          <w:lang w:val="en-US"/>
        </w:rPr>
        <w:t>agencies implement the agreed activities and are reimbursed by DFAT. While</w:t>
      </w:r>
      <w:r>
        <w:rPr>
          <w:lang w:val="en-US"/>
        </w:rPr>
        <w:t xml:space="preserve"> </w:t>
      </w:r>
      <w:r w:rsidRPr="00D83032">
        <w:rPr>
          <w:lang w:val="en-US"/>
        </w:rPr>
        <w:t xml:space="preserve">stakeholders affirm that strong leadership is key to the success of the ASA arrangements, across the </w:t>
      </w:r>
      <w:r>
        <w:rPr>
          <w:lang w:val="en-US"/>
        </w:rPr>
        <w:t>Partnership</w:t>
      </w:r>
      <w:r w:rsidRPr="00D83032">
        <w:rPr>
          <w:lang w:val="en-US"/>
        </w:rPr>
        <w:t xml:space="preserve"> program there is an understanding that the ASA arrangements were not considered to be fit for purpose, as the governance framework – initially designed to be management</w:t>
      </w:r>
      <w:r>
        <w:rPr>
          <w:lang w:val="en-US"/>
        </w:rPr>
        <w:t>-</w:t>
      </w:r>
      <w:r w:rsidRPr="00D83032">
        <w:rPr>
          <w:lang w:val="en-US"/>
        </w:rPr>
        <w:t>intensive to encourage local ownership</w:t>
      </w:r>
      <w:r>
        <w:rPr>
          <w:lang w:val="en-US"/>
        </w:rPr>
        <w:t xml:space="preserve"> </w:t>
      </w:r>
      <w:r w:rsidRPr="00D83032">
        <w:rPr>
          <w:lang w:val="en-US"/>
        </w:rPr>
        <w:t>– has instead proved onerous</w:t>
      </w:r>
      <w:r>
        <w:rPr>
          <w:lang w:val="en-US"/>
        </w:rPr>
        <w:t>.</w:t>
      </w:r>
    </w:p>
    <w:p w14:paraId="3CF1027D" w14:textId="7E74A98F" w:rsidR="00301880" w:rsidRDefault="00301880" w:rsidP="008B095E">
      <w:pPr>
        <w:pStyle w:val="BodyText"/>
        <w:spacing w:line="240" w:lineRule="auto"/>
        <w:rPr>
          <w:lang w:val="en-US"/>
        </w:rPr>
      </w:pPr>
      <w:r w:rsidRPr="005441DE">
        <w:rPr>
          <w:lang w:val="en-US"/>
        </w:rPr>
        <w:t xml:space="preserve">Senior officials within GoPNG commented that </w:t>
      </w:r>
      <w:r>
        <w:rPr>
          <w:lang w:val="en-US"/>
        </w:rPr>
        <w:t>while the ASAs</w:t>
      </w:r>
      <w:r w:rsidRPr="005441DE">
        <w:rPr>
          <w:lang w:val="en-US"/>
        </w:rPr>
        <w:t xml:space="preserve"> are working well</w:t>
      </w:r>
      <w:r>
        <w:rPr>
          <w:lang w:val="en-US"/>
        </w:rPr>
        <w:t xml:space="preserve"> and would like these partnerships to continue,</w:t>
      </w:r>
      <w:r w:rsidRPr="005441DE">
        <w:rPr>
          <w:lang w:val="en-US"/>
        </w:rPr>
        <w:t xml:space="preserve"> </w:t>
      </w:r>
      <w:r>
        <w:rPr>
          <w:lang w:val="en-US"/>
        </w:rPr>
        <w:t>they could</w:t>
      </w:r>
      <w:r w:rsidRPr="005441DE">
        <w:rPr>
          <w:lang w:val="en-US"/>
        </w:rPr>
        <w:t xml:space="preserve"> be improved</w:t>
      </w:r>
      <w:r>
        <w:rPr>
          <w:lang w:val="en-US"/>
        </w:rPr>
        <w:t xml:space="preserve"> by </w:t>
      </w:r>
      <w:r w:rsidRPr="005441DE">
        <w:rPr>
          <w:lang w:val="en-US"/>
        </w:rPr>
        <w:t>broaden</w:t>
      </w:r>
      <w:r>
        <w:rPr>
          <w:lang w:val="en-US"/>
        </w:rPr>
        <w:t>ing</w:t>
      </w:r>
      <w:r w:rsidRPr="005441DE">
        <w:rPr>
          <w:lang w:val="en-US"/>
        </w:rPr>
        <w:t xml:space="preserve"> their scope to </w:t>
      </w:r>
      <w:r>
        <w:rPr>
          <w:lang w:val="en-US"/>
        </w:rPr>
        <w:t xml:space="preserve">respond to </w:t>
      </w:r>
      <w:r w:rsidRPr="005441DE">
        <w:rPr>
          <w:lang w:val="en-US"/>
        </w:rPr>
        <w:t>emerging priorities</w:t>
      </w:r>
      <w:r>
        <w:rPr>
          <w:lang w:val="en-US"/>
        </w:rPr>
        <w:t xml:space="preserve"> in PNG</w:t>
      </w:r>
      <w:r w:rsidRPr="005441DE">
        <w:rPr>
          <w:lang w:val="en-US"/>
        </w:rPr>
        <w:t>.</w:t>
      </w:r>
      <w:r>
        <w:rPr>
          <w:lang w:val="en-US"/>
        </w:rPr>
        <w:t xml:space="preserve"> This presents an opportunity for DFAT to </w:t>
      </w:r>
      <w:r w:rsidR="00664B35">
        <w:rPr>
          <w:lang w:val="en-US"/>
        </w:rPr>
        <w:t xml:space="preserve">support the </w:t>
      </w:r>
      <w:r w:rsidR="003D2F65">
        <w:rPr>
          <w:lang w:val="en-US"/>
        </w:rPr>
        <w:t xml:space="preserve">revision </w:t>
      </w:r>
      <w:r w:rsidR="00417B40">
        <w:rPr>
          <w:lang w:val="en-US"/>
        </w:rPr>
        <w:t>of the</w:t>
      </w:r>
      <w:r w:rsidR="00664B35">
        <w:rPr>
          <w:lang w:val="en-US"/>
        </w:rPr>
        <w:t xml:space="preserve"> </w:t>
      </w:r>
      <w:r w:rsidR="008318D1">
        <w:rPr>
          <w:lang w:val="en-US"/>
        </w:rPr>
        <w:t xml:space="preserve">agency </w:t>
      </w:r>
      <w:r>
        <w:rPr>
          <w:lang w:val="en-US"/>
        </w:rPr>
        <w:t>capacity diagnostics</w:t>
      </w:r>
      <w:r w:rsidR="00B95131">
        <w:rPr>
          <w:lang w:val="en-US"/>
        </w:rPr>
        <w:t xml:space="preserve"> </w:t>
      </w:r>
      <w:r w:rsidR="00B95131" w:rsidRPr="00535A80">
        <w:rPr>
          <w:lang w:val="en-US"/>
        </w:rPr>
        <w:t>(ACD)</w:t>
      </w:r>
      <w:r w:rsidR="008318D1" w:rsidRPr="00D163B0">
        <w:rPr>
          <w:lang w:val="en-US"/>
        </w:rPr>
        <w:t>.</w:t>
      </w:r>
      <w:r w:rsidR="008318D1">
        <w:rPr>
          <w:lang w:val="en-US"/>
        </w:rPr>
        <w:t xml:space="preserve"> </w:t>
      </w:r>
      <w:r w:rsidR="000F0930">
        <w:rPr>
          <w:lang w:val="en-US"/>
        </w:rPr>
        <w:t xml:space="preserve">The </w:t>
      </w:r>
      <w:r w:rsidR="00B95131">
        <w:rPr>
          <w:lang w:val="en-US"/>
        </w:rPr>
        <w:t>ACD</w:t>
      </w:r>
      <w:r w:rsidR="000F0930">
        <w:rPr>
          <w:lang w:val="en-US"/>
        </w:rPr>
        <w:t xml:space="preserve"> conducted in 2015 </w:t>
      </w:r>
      <w:r w:rsidR="0062238C">
        <w:rPr>
          <w:lang w:val="en-US"/>
        </w:rPr>
        <w:t>(see page 18)</w:t>
      </w:r>
      <w:r w:rsidR="00B71EC1">
        <w:rPr>
          <w:lang w:val="en-US"/>
        </w:rPr>
        <w:t xml:space="preserve"> </w:t>
      </w:r>
      <w:r w:rsidR="00D3275B">
        <w:rPr>
          <w:lang w:val="en-US"/>
        </w:rPr>
        <w:t xml:space="preserve">was an </w:t>
      </w:r>
      <w:r w:rsidR="00D3275B" w:rsidRPr="00D3275B">
        <w:rPr>
          <w:lang w:val="en-US"/>
        </w:rPr>
        <w:t>objective</w:t>
      </w:r>
      <w:r w:rsidR="00D3275B">
        <w:rPr>
          <w:lang w:val="en-US"/>
        </w:rPr>
        <w:t xml:space="preserve"> </w:t>
      </w:r>
      <w:r w:rsidR="00D3275B" w:rsidRPr="00D3275B">
        <w:rPr>
          <w:lang w:val="en-US"/>
        </w:rPr>
        <w:t>assessment of</w:t>
      </w:r>
      <w:r w:rsidR="00B95131">
        <w:rPr>
          <w:lang w:val="en-US"/>
        </w:rPr>
        <w:t xml:space="preserve"> the </w:t>
      </w:r>
      <w:r w:rsidR="00D33397">
        <w:rPr>
          <w:lang w:val="en-US"/>
        </w:rPr>
        <w:t xml:space="preserve">DoT’s </w:t>
      </w:r>
      <w:r w:rsidR="00D33397" w:rsidRPr="00D3275B">
        <w:rPr>
          <w:lang w:val="en-US"/>
        </w:rPr>
        <w:t>agencies</w:t>
      </w:r>
      <w:r w:rsidR="00D3275B">
        <w:rPr>
          <w:lang w:val="en-US"/>
        </w:rPr>
        <w:t xml:space="preserve"> </w:t>
      </w:r>
      <w:r w:rsidR="00D3275B" w:rsidRPr="00D3275B">
        <w:rPr>
          <w:lang w:val="en-US"/>
        </w:rPr>
        <w:t xml:space="preserve">capacity to deliver </w:t>
      </w:r>
      <w:r w:rsidR="003D2F65">
        <w:rPr>
          <w:lang w:val="en-US"/>
        </w:rPr>
        <w:t xml:space="preserve">transport </w:t>
      </w:r>
      <w:r w:rsidR="00D3275B" w:rsidRPr="00D3275B">
        <w:rPr>
          <w:lang w:val="en-US"/>
        </w:rPr>
        <w:t>mandated responsibilities</w:t>
      </w:r>
      <w:r w:rsidR="00B95131">
        <w:rPr>
          <w:lang w:val="en-US"/>
        </w:rPr>
        <w:t xml:space="preserve">. </w:t>
      </w:r>
      <w:r w:rsidR="00D33397" w:rsidRPr="00D33397">
        <w:rPr>
          <w:lang w:val="en-US"/>
        </w:rPr>
        <w:t>The Australia</w:t>
      </w:r>
      <w:r w:rsidR="00701F24">
        <w:rPr>
          <w:lang w:val="en-US"/>
        </w:rPr>
        <w:t>n Government</w:t>
      </w:r>
      <w:r w:rsidR="00D33397" w:rsidRPr="00D33397">
        <w:rPr>
          <w:lang w:val="en-US"/>
        </w:rPr>
        <w:t xml:space="preserve"> use</w:t>
      </w:r>
      <w:r w:rsidR="00D33397">
        <w:rPr>
          <w:lang w:val="en-US"/>
        </w:rPr>
        <w:t xml:space="preserve">d ACD findings </w:t>
      </w:r>
      <w:r w:rsidR="00D33397" w:rsidRPr="00D33397">
        <w:rPr>
          <w:lang w:val="en-US"/>
        </w:rPr>
        <w:t>to support the</w:t>
      </w:r>
      <w:r w:rsidR="00D33397">
        <w:rPr>
          <w:lang w:val="en-US"/>
        </w:rPr>
        <w:t xml:space="preserve"> </w:t>
      </w:r>
      <w:r w:rsidR="00D33397" w:rsidRPr="00D33397">
        <w:rPr>
          <w:lang w:val="en-US"/>
        </w:rPr>
        <w:t>preparation of</w:t>
      </w:r>
      <w:r w:rsidR="00B87D8D">
        <w:rPr>
          <w:lang w:val="en-US"/>
        </w:rPr>
        <w:t xml:space="preserve"> ASAs </w:t>
      </w:r>
      <w:r w:rsidR="00D33397" w:rsidRPr="00D33397">
        <w:rPr>
          <w:lang w:val="en-US"/>
        </w:rPr>
        <w:t xml:space="preserve">with DoT for </w:t>
      </w:r>
      <w:r w:rsidR="004604CC">
        <w:rPr>
          <w:lang w:val="en-US"/>
        </w:rPr>
        <w:t xml:space="preserve">implementation under </w:t>
      </w:r>
      <w:r w:rsidR="00D33397" w:rsidRPr="00D33397">
        <w:rPr>
          <w:lang w:val="en-US"/>
        </w:rPr>
        <w:t xml:space="preserve">the </w:t>
      </w:r>
      <w:r w:rsidR="00B87D8D">
        <w:rPr>
          <w:lang w:val="en-US"/>
        </w:rPr>
        <w:t>TSSP2.</w:t>
      </w:r>
      <w:r w:rsidR="00925E0C">
        <w:rPr>
          <w:lang w:val="en-US"/>
        </w:rPr>
        <w:t xml:space="preserve"> </w:t>
      </w:r>
      <w:r w:rsidR="00FC12B2">
        <w:rPr>
          <w:lang w:val="en-US"/>
        </w:rPr>
        <w:t xml:space="preserve">The </w:t>
      </w:r>
      <w:r w:rsidR="00241119">
        <w:rPr>
          <w:lang w:val="en-US"/>
        </w:rPr>
        <w:t xml:space="preserve">revision of </w:t>
      </w:r>
      <w:r w:rsidR="00FC12B2">
        <w:rPr>
          <w:lang w:val="en-US"/>
        </w:rPr>
        <w:t xml:space="preserve">the ACD should </w:t>
      </w:r>
      <w:r w:rsidR="00241119">
        <w:rPr>
          <w:lang w:val="en-US"/>
        </w:rPr>
        <w:t>happen in</w:t>
      </w:r>
      <w:r>
        <w:rPr>
          <w:lang w:val="en-US"/>
        </w:rPr>
        <w:t xml:space="preserve"> tandem with undertaking a political economy analysis to improve understanding of changes in the PNG context and operating environment,</w:t>
      </w:r>
      <w:r>
        <w:rPr>
          <w:rStyle w:val="FootnoteReference"/>
          <w:color w:val="000000" w:themeColor="text1"/>
          <w:lang w:val="en-US"/>
        </w:rPr>
        <w:footnoteReference w:id="2"/>
      </w:r>
      <w:r>
        <w:rPr>
          <w:lang w:val="en-US"/>
        </w:rPr>
        <w:t xml:space="preserve"> and utilise the analysis to inform programming and decision-making.</w:t>
      </w:r>
    </w:p>
    <w:p w14:paraId="33E67D60" w14:textId="65695905" w:rsidR="008139D1" w:rsidRDefault="008139D1">
      <w:pPr>
        <w:autoSpaceDE/>
        <w:autoSpaceDN/>
        <w:adjustRightInd/>
        <w:spacing w:before="0" w:after="160" w:line="259" w:lineRule="auto"/>
        <w:jc w:val="left"/>
        <w:rPr>
          <w:rFonts w:ascii="Calibri Light" w:hAnsi="Calibri Light"/>
          <w:spacing w:val="0"/>
          <w:sz w:val="20"/>
          <w:szCs w:val="19"/>
          <w:lang w:val="en-US"/>
        </w:rPr>
      </w:pPr>
      <w:r>
        <w:rPr>
          <w:lang w:val="en-US"/>
        </w:rPr>
        <w:br w:type="page"/>
      </w:r>
    </w:p>
    <w:p w14:paraId="04F949DC" w14:textId="77777777" w:rsidR="00301880" w:rsidRPr="00301880" w:rsidRDefault="00301880" w:rsidP="00744BBE">
      <w:pPr>
        <w:pStyle w:val="BodyText"/>
        <w:ind w:left="284" w:hanging="284"/>
        <w:rPr>
          <w:b/>
          <w:bCs/>
          <w:color w:val="B5582D" w:themeColor="accent4"/>
          <w:lang w:val="en-US"/>
        </w:rPr>
      </w:pPr>
      <w:r w:rsidRPr="00301880">
        <w:rPr>
          <w:b/>
          <w:bCs/>
          <w:color w:val="B5582D" w:themeColor="accent4"/>
          <w:lang w:val="en-US"/>
        </w:rPr>
        <w:lastRenderedPageBreak/>
        <w:t>3.</w:t>
      </w:r>
      <w:r w:rsidRPr="00301880">
        <w:rPr>
          <w:b/>
          <w:bCs/>
          <w:color w:val="B5582D" w:themeColor="accent4"/>
          <w:lang w:val="en-US"/>
        </w:rPr>
        <w:tab/>
        <w:t>Institutional Partnership Program (IPP)</w:t>
      </w:r>
    </w:p>
    <w:p w14:paraId="6A93253B" w14:textId="313715D4" w:rsidR="00301880" w:rsidRPr="008139D1" w:rsidRDefault="00301880" w:rsidP="0093043C">
      <w:pPr>
        <w:pStyle w:val="BodyText"/>
        <w:tabs>
          <w:tab w:val="left" w:pos="2552"/>
        </w:tabs>
        <w:rPr>
          <w:spacing w:val="-2"/>
          <w:lang w:val="en-US"/>
        </w:rPr>
      </w:pPr>
      <w:bookmarkStart w:id="37" w:name="_Hlk96320055"/>
      <w:r w:rsidRPr="008139D1">
        <w:rPr>
          <w:spacing w:val="-2"/>
          <w:lang w:val="en-US"/>
        </w:rPr>
        <w:t xml:space="preserve">Established in 2017, the IPP provides an avenue for technical support to be provided to transport sector agencies between counterpart agencies. </w:t>
      </w:r>
      <w:bookmarkEnd w:id="37"/>
      <w:r w:rsidRPr="008139D1">
        <w:rPr>
          <w:spacing w:val="-2"/>
        </w:rPr>
        <w:t>The total budget for IPP</w:t>
      </w:r>
      <w:r w:rsidR="00241119" w:rsidRPr="008139D1">
        <w:rPr>
          <w:spacing w:val="-2"/>
        </w:rPr>
        <w:t xml:space="preserve"> (the overall </w:t>
      </w:r>
      <w:r w:rsidR="0063412D" w:rsidRPr="008139D1">
        <w:rPr>
          <w:spacing w:val="-2"/>
        </w:rPr>
        <w:t>Program)</w:t>
      </w:r>
      <w:r w:rsidRPr="008139D1">
        <w:rPr>
          <w:spacing w:val="-2"/>
        </w:rPr>
        <w:t xml:space="preserve"> </w:t>
      </w:r>
      <w:r w:rsidR="00D92275" w:rsidRPr="008139D1">
        <w:rPr>
          <w:spacing w:val="-2"/>
        </w:rPr>
        <w:t xml:space="preserve">of </w:t>
      </w:r>
      <w:r w:rsidRPr="008139D1">
        <w:rPr>
          <w:spacing w:val="-2"/>
        </w:rPr>
        <w:t xml:space="preserve">AUD63 </w:t>
      </w:r>
      <w:r w:rsidR="00785565" w:rsidRPr="008139D1">
        <w:rPr>
          <w:spacing w:val="-2"/>
        </w:rPr>
        <w:t>million funds</w:t>
      </w:r>
      <w:r w:rsidR="0094366E" w:rsidRPr="008139D1">
        <w:rPr>
          <w:spacing w:val="-2"/>
        </w:rPr>
        <w:t xml:space="preserve"> 12 Australian agencies across all participating countries </w:t>
      </w:r>
      <w:r w:rsidRPr="008139D1">
        <w:rPr>
          <w:spacing w:val="-2"/>
        </w:rPr>
        <w:t xml:space="preserve">between 2017 to 2020. </w:t>
      </w:r>
      <w:r w:rsidR="0094366E" w:rsidRPr="008139D1">
        <w:rPr>
          <w:spacing w:val="-2"/>
          <w:lang w:val="en-US"/>
        </w:rPr>
        <w:t>In PNG</w:t>
      </w:r>
      <w:r w:rsidR="00B71EC1" w:rsidRPr="008139D1">
        <w:rPr>
          <w:spacing w:val="-2"/>
          <w:lang w:val="en-US"/>
        </w:rPr>
        <w:t>,</w:t>
      </w:r>
      <w:r w:rsidR="0094366E" w:rsidRPr="008139D1">
        <w:rPr>
          <w:spacing w:val="-2"/>
          <w:lang w:val="en-US"/>
        </w:rPr>
        <w:t xml:space="preserve"> t</w:t>
      </w:r>
      <w:r w:rsidRPr="008139D1">
        <w:rPr>
          <w:spacing w:val="-2"/>
          <w:lang w:val="en-US"/>
        </w:rPr>
        <w:t>his program is well received and had been provided to PNG in previous times as the E</w:t>
      </w:r>
      <w:r w:rsidR="00655910" w:rsidRPr="008139D1">
        <w:rPr>
          <w:spacing w:val="-2"/>
          <w:lang w:val="en-US"/>
        </w:rPr>
        <w:t>nhanced</w:t>
      </w:r>
      <w:r w:rsidRPr="008139D1">
        <w:rPr>
          <w:spacing w:val="-2"/>
          <w:lang w:val="en-US"/>
        </w:rPr>
        <w:t xml:space="preserve"> Cooperation Partnership (ECP) and the Strongim Gavman Program (SGP).</w:t>
      </w:r>
    </w:p>
    <w:p w14:paraId="2A083DFF" w14:textId="47156896" w:rsidR="00301880" w:rsidRPr="005B2C2C" w:rsidRDefault="00301880" w:rsidP="00301880">
      <w:pPr>
        <w:pStyle w:val="BodyText"/>
        <w:rPr>
          <w:lang w:val="en-US"/>
        </w:rPr>
      </w:pPr>
      <w:r w:rsidRPr="005B2C2C">
        <w:rPr>
          <w:lang w:val="en-US"/>
        </w:rPr>
        <w:t xml:space="preserve">Under this program, senior public servants in the Australian Public Service are assigned to work in counterpart agencies in the PNG Public Service. This program is coordinated by the Department of Prime Minister and </w:t>
      </w:r>
      <w:r w:rsidR="0039433D">
        <w:rPr>
          <w:lang w:val="en-US"/>
        </w:rPr>
        <w:t>National Executive Council</w:t>
      </w:r>
      <w:r w:rsidRPr="005B2C2C">
        <w:rPr>
          <w:lang w:val="en-US"/>
        </w:rPr>
        <w:t xml:space="preserve"> in PNG.</w:t>
      </w:r>
      <w:r w:rsidR="0063412D" w:rsidRPr="0063412D">
        <w:t xml:space="preserve"> </w:t>
      </w:r>
      <w:r w:rsidR="0063412D">
        <w:rPr>
          <w:lang w:val="en-US"/>
        </w:rPr>
        <w:t>D</w:t>
      </w:r>
      <w:r w:rsidR="0063412D" w:rsidRPr="0063412D">
        <w:rPr>
          <w:lang w:val="en-US"/>
        </w:rPr>
        <w:t xml:space="preserve">ue to a variety of factors, including the impacts of COVID-19 and the findings of the IPP review, the deployment of advisors in government agencies in PNG was </w:t>
      </w:r>
      <w:r w:rsidR="000A6C16" w:rsidRPr="0063412D">
        <w:rPr>
          <w:lang w:val="en-US"/>
        </w:rPr>
        <w:t>impacted</w:t>
      </w:r>
      <w:r w:rsidR="000A6C16" w:rsidRPr="005B2C2C">
        <w:rPr>
          <w:lang w:val="en-US"/>
        </w:rPr>
        <w:t>.</w:t>
      </w:r>
      <w:r w:rsidR="000A6C16">
        <w:rPr>
          <w:lang w:val="en-US"/>
        </w:rPr>
        <w:t xml:space="preserve"> </w:t>
      </w:r>
      <w:r w:rsidRPr="005B2C2C">
        <w:rPr>
          <w:lang w:val="en-US"/>
        </w:rPr>
        <w:t xml:space="preserve">However, the twinning arrangements where public servants in PNG undertake specific work assignments and training within the counterpart agencies in Australia is in operation. For example, officers from the Department of Prime Minister and </w:t>
      </w:r>
      <w:r w:rsidR="00CE76C9">
        <w:rPr>
          <w:lang w:val="en-US"/>
        </w:rPr>
        <w:t>NEC</w:t>
      </w:r>
      <w:r w:rsidRPr="005B2C2C">
        <w:rPr>
          <w:lang w:val="en-US"/>
        </w:rPr>
        <w:t xml:space="preserve">, PNG </w:t>
      </w:r>
      <w:r w:rsidR="00CE76C9">
        <w:rPr>
          <w:lang w:val="en-US"/>
        </w:rPr>
        <w:t>have previously undertaken</w:t>
      </w:r>
      <w:r w:rsidRPr="005B2C2C">
        <w:rPr>
          <w:lang w:val="en-US"/>
        </w:rPr>
        <w:t xml:space="preserve"> work assignments and training in the Department of Prime Minister and Cabinet in Canberra Australia.</w:t>
      </w:r>
    </w:p>
    <w:p w14:paraId="193F3941" w14:textId="17A79C2C" w:rsidR="00301880" w:rsidRDefault="00301880" w:rsidP="00301880">
      <w:pPr>
        <w:pStyle w:val="BodyText"/>
        <w:rPr>
          <w:lang w:val="en-US"/>
        </w:rPr>
      </w:pPr>
      <w:r w:rsidRPr="00410834">
        <w:rPr>
          <w:lang w:val="en-US"/>
        </w:rPr>
        <w:t xml:space="preserve">Under the IPP, the transport sector currently has </w:t>
      </w:r>
      <w:r>
        <w:rPr>
          <w:lang w:val="en-US"/>
        </w:rPr>
        <w:t>one</w:t>
      </w:r>
      <w:r w:rsidRPr="00410834">
        <w:rPr>
          <w:lang w:val="en-US"/>
        </w:rPr>
        <w:t xml:space="preserve"> deployee</w:t>
      </w:r>
      <w:r>
        <w:rPr>
          <w:lang w:val="en-US"/>
        </w:rPr>
        <w:t xml:space="preserve"> in the form of a s</w:t>
      </w:r>
      <w:r w:rsidRPr="00410834">
        <w:rPr>
          <w:lang w:val="en-US"/>
        </w:rPr>
        <w:t>enior Australian personnel from (DITRDC)</w:t>
      </w:r>
      <w:r>
        <w:rPr>
          <w:lang w:val="en-US"/>
        </w:rPr>
        <w:t xml:space="preserve"> who</w:t>
      </w:r>
      <w:r w:rsidRPr="00410834">
        <w:rPr>
          <w:lang w:val="en-US"/>
        </w:rPr>
        <w:t xml:space="preserve"> is seconded to the </w:t>
      </w:r>
      <w:r w:rsidR="00925E0C">
        <w:rPr>
          <w:lang w:val="en-US"/>
        </w:rPr>
        <w:t>DoT as</w:t>
      </w:r>
      <w:r w:rsidRPr="00410834">
        <w:rPr>
          <w:lang w:val="en-US"/>
        </w:rPr>
        <w:t xml:space="preserve"> the Senior Policy Advisor</w:t>
      </w:r>
      <w:r w:rsidR="00BB0722">
        <w:rPr>
          <w:lang w:val="en-US"/>
        </w:rPr>
        <w:t xml:space="preserve"> (currently not in PNG)</w:t>
      </w:r>
      <w:r>
        <w:rPr>
          <w:lang w:val="en-US"/>
        </w:rPr>
        <w:t>. An</w:t>
      </w:r>
      <w:r w:rsidR="0052664A">
        <w:rPr>
          <w:lang w:val="en-US"/>
        </w:rPr>
        <w:t>other</w:t>
      </w:r>
      <w:r>
        <w:rPr>
          <w:lang w:val="en-US"/>
        </w:rPr>
        <w:t xml:space="preserve"> s</w:t>
      </w:r>
      <w:r w:rsidRPr="00410834">
        <w:rPr>
          <w:lang w:val="en-US"/>
        </w:rPr>
        <w:t xml:space="preserve">enior </w:t>
      </w:r>
      <w:r w:rsidR="00287ECF">
        <w:rPr>
          <w:lang w:val="en-US"/>
        </w:rPr>
        <w:t>p</w:t>
      </w:r>
      <w:r w:rsidRPr="00410834">
        <w:rPr>
          <w:lang w:val="en-US"/>
        </w:rPr>
        <w:t>ersonnel from CASA</w:t>
      </w:r>
      <w:r>
        <w:rPr>
          <w:lang w:val="en-US"/>
        </w:rPr>
        <w:t xml:space="preserve"> </w:t>
      </w:r>
      <w:r w:rsidRPr="00410834">
        <w:rPr>
          <w:lang w:val="en-US"/>
        </w:rPr>
        <w:t>Australia</w:t>
      </w:r>
      <w:r>
        <w:rPr>
          <w:lang w:val="en-US"/>
        </w:rPr>
        <w:t xml:space="preserve"> was</w:t>
      </w:r>
      <w:r w:rsidR="0052664A">
        <w:rPr>
          <w:lang w:val="en-US"/>
        </w:rPr>
        <w:t xml:space="preserve"> previously</w:t>
      </w:r>
      <w:r>
        <w:rPr>
          <w:lang w:val="en-US"/>
        </w:rPr>
        <w:t xml:space="preserve"> deployed</w:t>
      </w:r>
      <w:r w:rsidRPr="00410834">
        <w:rPr>
          <w:lang w:val="en-US"/>
        </w:rPr>
        <w:t xml:space="preserve"> as an advisor in CASA</w:t>
      </w:r>
      <w:r>
        <w:rPr>
          <w:lang w:val="en-US"/>
        </w:rPr>
        <w:t xml:space="preserve"> </w:t>
      </w:r>
      <w:r w:rsidRPr="00410834">
        <w:rPr>
          <w:lang w:val="en-US"/>
        </w:rPr>
        <w:t>PNG</w:t>
      </w:r>
      <w:r>
        <w:rPr>
          <w:lang w:val="en-US"/>
        </w:rPr>
        <w:t xml:space="preserve"> through IPP</w:t>
      </w:r>
      <w:r w:rsidR="0072629E">
        <w:rPr>
          <w:lang w:val="en-US"/>
        </w:rPr>
        <w:t xml:space="preserve">, </w:t>
      </w:r>
      <w:r w:rsidR="00B71EC1">
        <w:rPr>
          <w:lang w:val="en-US"/>
        </w:rPr>
        <w:t xml:space="preserve">noting </w:t>
      </w:r>
      <w:r w:rsidR="0072629E">
        <w:rPr>
          <w:lang w:val="en-US"/>
        </w:rPr>
        <w:t>the CASA IPP arrangement has since discontinued</w:t>
      </w:r>
      <w:r>
        <w:rPr>
          <w:lang w:val="en-US"/>
        </w:rPr>
        <w:t>.</w:t>
      </w:r>
    </w:p>
    <w:p w14:paraId="46114405" w14:textId="3B7C1B61" w:rsidR="00BC2049" w:rsidRPr="008139D1" w:rsidRDefault="001537A9" w:rsidP="00301880">
      <w:pPr>
        <w:pStyle w:val="BodyText"/>
        <w:rPr>
          <w:spacing w:val="-2"/>
          <w:lang w:val="en-US"/>
        </w:rPr>
      </w:pPr>
      <w:r w:rsidRPr="008139D1">
        <w:rPr>
          <w:spacing w:val="-2"/>
          <w:lang w:val="en-US"/>
        </w:rPr>
        <w:t>The IPP 2020 review recommended th</w:t>
      </w:r>
      <w:r w:rsidR="00417B40" w:rsidRPr="008139D1">
        <w:rPr>
          <w:spacing w:val="-2"/>
          <w:lang w:val="en-US"/>
        </w:rPr>
        <w:t>at</w:t>
      </w:r>
      <w:r w:rsidR="003D3678" w:rsidRPr="008139D1">
        <w:rPr>
          <w:spacing w:val="-2"/>
          <w:lang w:val="en-US"/>
        </w:rPr>
        <w:t xml:space="preserve"> IPP </w:t>
      </w:r>
      <w:r w:rsidR="00247968" w:rsidRPr="008139D1">
        <w:rPr>
          <w:spacing w:val="-2"/>
          <w:lang w:val="en-US"/>
        </w:rPr>
        <w:t>ceases funding</w:t>
      </w:r>
      <w:r w:rsidR="00405CB4" w:rsidRPr="008139D1">
        <w:rPr>
          <w:spacing w:val="-2"/>
          <w:lang w:val="en-US"/>
        </w:rPr>
        <w:t xml:space="preserve"> </w:t>
      </w:r>
      <w:r w:rsidR="001D2A5C" w:rsidRPr="008139D1">
        <w:rPr>
          <w:spacing w:val="-2"/>
          <w:lang w:val="en-US"/>
        </w:rPr>
        <w:t xml:space="preserve">DITRDC </w:t>
      </w:r>
      <w:r w:rsidR="003D3678" w:rsidRPr="008139D1">
        <w:rPr>
          <w:spacing w:val="-2"/>
          <w:lang w:val="en-US"/>
        </w:rPr>
        <w:t>infrastructure</w:t>
      </w:r>
      <w:r w:rsidR="001D2A5C" w:rsidRPr="008139D1">
        <w:rPr>
          <w:spacing w:val="-2"/>
          <w:lang w:val="en-US"/>
        </w:rPr>
        <w:t xml:space="preserve"> advisors</w:t>
      </w:r>
      <w:r w:rsidR="00BF6828" w:rsidRPr="008139D1">
        <w:rPr>
          <w:spacing w:val="-2"/>
          <w:lang w:val="en-US"/>
        </w:rPr>
        <w:t xml:space="preserve"> by mid-2022</w:t>
      </w:r>
      <w:r w:rsidR="001D2A5C" w:rsidRPr="008139D1">
        <w:rPr>
          <w:spacing w:val="-2"/>
          <w:lang w:val="en-US"/>
        </w:rPr>
        <w:t xml:space="preserve"> and proposed a transfer of the </w:t>
      </w:r>
      <w:r w:rsidR="00247968" w:rsidRPr="008139D1">
        <w:rPr>
          <w:spacing w:val="-2"/>
          <w:lang w:val="en-US"/>
        </w:rPr>
        <w:t>positions to the TSSP</w:t>
      </w:r>
      <w:r w:rsidR="00DA2B6C" w:rsidRPr="008139D1">
        <w:rPr>
          <w:spacing w:val="-2"/>
          <w:lang w:val="en-US"/>
        </w:rPr>
        <w:t>.</w:t>
      </w:r>
      <w:r w:rsidR="00247968" w:rsidRPr="008139D1">
        <w:rPr>
          <w:spacing w:val="-2"/>
          <w:lang w:val="en-US"/>
        </w:rPr>
        <w:t xml:space="preserve"> </w:t>
      </w:r>
      <w:r w:rsidR="00BF6828" w:rsidRPr="008139D1">
        <w:rPr>
          <w:spacing w:val="-2"/>
          <w:lang w:val="en-US"/>
        </w:rPr>
        <w:t xml:space="preserve">It is envisaged that the </w:t>
      </w:r>
      <w:r w:rsidR="00A44CA8" w:rsidRPr="008139D1">
        <w:rPr>
          <w:spacing w:val="-2"/>
          <w:lang w:val="en-US"/>
        </w:rPr>
        <w:t xml:space="preserve">DITRDC infrastructure advisors will be </w:t>
      </w:r>
      <w:r w:rsidR="00D46CDD">
        <w:rPr>
          <w:spacing w:val="-2"/>
          <w:lang w:val="en-US"/>
        </w:rPr>
        <w:t>funded through</w:t>
      </w:r>
      <w:r w:rsidR="00A44CA8" w:rsidRPr="008139D1">
        <w:rPr>
          <w:spacing w:val="-2"/>
          <w:lang w:val="en-US"/>
        </w:rPr>
        <w:t xml:space="preserve"> TSSP </w:t>
      </w:r>
      <w:r w:rsidR="00353CED" w:rsidRPr="008139D1">
        <w:rPr>
          <w:spacing w:val="-2"/>
          <w:lang w:val="en-US"/>
        </w:rPr>
        <w:t>(</w:t>
      </w:r>
      <w:r w:rsidR="00DC4FC4" w:rsidRPr="008139D1">
        <w:rPr>
          <w:spacing w:val="-2"/>
          <w:lang w:val="en-US"/>
        </w:rPr>
        <w:t xml:space="preserve">see page 3 and </w:t>
      </w:r>
      <w:r w:rsidR="00105828" w:rsidRPr="008139D1">
        <w:rPr>
          <w:spacing w:val="-2"/>
          <w:lang w:val="en-US"/>
        </w:rPr>
        <w:t xml:space="preserve">page </w:t>
      </w:r>
      <w:r w:rsidR="0083526A" w:rsidRPr="008139D1">
        <w:rPr>
          <w:spacing w:val="-2"/>
          <w:lang w:val="en-US"/>
        </w:rPr>
        <w:t>16</w:t>
      </w:r>
      <w:r w:rsidR="00DC4FC4" w:rsidRPr="008139D1">
        <w:rPr>
          <w:spacing w:val="-2"/>
          <w:lang w:val="en-US"/>
        </w:rPr>
        <w:t>)</w:t>
      </w:r>
      <w:r w:rsidR="0032115C" w:rsidRPr="008139D1">
        <w:rPr>
          <w:spacing w:val="-2"/>
          <w:lang w:val="en-US"/>
        </w:rPr>
        <w:t>.</w:t>
      </w:r>
    </w:p>
    <w:p w14:paraId="4F1A81FE" w14:textId="77777777" w:rsidR="00301880" w:rsidRPr="00301880" w:rsidRDefault="00301880" w:rsidP="00744BBE">
      <w:pPr>
        <w:pStyle w:val="BodyText"/>
        <w:ind w:left="284" w:hanging="284"/>
        <w:rPr>
          <w:b/>
          <w:bCs/>
          <w:color w:val="B5582D" w:themeColor="accent4"/>
          <w:lang w:val="en-US"/>
        </w:rPr>
      </w:pPr>
      <w:r w:rsidRPr="00301880">
        <w:rPr>
          <w:b/>
          <w:bCs/>
          <w:color w:val="B5582D" w:themeColor="accent4"/>
          <w:lang w:val="en-US"/>
        </w:rPr>
        <w:t>4.</w:t>
      </w:r>
      <w:r w:rsidRPr="00301880">
        <w:rPr>
          <w:b/>
          <w:bCs/>
          <w:color w:val="B5582D" w:themeColor="accent4"/>
          <w:lang w:val="en-US"/>
        </w:rPr>
        <w:tab/>
        <w:t>Transport Sector Support Program Phase 2 (TSSP2)</w:t>
      </w:r>
    </w:p>
    <w:p w14:paraId="46F9BA60" w14:textId="141F02DA" w:rsidR="00301880" w:rsidRDefault="00DC4FC4" w:rsidP="00301880">
      <w:pPr>
        <w:pStyle w:val="BodyText"/>
        <w:rPr>
          <w:lang w:val="en-US"/>
        </w:rPr>
      </w:pPr>
      <w:r w:rsidRPr="00DC4FC4">
        <w:rPr>
          <w:lang w:val="en-US"/>
        </w:rPr>
        <w:t xml:space="preserve">TSSP is the bilateral transport sector program between Australia and PNG. </w:t>
      </w:r>
      <w:r w:rsidR="0093043C" w:rsidRPr="00423F05">
        <w:rPr>
          <w:lang w:val="en-US"/>
        </w:rPr>
        <w:t xml:space="preserve">TSSP is providing more than </w:t>
      </w:r>
      <w:r w:rsidR="0093043C">
        <w:rPr>
          <w:lang w:val="en-US"/>
        </w:rPr>
        <w:t>AUD6</w:t>
      </w:r>
      <w:r w:rsidR="0093043C" w:rsidRPr="00423F05">
        <w:rPr>
          <w:lang w:val="en-US"/>
        </w:rPr>
        <w:t xml:space="preserve">00 million over nine years to support the GoPNG to achieve a well-maintained transport infrastructure network. </w:t>
      </w:r>
      <w:r w:rsidR="00301880" w:rsidRPr="00423F05">
        <w:rPr>
          <w:lang w:val="en-US"/>
        </w:rPr>
        <w:t>Australia's investment in PNG's transport sector reflects the importance of transport infrastructure, such as roads, ports, and airports, in facilitating the efficient, safe, and secure movement of goods to market, the provision of essential goods and services, and community connectivity. This investment in PNG's transport infrastructure is a key enabler of economic growth and is the largest component of Australia's aid investment in PNG.</w:t>
      </w:r>
      <w:r w:rsidR="0093043C" w:rsidRPr="0093043C">
        <w:rPr>
          <w:lang w:val="en-US"/>
        </w:rPr>
        <w:t xml:space="preserve"> </w:t>
      </w:r>
      <w:r w:rsidR="0093043C" w:rsidRPr="00DC4FC4">
        <w:rPr>
          <w:lang w:val="en-US"/>
        </w:rPr>
        <w:t>TSSP2</w:t>
      </w:r>
      <w:r w:rsidR="006A69D8">
        <w:rPr>
          <w:lang w:val="en-US"/>
        </w:rPr>
        <w:t>,</w:t>
      </w:r>
      <w:r w:rsidR="0093043C" w:rsidRPr="00DC4FC4">
        <w:rPr>
          <w:lang w:val="en-US"/>
        </w:rPr>
        <w:t xml:space="preserve"> which is the second phase of the program, </w:t>
      </w:r>
      <w:r w:rsidR="006A69D8">
        <w:rPr>
          <w:lang w:val="en-US"/>
        </w:rPr>
        <w:t xml:space="preserve">is </w:t>
      </w:r>
      <w:r w:rsidR="0093043C" w:rsidRPr="00DC4FC4">
        <w:rPr>
          <w:lang w:val="en-US"/>
        </w:rPr>
        <w:t xml:space="preserve">currently managed by </w:t>
      </w:r>
      <w:r w:rsidR="0093043C" w:rsidRPr="00DC4FC4">
        <w:rPr>
          <w:lang w:val="en-US"/>
        </w:rPr>
        <w:t>GHD commenced in</w:t>
      </w:r>
      <w:r w:rsidR="001F639B">
        <w:rPr>
          <w:lang w:val="en-US"/>
        </w:rPr>
        <w:t xml:space="preserve"> 2014 and</w:t>
      </w:r>
      <w:r w:rsidR="0093043C" w:rsidRPr="00DC4FC4">
        <w:rPr>
          <w:lang w:val="en-US"/>
        </w:rPr>
        <w:t xml:space="preserve"> </w:t>
      </w:r>
      <w:r w:rsidR="007B2B07">
        <w:rPr>
          <w:lang w:val="en-US"/>
        </w:rPr>
        <w:t>was completed</w:t>
      </w:r>
      <w:r w:rsidR="007B2B07" w:rsidRPr="00593F5B">
        <w:rPr>
          <w:lang w:val="en-US"/>
        </w:rPr>
        <w:t xml:space="preserve"> in April 2022.</w:t>
      </w:r>
      <w:r w:rsidR="007B2B07">
        <w:rPr>
          <w:lang w:val="en-US"/>
        </w:rPr>
        <w:t xml:space="preserve"> Following an open tender process, TSSP2 was extended to October 2023 while TSSP Phase 3 is designed.</w:t>
      </w:r>
    </w:p>
    <w:p w14:paraId="756FCB31" w14:textId="6BA89B91" w:rsidR="00301880" w:rsidRDefault="00301880" w:rsidP="00301880">
      <w:pPr>
        <w:pStyle w:val="BodyText"/>
        <w:rPr>
          <w:lang w:val="en-US"/>
        </w:rPr>
      </w:pPr>
      <w:r>
        <w:rPr>
          <w:lang w:val="en-US"/>
        </w:rPr>
        <w:t xml:space="preserve">For the Partnership, TSSP provides </w:t>
      </w:r>
      <w:r w:rsidR="004C545F">
        <w:rPr>
          <w:lang w:val="en-US"/>
        </w:rPr>
        <w:t xml:space="preserve">funding, </w:t>
      </w:r>
      <w:r>
        <w:rPr>
          <w:lang w:val="en-US"/>
        </w:rPr>
        <w:t>implementation oversight and reporting coordination for all the ASAs. For instance, the Senior Policy Advisor from DI</w:t>
      </w:r>
      <w:r w:rsidRPr="003B7A99">
        <w:rPr>
          <w:lang w:val="en-US"/>
        </w:rPr>
        <w:t>TRDC</w:t>
      </w:r>
      <w:r>
        <w:rPr>
          <w:lang w:val="en-US"/>
        </w:rPr>
        <w:t xml:space="preserve"> under the IPP works closely with the TSSP2 managed by GHD to support the implementation of some ASAs activities</w:t>
      </w:r>
      <w:r w:rsidR="001F639B">
        <w:rPr>
          <w:lang w:val="en-US"/>
        </w:rPr>
        <w:t>,</w:t>
      </w:r>
      <w:r>
        <w:rPr>
          <w:lang w:val="en-US"/>
        </w:rPr>
        <w:t xml:space="preserve"> but also in providing technical assistance to the transport sector agencies through support to DoT. In terms of reporting, TSSP coordinates quarterly reporting for the ASAs and submits progress reports to DFAT. And more broadly, TSSP is used to operationalise the MoU agreements for the transport sector in PNG. </w:t>
      </w:r>
    </w:p>
    <w:p w14:paraId="5CD2FA3B" w14:textId="77777777" w:rsidR="00301880" w:rsidRPr="00301880" w:rsidRDefault="00301880" w:rsidP="00744BBE">
      <w:pPr>
        <w:pStyle w:val="BodyText"/>
        <w:ind w:left="284" w:hanging="284"/>
        <w:rPr>
          <w:b/>
          <w:bCs/>
          <w:color w:val="B5582D" w:themeColor="accent4"/>
          <w:lang w:val="en-US"/>
        </w:rPr>
      </w:pPr>
      <w:r w:rsidRPr="00301880">
        <w:rPr>
          <w:b/>
          <w:bCs/>
          <w:color w:val="B5582D" w:themeColor="accent4"/>
          <w:lang w:val="en-US"/>
        </w:rPr>
        <w:t>5.</w:t>
      </w:r>
      <w:r w:rsidRPr="00301880">
        <w:rPr>
          <w:b/>
          <w:bCs/>
          <w:color w:val="B5582D" w:themeColor="accent4"/>
          <w:lang w:val="en-US"/>
        </w:rPr>
        <w:tab/>
        <w:t xml:space="preserve">Australian Infrastructure Financing Facility for the Pacific (AIFFP) </w:t>
      </w:r>
    </w:p>
    <w:p w14:paraId="24D684C6" w14:textId="77777777" w:rsidR="00301880" w:rsidRDefault="00301880" w:rsidP="00301880">
      <w:pPr>
        <w:pStyle w:val="BodyText"/>
        <w:rPr>
          <w:lang w:val="en-US"/>
        </w:rPr>
      </w:pPr>
      <w:r w:rsidRPr="009931E8">
        <w:rPr>
          <w:lang w:val="en-US"/>
        </w:rPr>
        <w:t>AIFFP is a</w:t>
      </w:r>
      <w:r>
        <w:rPr>
          <w:lang w:val="en-US"/>
        </w:rPr>
        <w:t>n</w:t>
      </w:r>
      <w:r w:rsidRPr="009931E8">
        <w:rPr>
          <w:lang w:val="en-US"/>
        </w:rPr>
        <w:t xml:space="preserve"> AUD2 billion initiative that uses loans (up to a cap of AUD1.5 billion) and grants (AUD500 million of Official Development Assistance) to support quality infrastructure in Pacific Island Countries and Timor-Leste, including but not limited to telecommunications, energy, transport, and water infrastructure. In PNG, TSSP2 has been working with AIFFP since 2019, leveraging TSSP2 local knowledge in pursuit of infrastructure opportunities that broaden DFAT’s investment portfolio in transport infrastructure (beyond the maintenance of road infrastructure). Though relatively new, AIFFP and TSSP2 will shape DFAT’s investment in PNG more broadly and boost investments in transport infrastructure beyond roads.</w:t>
      </w:r>
    </w:p>
    <w:p w14:paraId="54B06384" w14:textId="7FC70768" w:rsidR="00301880" w:rsidRDefault="00301880" w:rsidP="00301880">
      <w:pPr>
        <w:pStyle w:val="BodyText"/>
        <w:rPr>
          <w:lang w:val="en-US"/>
        </w:rPr>
      </w:pPr>
      <w:r>
        <w:rPr>
          <w:lang w:val="en-US"/>
        </w:rPr>
        <w:t xml:space="preserve">It should be noted that AIFFP does not fall formally under the Transport </w:t>
      </w:r>
      <w:r w:rsidRPr="00616FC6">
        <w:rPr>
          <w:lang w:val="en-US"/>
        </w:rPr>
        <w:t>Partnership</w:t>
      </w:r>
      <w:r>
        <w:rPr>
          <w:lang w:val="en-US"/>
        </w:rPr>
        <w:t xml:space="preserve">, though the Review team recognises its immense investments </w:t>
      </w:r>
      <w:r w:rsidR="001F639B">
        <w:rPr>
          <w:lang w:val="en-US"/>
        </w:rPr>
        <w:t xml:space="preserve">will </w:t>
      </w:r>
      <w:r>
        <w:rPr>
          <w:lang w:val="en-US"/>
        </w:rPr>
        <w:t>contribut</w:t>
      </w:r>
      <w:r w:rsidR="001F639B">
        <w:rPr>
          <w:lang w:val="en-US"/>
        </w:rPr>
        <w:t>e</w:t>
      </w:r>
      <w:r>
        <w:rPr>
          <w:lang w:val="en-US"/>
        </w:rPr>
        <w:t xml:space="preserve"> to the transport sector in PNG now and in the future. As it is relatively new and most investments are in the preparatory phase, this report findings and recommendations do not consider AIFFP partnership arrangements as part of the scope of this review. Therefore, findings do not reflect AIFFP partnership in PNG at present.</w:t>
      </w:r>
    </w:p>
    <w:p w14:paraId="5719D66D" w14:textId="5DBBD4A0" w:rsidR="008B095E" w:rsidRDefault="00EA7556" w:rsidP="00EA7556">
      <w:pPr>
        <w:pStyle w:val="BodyText"/>
        <w:rPr>
          <w:lang w:val="en-US"/>
        </w:rPr>
      </w:pPr>
      <w:r>
        <w:rPr>
          <w:lang w:val="en-US"/>
        </w:rPr>
        <w:t>This r</w:t>
      </w:r>
      <w:r w:rsidRPr="0091314A">
        <w:rPr>
          <w:lang w:val="en-US"/>
        </w:rPr>
        <w:t>eport is structured by the proposed</w:t>
      </w:r>
      <w:r w:rsidR="001F639B">
        <w:rPr>
          <w:lang w:val="en-US"/>
        </w:rPr>
        <w:t xml:space="preserve"> key evaluation questions</w:t>
      </w:r>
      <w:r w:rsidRPr="0091314A">
        <w:rPr>
          <w:lang w:val="en-US"/>
        </w:rPr>
        <w:t xml:space="preserve"> </w:t>
      </w:r>
      <w:r w:rsidR="001F639B">
        <w:rPr>
          <w:lang w:val="en-US"/>
        </w:rPr>
        <w:t>(</w:t>
      </w:r>
      <w:r w:rsidRPr="0091314A">
        <w:rPr>
          <w:lang w:val="en-US"/>
        </w:rPr>
        <w:t>KEQs</w:t>
      </w:r>
      <w:r w:rsidR="001F639B">
        <w:rPr>
          <w:lang w:val="en-US"/>
        </w:rPr>
        <w:t>)</w:t>
      </w:r>
      <w:r w:rsidRPr="0091314A">
        <w:rPr>
          <w:lang w:val="en-US"/>
        </w:rPr>
        <w:t xml:space="preserve"> which were grouped and guided both the </w:t>
      </w:r>
      <w:r>
        <w:rPr>
          <w:lang w:val="en-US"/>
        </w:rPr>
        <w:t xml:space="preserve">analysis </w:t>
      </w:r>
      <w:r w:rsidRPr="0091314A">
        <w:rPr>
          <w:lang w:val="en-US"/>
        </w:rPr>
        <w:t xml:space="preserve">and structure of the Report. In each </w:t>
      </w:r>
      <w:r>
        <w:rPr>
          <w:lang w:val="en-US"/>
        </w:rPr>
        <w:t>Chapter</w:t>
      </w:r>
      <w:r w:rsidRPr="0091314A">
        <w:rPr>
          <w:lang w:val="en-US"/>
        </w:rPr>
        <w:t xml:space="preserve">, the relevant key findings, conclusions, and recommendations </w:t>
      </w:r>
      <w:r>
        <w:rPr>
          <w:lang w:val="en-US"/>
        </w:rPr>
        <w:t xml:space="preserve">are provided with a conclusions chapter at the end. </w:t>
      </w:r>
    </w:p>
    <w:p w14:paraId="59738EE2" w14:textId="77777777" w:rsidR="008B095E" w:rsidRDefault="008B095E">
      <w:pPr>
        <w:autoSpaceDE/>
        <w:autoSpaceDN/>
        <w:adjustRightInd/>
        <w:spacing w:before="0" w:after="160" w:line="259" w:lineRule="auto"/>
        <w:jc w:val="left"/>
        <w:rPr>
          <w:rFonts w:ascii="Calibri Light" w:hAnsi="Calibri Light"/>
          <w:spacing w:val="0"/>
          <w:sz w:val="20"/>
          <w:szCs w:val="19"/>
          <w:lang w:val="en-US"/>
        </w:rPr>
      </w:pPr>
      <w:r>
        <w:rPr>
          <w:lang w:val="en-US"/>
        </w:rPr>
        <w:br w:type="page"/>
      </w:r>
    </w:p>
    <w:p w14:paraId="6194C005" w14:textId="77777777" w:rsidR="00301880" w:rsidRDefault="00301880" w:rsidP="00301880">
      <w:pPr>
        <w:pStyle w:val="Heading1"/>
      </w:pPr>
      <w:bookmarkStart w:id="38" w:name="_Toc93912275"/>
      <w:bookmarkStart w:id="39" w:name="_Toc96441098"/>
      <w:bookmarkStart w:id="40" w:name="_Toc98526262"/>
      <w:r>
        <w:lastRenderedPageBreak/>
        <w:t>Chapter 2: T</w:t>
      </w:r>
      <w:r w:rsidRPr="005A2EFD">
        <w:t xml:space="preserve">he </w:t>
      </w:r>
      <w:r w:rsidRPr="00301880">
        <w:t>Australia</w:t>
      </w:r>
      <w:r w:rsidRPr="005A2EFD">
        <w:t>-PNG Government Transport Partnership</w:t>
      </w:r>
      <w:r>
        <w:t xml:space="preserve"> in Practice</w:t>
      </w:r>
      <w:bookmarkEnd w:id="38"/>
      <w:bookmarkEnd w:id="39"/>
      <w:bookmarkEnd w:id="40"/>
      <w:r>
        <w:t xml:space="preserve"> </w:t>
      </w:r>
    </w:p>
    <w:p w14:paraId="2297783A" w14:textId="52E76F61" w:rsidR="00301880" w:rsidRDefault="00301880" w:rsidP="00301880">
      <w:pPr>
        <w:pStyle w:val="Heading2"/>
      </w:pPr>
      <w:bookmarkStart w:id="41" w:name="_Toc93912276"/>
      <w:bookmarkStart w:id="42" w:name="_Toc96441099"/>
      <w:bookmarkStart w:id="43" w:name="_Toc98526263"/>
      <w:r>
        <w:t>2.1</w:t>
      </w:r>
      <w:r>
        <w:tab/>
        <w:t>Key findings</w:t>
      </w:r>
      <w:bookmarkEnd w:id="41"/>
      <w:bookmarkEnd w:id="42"/>
      <w:bookmarkEnd w:id="43"/>
      <w:r>
        <w:t xml:space="preserve"> </w:t>
      </w:r>
    </w:p>
    <w:p w14:paraId="27EC1EF1" w14:textId="53147F35" w:rsidR="00301880" w:rsidRDefault="00301880" w:rsidP="00301880">
      <w:pPr>
        <w:pStyle w:val="BodyText"/>
      </w:pPr>
      <w:r>
        <w:t xml:space="preserve">Stakeholders consulted provided varying insights on how the </w:t>
      </w:r>
      <w:r w:rsidRPr="00897146">
        <w:t>Partnership</w:t>
      </w:r>
      <w:r>
        <w:t xml:space="preserve"> has worked in practice. This chapter presents key findings on areas of the Partnership that have worked well, elements of the Partnership that can be improved, and whether the different </w:t>
      </w:r>
      <w:r w:rsidR="00925E0C">
        <w:t>partnership</w:t>
      </w:r>
      <w:r>
        <w:t xml:space="preserve"> arrangements are adequately resourced to meet their objectives. The chapter ends by looking at whether the </w:t>
      </w:r>
      <w:r w:rsidR="00925E0C">
        <w:t>partnership</w:t>
      </w:r>
      <w:r>
        <w:t xml:space="preserve"> arrangements have clearly articulated outcomes and if mechanisms are in place to measure and report on the results achieved. This chapter does not focus on reporting the achievement of expected outcomes of the different </w:t>
      </w:r>
      <w:r w:rsidR="00925E0C">
        <w:t>partnership</w:t>
      </w:r>
      <w:r>
        <w:t xml:space="preserve"> arrangements as this was not within the scope of the Review. However, examples of outcomes achieved are used in some instances to provide evidence of the findings made about elements within the Partnership that have worked well or elements that need further improvement. </w:t>
      </w:r>
    </w:p>
    <w:p w14:paraId="286BBD2C" w14:textId="2F977B53" w:rsidR="00301880" w:rsidRPr="00002C24" w:rsidRDefault="00301880" w:rsidP="00301880">
      <w:pPr>
        <w:pStyle w:val="BodyText"/>
        <w:rPr>
          <w:rFonts w:asciiTheme="minorHAnsi" w:hAnsiTheme="minorHAnsi"/>
          <w:b/>
          <w:bCs/>
          <w:color w:val="65C5B4" w:themeColor="accent2"/>
        </w:rPr>
      </w:pPr>
      <w:r w:rsidRPr="00002C24">
        <w:rPr>
          <w:b/>
          <w:bCs/>
          <w:color w:val="65C5B4" w:themeColor="accent2"/>
        </w:rPr>
        <w:t xml:space="preserve">KEQ </w:t>
      </w:r>
      <w:r>
        <w:rPr>
          <w:b/>
          <w:bCs/>
          <w:color w:val="65C5B4" w:themeColor="accent2"/>
        </w:rPr>
        <w:t xml:space="preserve">1: </w:t>
      </w:r>
      <w:r w:rsidRPr="00002C24">
        <w:rPr>
          <w:rFonts w:asciiTheme="minorHAnsi" w:hAnsiTheme="minorHAnsi"/>
          <w:b/>
          <w:bCs/>
          <w:color w:val="65C5B4" w:themeColor="accent2"/>
        </w:rPr>
        <w:t xml:space="preserve">What current areas of the </w:t>
      </w:r>
      <w:r>
        <w:rPr>
          <w:rFonts w:asciiTheme="minorHAnsi" w:hAnsiTheme="minorHAnsi"/>
          <w:b/>
          <w:bCs/>
          <w:color w:val="65C5B4" w:themeColor="accent2"/>
        </w:rPr>
        <w:t>P</w:t>
      </w:r>
      <w:r w:rsidRPr="00002C24">
        <w:rPr>
          <w:rFonts w:asciiTheme="minorHAnsi" w:hAnsiTheme="minorHAnsi"/>
          <w:b/>
          <w:bCs/>
          <w:color w:val="65C5B4" w:themeColor="accent2"/>
        </w:rPr>
        <w:t>artnership are working well?</w:t>
      </w:r>
    </w:p>
    <w:p w14:paraId="4B8CF469" w14:textId="202FE40A" w:rsidR="008076B2" w:rsidRPr="007231FD" w:rsidRDefault="00301880" w:rsidP="00301880">
      <w:pPr>
        <w:pStyle w:val="BodyText"/>
        <w:rPr>
          <w:lang w:val="en-US"/>
        </w:rPr>
      </w:pPr>
      <w:r w:rsidRPr="00301880">
        <w:rPr>
          <w:b/>
          <w:bCs/>
          <w:lang w:val="en-US"/>
        </w:rPr>
        <w:t>Overall, transport agencies in PNG and Australia felt positively about the partnerships and collaboration, though challenges were reported in relation to how the partnerships are governed and implemented.</w:t>
      </w:r>
      <w:r w:rsidRPr="007231FD">
        <w:rPr>
          <w:lang w:val="en-US"/>
        </w:rPr>
        <w:t xml:space="preserve"> Transport agencies in PNG noted the important role that agencies in Australia play in building their skills and technical knowledge. Most noted that without the support, they would struggle to implement and fulfil their obligations. For instance, agencies in maritime and aviation did reveal a well-established working relationship between partner agencies with shared work plans to enhance the safety and security of maritime and aviation sectors. </w:t>
      </w:r>
    </w:p>
    <w:p w14:paraId="1C4E5768" w14:textId="3E70CC3F" w:rsidR="00301880" w:rsidRDefault="00301880" w:rsidP="00301880">
      <w:pPr>
        <w:pStyle w:val="BodyText"/>
      </w:pPr>
      <w:r w:rsidRPr="00E414ED">
        <w:rPr>
          <w:b/>
          <w:bCs/>
        </w:rPr>
        <w:t>PNG transport agencies and specifically the DoT found the overarching transport MoU between Australia and PNG relevant and beneficial to the department and the PNG transport sector agencies more broadly.</w:t>
      </w:r>
      <w:r w:rsidRPr="006A7FA0">
        <w:t xml:space="preserve"> The ASAs implemented as part of the </w:t>
      </w:r>
      <w:r>
        <w:t>A</w:t>
      </w:r>
      <w:r w:rsidRPr="006A7FA0">
        <w:t xml:space="preserve">nnexes of the MoU agreement were reported to be important in building technical knowledge, </w:t>
      </w:r>
      <w:r w:rsidR="00FC0687" w:rsidRPr="006A7FA0">
        <w:t>skills,</w:t>
      </w:r>
      <w:r w:rsidRPr="006A7FA0">
        <w:t xml:space="preserve"> and attitudes for the different </w:t>
      </w:r>
      <w:r w:rsidRPr="00E414ED">
        <w:rPr>
          <w:i/>
          <w:iCs/>
        </w:rPr>
        <w:t>transport</w:t>
      </w:r>
      <w:r w:rsidRPr="006A7FA0">
        <w:t xml:space="preserve"> sector agencies and in enhancing collaborations, partnerships, knowledge sharing and real</w:t>
      </w:r>
      <w:r>
        <w:t>-</w:t>
      </w:r>
      <w:r w:rsidRPr="006A7FA0">
        <w:t xml:space="preserve">time support to agencies </w:t>
      </w:r>
      <w:r>
        <w:t>in times of need</w:t>
      </w:r>
      <w:r w:rsidRPr="006A7FA0">
        <w:t xml:space="preserve">. </w:t>
      </w:r>
    </w:p>
    <w:p w14:paraId="047BF75E" w14:textId="77777777" w:rsidR="00301880" w:rsidRDefault="00301880" w:rsidP="00E414ED">
      <w:pPr>
        <w:pStyle w:val="BodyText"/>
      </w:pPr>
      <w:r w:rsidRPr="006A7FA0">
        <w:t>Transport agencies noted instances where the ASAs have been beneficial</w:t>
      </w:r>
      <w:r w:rsidRPr="0075195C">
        <w:t>. For instance</w:t>
      </w:r>
      <w:r>
        <w:t>:</w:t>
      </w:r>
    </w:p>
    <w:p w14:paraId="22CD88AC" w14:textId="7A8CE4FC" w:rsidR="00301880" w:rsidRDefault="00301880" w:rsidP="00301880">
      <w:pPr>
        <w:pStyle w:val="BodyBullet"/>
        <w:rPr>
          <w:lang w:val="en-US"/>
        </w:rPr>
      </w:pPr>
      <w:r w:rsidRPr="007231FD">
        <w:rPr>
          <w:lang w:val="en-US"/>
        </w:rPr>
        <w:t>the DoT noted the beneficial support implemented via the ASA that saw</w:t>
      </w:r>
      <w:r w:rsidR="00230B5C">
        <w:rPr>
          <w:lang w:val="en-US"/>
        </w:rPr>
        <w:t xml:space="preserve"> the</w:t>
      </w:r>
      <w:r w:rsidRPr="007231FD">
        <w:rPr>
          <w:lang w:val="en-US"/>
        </w:rPr>
        <w:t xml:space="preserve"> Australian Transport Safety Bureau</w:t>
      </w:r>
      <w:r w:rsidR="00230B5C">
        <w:rPr>
          <w:lang w:val="en-US"/>
        </w:rPr>
        <w:t>’s</w:t>
      </w:r>
      <w:r w:rsidRPr="007231FD">
        <w:rPr>
          <w:lang w:val="en-US"/>
        </w:rPr>
        <w:t xml:space="preserve"> (ATSB) coordinated response to the Madang plane crash in PNG</w:t>
      </w:r>
      <w:r w:rsidR="00D23D7E">
        <w:rPr>
          <w:lang w:val="en-US"/>
        </w:rPr>
        <w:t xml:space="preserve"> in October 2011</w:t>
      </w:r>
      <w:r w:rsidR="00BC724E">
        <w:rPr>
          <w:lang w:val="en-US"/>
        </w:rPr>
        <w:t>;</w:t>
      </w:r>
      <w:r w:rsidRPr="007231FD">
        <w:rPr>
          <w:lang w:val="en-US"/>
        </w:rPr>
        <w:t xml:space="preserve"> based on their findings all Dash 8 planes are now re-fitted with the specific instrument to prevent such accidents from happening again. </w:t>
      </w:r>
    </w:p>
    <w:p w14:paraId="4200F8D0" w14:textId="0DE4D002" w:rsidR="00301880" w:rsidRDefault="00301880" w:rsidP="00301880">
      <w:pPr>
        <w:pStyle w:val="BodyBullet"/>
        <w:rPr>
          <w:lang w:val="en-US"/>
        </w:rPr>
      </w:pPr>
      <w:r>
        <w:rPr>
          <w:lang w:val="en-US"/>
        </w:rPr>
        <w:t>t</w:t>
      </w:r>
      <w:r w:rsidRPr="00F62AB5">
        <w:rPr>
          <w:lang w:val="en-US"/>
        </w:rPr>
        <w:t xml:space="preserve">he National Maritime Safety Authority (NMSA) sought technical support from the Australian Maritime Safety Authority (AMSA) to conduct a search and rescue mission of a missing banana boat that was transporting a Bougainville Minister </w:t>
      </w:r>
      <w:r w:rsidR="00767C9C">
        <w:rPr>
          <w:lang w:val="en-US"/>
        </w:rPr>
        <w:t>and</w:t>
      </w:r>
      <w:r w:rsidRPr="00F62AB5">
        <w:rPr>
          <w:lang w:val="en-US"/>
        </w:rPr>
        <w:t xml:space="preserve"> was lost at sea. Consulted stakeholders from NMSA noted that they would not have been able to respond as quickly as they did without the support of the AMSA due to limited technical expertise within the agency to conduct extensive search and rescue. </w:t>
      </w:r>
    </w:p>
    <w:p w14:paraId="3A562498" w14:textId="77777777" w:rsidR="00301880" w:rsidRPr="00F62AB5" w:rsidRDefault="00301880" w:rsidP="00301880">
      <w:pPr>
        <w:pStyle w:val="BodyBullet"/>
        <w:rPr>
          <w:lang w:val="en-US"/>
        </w:rPr>
      </w:pPr>
      <w:r>
        <w:rPr>
          <w:lang w:val="en-US"/>
        </w:rPr>
        <w:t>th</w:t>
      </w:r>
      <w:r w:rsidRPr="00F62AB5">
        <w:rPr>
          <w:lang w:val="en-US"/>
        </w:rPr>
        <w:t>e CASA PNG stakeholders reported that the MoU and the ASAs activities are important and is supporting the achievement of their outcomes and aviation safety mandate. Within the MoU, CASA</w:t>
      </w:r>
      <w:r>
        <w:rPr>
          <w:lang w:val="en-US"/>
        </w:rPr>
        <w:t xml:space="preserve"> </w:t>
      </w:r>
      <w:r w:rsidRPr="00F62AB5">
        <w:rPr>
          <w:lang w:val="en-US"/>
        </w:rPr>
        <w:t>PNG has benefited through six</w:t>
      </w:r>
      <w:r>
        <w:rPr>
          <w:lang w:val="en-US"/>
        </w:rPr>
        <w:t xml:space="preserve"> </w:t>
      </w:r>
      <w:r w:rsidRPr="00F62AB5">
        <w:rPr>
          <w:lang w:val="en-US"/>
        </w:rPr>
        <w:t>programs currently running that include</w:t>
      </w:r>
      <w:r>
        <w:rPr>
          <w:lang w:val="en-US"/>
        </w:rPr>
        <w:t xml:space="preserve">: </w:t>
      </w:r>
      <w:r w:rsidRPr="00F62AB5">
        <w:rPr>
          <w:lang w:val="en-US"/>
        </w:rPr>
        <w:t>Aviation Safety Conference</w:t>
      </w:r>
      <w:r>
        <w:rPr>
          <w:lang w:val="en-US"/>
        </w:rPr>
        <w:t>;</w:t>
      </w:r>
      <w:r w:rsidRPr="00F62AB5">
        <w:rPr>
          <w:lang w:val="en-US"/>
        </w:rPr>
        <w:t xml:space="preserve"> Regional Engagement</w:t>
      </w:r>
      <w:r>
        <w:rPr>
          <w:lang w:val="en-US"/>
        </w:rPr>
        <w:t xml:space="preserve">; </w:t>
      </w:r>
      <w:r w:rsidRPr="00F62AB5">
        <w:rPr>
          <w:lang w:val="en-US"/>
        </w:rPr>
        <w:t>Aviation Security</w:t>
      </w:r>
      <w:r>
        <w:rPr>
          <w:lang w:val="en-US"/>
        </w:rPr>
        <w:t>;</w:t>
      </w:r>
      <w:r w:rsidRPr="00F62AB5">
        <w:rPr>
          <w:lang w:val="en-US"/>
        </w:rPr>
        <w:t xml:space="preserve"> Instrument Procedure Design</w:t>
      </w:r>
      <w:r>
        <w:rPr>
          <w:lang w:val="en-US"/>
        </w:rPr>
        <w:t>;</w:t>
      </w:r>
      <w:r w:rsidRPr="00F62AB5">
        <w:rPr>
          <w:lang w:val="en-US"/>
        </w:rPr>
        <w:t xml:space="preserve"> Corporate Mentoring</w:t>
      </w:r>
      <w:r>
        <w:rPr>
          <w:lang w:val="en-US"/>
        </w:rPr>
        <w:t xml:space="preserve">; </w:t>
      </w:r>
      <w:r w:rsidRPr="00F62AB5">
        <w:rPr>
          <w:lang w:val="en-US"/>
        </w:rPr>
        <w:t>and Aviation Safety Collaboration.</w:t>
      </w:r>
    </w:p>
    <w:p w14:paraId="15C6BDAD" w14:textId="0C2C3BAA" w:rsidR="00301880" w:rsidRDefault="00301880" w:rsidP="002B2B56">
      <w:pPr>
        <w:pStyle w:val="BodyText"/>
        <w:ind w:right="70"/>
      </w:pPr>
      <w:r>
        <w:t>Other than the three examples mentioned above, the Review found more examples of collaboration between GoPNG agencies and their counterparts in Australia</w:t>
      </w:r>
      <w:r w:rsidR="0009452A">
        <w:t>,</w:t>
      </w:r>
      <w:r>
        <w:t xml:space="preserve"> which speak to the important role of the p</w:t>
      </w:r>
      <w:r w:rsidRPr="006B0FC2">
        <w:t>artnership</w:t>
      </w:r>
      <w:r>
        <w:t>. Specifically, the collaboration is supporting the transport agencies to implement their corporate plans but also to support the DoT</w:t>
      </w:r>
      <w:r w:rsidR="002B2B56">
        <w:t xml:space="preserve"> in</w:t>
      </w:r>
      <w:r>
        <w:t xml:space="preserve"> implement</w:t>
      </w:r>
      <w:r w:rsidR="002B2B56">
        <w:t>ing</w:t>
      </w:r>
      <w:r>
        <w:t xml:space="preserve"> its transport-sector wide strategy that contributes to PNG’s vision for the transport sector and ultimately the development agenda as articulated in the PNG Vision 2050.</w:t>
      </w:r>
      <w:r>
        <w:rPr>
          <w:rStyle w:val="FootnoteReference"/>
          <w:rFonts w:asciiTheme="minorHAnsi" w:hAnsiTheme="minorHAnsi"/>
        </w:rPr>
        <w:footnoteReference w:id="3"/>
      </w:r>
      <w:r>
        <w:t xml:space="preserve"> </w:t>
      </w:r>
    </w:p>
    <w:p w14:paraId="0D575A15" w14:textId="7FE7882F" w:rsidR="00301880" w:rsidRPr="00BA06DD" w:rsidRDefault="00301880" w:rsidP="00E414ED">
      <w:pPr>
        <w:pStyle w:val="BodyText"/>
      </w:pPr>
      <w:r w:rsidRPr="00E414ED">
        <w:rPr>
          <w:b/>
          <w:bCs/>
        </w:rPr>
        <w:t xml:space="preserve">The capacity strengthening elements of the IPP and the ASAs delivered through capacity supplementation, training, workplace technical modelling, collaborative job sharing, twinning arrangements, </w:t>
      </w:r>
      <w:r w:rsidR="001B5801" w:rsidRPr="00E414ED">
        <w:rPr>
          <w:b/>
          <w:bCs/>
        </w:rPr>
        <w:t>mentoring,</w:t>
      </w:r>
      <w:r w:rsidRPr="00E414ED">
        <w:rPr>
          <w:b/>
          <w:bCs/>
        </w:rPr>
        <w:t xml:space="preserve"> and coaching is reported to be working well.</w:t>
      </w:r>
      <w:r>
        <w:t xml:space="preserve"> There was c</w:t>
      </w:r>
      <w:r w:rsidRPr="00BA06DD">
        <w:t>onsensus</w:t>
      </w:r>
      <w:r>
        <w:t xml:space="preserve"> in the reports from stakeho</w:t>
      </w:r>
      <w:r w:rsidRPr="00BA06DD">
        <w:t xml:space="preserve">lders interviewed from </w:t>
      </w:r>
      <w:r w:rsidR="00925E0C">
        <w:t xml:space="preserve">the </w:t>
      </w:r>
      <w:r w:rsidRPr="00BA06DD">
        <w:t>governments of Australia and PNG that technical skills</w:t>
      </w:r>
      <w:r>
        <w:t>-</w:t>
      </w:r>
      <w:r w:rsidRPr="00BA06DD">
        <w:t>building and workplace support a</w:t>
      </w:r>
      <w:r>
        <w:t>re</w:t>
      </w:r>
      <w:r w:rsidRPr="00BA06DD">
        <w:t xml:space="preserve"> the cornerstone of the transport sector partnerships</w:t>
      </w:r>
      <w:r>
        <w:t xml:space="preserve">. </w:t>
      </w:r>
      <w:r w:rsidRPr="00B743A9">
        <w:t xml:space="preserve">Technical advisors provided through the </w:t>
      </w:r>
      <w:r w:rsidRPr="00B743A9">
        <w:lastRenderedPageBreak/>
        <w:t xml:space="preserve">IPP </w:t>
      </w:r>
      <w:r>
        <w:t xml:space="preserve">that </w:t>
      </w:r>
      <w:r w:rsidRPr="00B743A9">
        <w:t>support transport agencies implement ASAs activities</w:t>
      </w:r>
      <w:r w:rsidR="006F51E5">
        <w:t>,</w:t>
      </w:r>
      <w:r w:rsidRPr="00B743A9">
        <w:t xml:space="preserve"> and the technical advice and support provided through the </w:t>
      </w:r>
      <w:r w:rsidRPr="00855E6D">
        <w:t>TSSP</w:t>
      </w:r>
      <w:r>
        <w:t>2</w:t>
      </w:r>
      <w:r w:rsidR="006F51E5">
        <w:t>,</w:t>
      </w:r>
      <w:r>
        <w:t xml:space="preserve"> seem to be working well. For instance, </w:t>
      </w:r>
      <w:r w:rsidRPr="00E76999">
        <w:t xml:space="preserve">the </w:t>
      </w:r>
      <w:r w:rsidR="00753017">
        <w:t>e</w:t>
      </w:r>
      <w:r w:rsidR="00753017" w:rsidRPr="00753017">
        <w:t xml:space="preserve">ngagement and work </w:t>
      </w:r>
      <w:r w:rsidR="007B359B">
        <w:t xml:space="preserve">between the ATSB </w:t>
      </w:r>
      <w:r w:rsidR="00D060E6">
        <w:t xml:space="preserve">and </w:t>
      </w:r>
      <w:r w:rsidR="00753017" w:rsidRPr="00753017">
        <w:t>AIC</w:t>
      </w:r>
      <w:r w:rsidR="00D8423C">
        <w:t xml:space="preserve"> in PNG</w:t>
      </w:r>
      <w:r w:rsidR="00753017" w:rsidRPr="00753017">
        <w:t xml:space="preserve">, funded by TSSP and facilitated by the MOU, </w:t>
      </w:r>
      <w:r w:rsidRPr="00E76999">
        <w:t xml:space="preserve">is </w:t>
      </w:r>
      <w:r w:rsidRPr="00BA06DD">
        <w:t xml:space="preserve">successful due to strong relationships and long-standing engagements. </w:t>
      </w:r>
    </w:p>
    <w:p w14:paraId="3CC8EC34" w14:textId="2B1D9596" w:rsidR="00AA70F4" w:rsidRDefault="00301880" w:rsidP="00E414ED">
      <w:pPr>
        <w:pStyle w:val="BodyText"/>
      </w:pPr>
      <w:r w:rsidRPr="00E414ED">
        <w:rPr>
          <w:b/>
          <w:bCs/>
        </w:rPr>
        <w:t>Even though the capacity strengthening elements are reported to be working well, sustainability of the outcomes remains a challenge (see KEQ on page 8)</w:t>
      </w:r>
      <w:r w:rsidR="006F51E5">
        <w:rPr>
          <w:b/>
          <w:bCs/>
        </w:rPr>
        <w:t>.</w:t>
      </w:r>
      <w:r w:rsidR="00E414ED" w:rsidRPr="00E414ED">
        <w:rPr>
          <w:b/>
          <w:bCs/>
        </w:rPr>
        <w:t xml:space="preserve"> </w:t>
      </w:r>
      <w:r w:rsidRPr="00BA06DD">
        <w:t>The TSSP2 Capacity Development Framework (2020-2022) provides parameters of capacit</w:t>
      </w:r>
      <w:r>
        <w:t xml:space="preserve">y strengthening within the transport sector in </w:t>
      </w:r>
      <w:r w:rsidRPr="002F0F9E">
        <w:t xml:space="preserve">PNG. </w:t>
      </w:r>
      <w:r>
        <w:t xml:space="preserve">From the Framework, the capacity building definition has been broadened to factor in sustainability and defined as “a </w:t>
      </w:r>
      <w:r w:rsidRPr="00F1428B">
        <w:t>process through which individuals and organisations enhance, strengthen and maintain their capabilities to set and achieve their development objectives over time in response to the evolving operating environment</w:t>
      </w:r>
      <w:r>
        <w:t xml:space="preserve">”. The Framework also provides transport sector-wide capacity development outcomes and activities that the transport agencies need to implement to enhance and sustain capacities within their agencies. From analysis, most agencies such as CASA, </w:t>
      </w:r>
      <w:r w:rsidR="005F5E1B" w:rsidRPr="005F5E1B">
        <w:t xml:space="preserve">NiuSky Pacific </w:t>
      </w:r>
      <w:r w:rsidR="00357341" w:rsidRPr="005F5E1B">
        <w:t>Limited,</w:t>
      </w:r>
      <w:r>
        <w:t xml:space="preserve"> DoT and NMSA have articulated ASAs capacity development activities from 2022-2022 that need financial support from either the MoU, IPP, TSSP or </w:t>
      </w:r>
      <w:r w:rsidRPr="00E80C56">
        <w:t>DITRDC</w:t>
      </w:r>
      <w:r>
        <w:t xml:space="preserve">. There </w:t>
      </w:r>
      <w:r w:rsidR="00DA27AF">
        <w:t>are</w:t>
      </w:r>
      <w:r>
        <w:t xml:space="preserve"> varying</w:t>
      </w:r>
      <w:r w:rsidR="00DA27AF">
        <w:t xml:space="preserve"> degrees of</w:t>
      </w:r>
      <w:r>
        <w:t xml:space="preserve"> implementation status</w:t>
      </w:r>
      <w:r w:rsidR="00DA27AF">
        <w:t xml:space="preserve"> across</w:t>
      </w:r>
      <w:r>
        <w:t xml:space="preserve"> the activities</w:t>
      </w:r>
      <w:r w:rsidR="00596CF6">
        <w:t>,</w:t>
      </w:r>
      <w:r>
        <w:t xml:space="preserve"> with very few completed ones</w:t>
      </w:r>
      <w:r w:rsidR="00DA27AF">
        <w:t>,</w:t>
      </w:r>
      <w:r>
        <w:t xml:space="preserve"> while most of them report to be ongoing or yet to start. For future capacity development efforts within the</w:t>
      </w:r>
      <w:r w:rsidRPr="008226B9">
        <w:t xml:space="preserve"> Partnership</w:t>
      </w:r>
      <w:r>
        <w:t>, t</w:t>
      </w:r>
      <w:r w:rsidRPr="00C043B6">
        <w:t>he TSSP2 Capacity Development Framework</w:t>
      </w:r>
      <w:r>
        <w:t xml:space="preserve"> provides a blueprint of engagement</w:t>
      </w:r>
      <w:r w:rsidR="00BC0B23">
        <w:t xml:space="preserve">. </w:t>
      </w:r>
      <w:r w:rsidR="00E26146">
        <w:t>For this to happen, first a</w:t>
      </w:r>
      <w:r>
        <w:t xml:space="preserve"> skills gap analysis of agency implementation status of the capacity development activities </w:t>
      </w:r>
      <w:r w:rsidR="00715D04">
        <w:t>(</w:t>
      </w:r>
      <w:r>
        <w:t>outlined in the Framework</w:t>
      </w:r>
      <w:r w:rsidR="00715D04">
        <w:t>)</w:t>
      </w:r>
      <w:r>
        <w:t xml:space="preserve"> </w:t>
      </w:r>
      <w:r w:rsidR="00E26146">
        <w:t xml:space="preserve">needs to be conducted. This </w:t>
      </w:r>
      <w:r w:rsidR="00AA70F4">
        <w:t xml:space="preserve">would provide </w:t>
      </w:r>
      <w:r w:rsidR="0093043C">
        <w:t xml:space="preserve">evidence of </w:t>
      </w:r>
      <w:r w:rsidR="00AA70F4">
        <w:t>areas</w:t>
      </w:r>
      <w:r w:rsidR="00312D25">
        <w:t xml:space="preserve"> and skills that </w:t>
      </w:r>
      <w:r w:rsidR="0093043C">
        <w:t xml:space="preserve">require </w:t>
      </w:r>
      <w:r w:rsidR="00312D25">
        <w:t>further strengthening</w:t>
      </w:r>
      <w:r w:rsidR="0093043C">
        <w:t>.</w:t>
      </w:r>
      <w:r w:rsidR="00312D25">
        <w:t xml:space="preserve"> </w:t>
      </w:r>
    </w:p>
    <w:p w14:paraId="6607E860" w14:textId="60210A3C" w:rsidR="00301880" w:rsidRDefault="00301880" w:rsidP="00E414ED">
      <w:pPr>
        <w:pStyle w:val="BodyText"/>
      </w:pPr>
      <w:r w:rsidRPr="00E414ED">
        <w:rPr>
          <w:b/>
          <w:bCs/>
        </w:rPr>
        <w:t>The GoPNG transport sector agencies consulted noted that the flexibility, openness and adaptive management processes and the willingness to listen to the needs and priorities of the PNG transport agencies by their Australian counterparts have improved over time</w:t>
      </w:r>
      <w:r w:rsidR="0055610D">
        <w:rPr>
          <w:b/>
          <w:bCs/>
        </w:rPr>
        <w:t>,</w:t>
      </w:r>
      <w:r w:rsidRPr="00E414ED">
        <w:rPr>
          <w:b/>
          <w:bCs/>
        </w:rPr>
        <w:t xml:space="preserve"> with opportunities to further embed agency-wide structures and mechanisms that support good relationships.</w:t>
      </w:r>
      <w:r>
        <w:t xml:space="preserve"> </w:t>
      </w:r>
      <w:r w:rsidRPr="00E11844">
        <w:t xml:space="preserve">For instance, CASA PNG through the </w:t>
      </w:r>
      <w:r>
        <w:t xml:space="preserve">technical support of TSSP2 implemented through the ASAs </w:t>
      </w:r>
      <w:r w:rsidRPr="00E11844">
        <w:t xml:space="preserve">has improved </w:t>
      </w:r>
      <w:r>
        <w:t>over the years</w:t>
      </w:r>
      <w:r w:rsidR="00B31DB5">
        <w:t xml:space="preserve">. </w:t>
      </w:r>
      <w:r w:rsidR="00715D04">
        <w:t xml:space="preserve">Stakeholders consulted </w:t>
      </w:r>
      <w:r>
        <w:t xml:space="preserve">report that despite initial misunderstanding, the last three years (2019-2021) have seen an </w:t>
      </w:r>
      <w:r w:rsidRPr="00E414ED">
        <w:t>improvement</w:t>
      </w:r>
      <w:r>
        <w:t xml:space="preserve"> in the relationship where the partners </w:t>
      </w:r>
      <w:r>
        <w:t xml:space="preserve">reported that they understand each other well now </w:t>
      </w:r>
      <w:r w:rsidR="00B3388B">
        <w:t xml:space="preserve">and </w:t>
      </w:r>
      <w:r>
        <w:t xml:space="preserve">which has made implementation progress much quicker. </w:t>
      </w:r>
    </w:p>
    <w:p w14:paraId="586AA648" w14:textId="4F7B3EDF" w:rsidR="00301880" w:rsidRDefault="00301880" w:rsidP="00E414ED">
      <w:pPr>
        <w:pStyle w:val="BodyText"/>
      </w:pPr>
      <w:r>
        <w:t xml:space="preserve">From the interviews, the Review team was not able to ascertain the exact factors or mechanisms that have led to improvements of relationships over time other than </w:t>
      </w:r>
      <w:r w:rsidR="00CE334F">
        <w:t>stakeholders’</w:t>
      </w:r>
      <w:r>
        <w:t xml:space="preserve"> anecdotal evidence that it has improved over time. However, some consulted stakeholders in the TSSP, DFAT and some GoPNG agencies noted </w:t>
      </w:r>
      <w:r w:rsidRPr="00E414ED">
        <w:t>that</w:t>
      </w:r>
      <w:r>
        <w:t xml:space="preserve"> some improvements in relationships could be attributed to individuals within the agencies and departments and not the efforts of the individual agencies and departments as a whole. </w:t>
      </w:r>
    </w:p>
    <w:p w14:paraId="0E79F838" w14:textId="594D7F2B" w:rsidR="00301880" w:rsidRPr="006E037B" w:rsidRDefault="00301880" w:rsidP="00301880">
      <w:pPr>
        <w:pStyle w:val="BodyText"/>
        <w:rPr>
          <w:rFonts w:asciiTheme="minorHAnsi" w:hAnsiTheme="minorHAnsi"/>
        </w:rPr>
      </w:pPr>
      <w:r w:rsidRPr="00B3388B">
        <w:rPr>
          <w:rFonts w:asciiTheme="majorHAnsi" w:hAnsiTheme="majorHAnsi" w:cstheme="majorHAnsi"/>
          <w:szCs w:val="20"/>
        </w:rPr>
        <w:t xml:space="preserve">Though, while enhancing partnerships through individual efforts is good practice and beneficial, evidence shows that this is not enough for sustaining agency-wide and sector-wide relationships. As a start, literature notes that </w:t>
      </w:r>
      <w:r w:rsidR="00715D04">
        <w:rPr>
          <w:rFonts w:asciiTheme="majorHAnsi" w:hAnsiTheme="majorHAnsi" w:cstheme="majorHAnsi"/>
          <w:szCs w:val="20"/>
        </w:rPr>
        <w:t>managing</w:t>
      </w:r>
      <w:r w:rsidR="00715D04" w:rsidRPr="00B3388B">
        <w:rPr>
          <w:rFonts w:asciiTheme="majorHAnsi" w:hAnsiTheme="majorHAnsi" w:cstheme="majorHAnsi"/>
          <w:szCs w:val="20"/>
        </w:rPr>
        <w:t xml:space="preserve"> </w:t>
      </w:r>
      <w:r w:rsidRPr="00B3388B">
        <w:rPr>
          <w:rFonts w:asciiTheme="majorHAnsi" w:hAnsiTheme="majorHAnsi" w:cstheme="majorHAnsi"/>
          <w:szCs w:val="20"/>
        </w:rPr>
        <w:t>a partnership is a very delicate operation requiring individuals who can understand and work with different organisations and their requests but over time, as the mandate expands and the partnerships become rooted, it becomes more important to have an agreed management structure provided by agencies or organisations.</w:t>
      </w:r>
      <w:r w:rsidRPr="00B3388B">
        <w:rPr>
          <w:rStyle w:val="FootnoteReference"/>
          <w:rFonts w:asciiTheme="majorHAnsi" w:hAnsiTheme="majorHAnsi" w:cstheme="majorHAnsi"/>
          <w:szCs w:val="20"/>
        </w:rPr>
        <w:footnoteReference w:id="4"/>
      </w:r>
      <w:r w:rsidRPr="00B3388B">
        <w:rPr>
          <w:rFonts w:asciiTheme="majorHAnsi" w:hAnsiTheme="majorHAnsi" w:cstheme="majorHAnsi"/>
          <w:szCs w:val="20"/>
        </w:rPr>
        <w:t xml:space="preserve"> There are, therefore, opportunities for the Partnership counterpart agencies to further embed structures and mechanisms that facilitate good relationships. This could be strengthened by a strong commitment from each of the partners reflected in the fact that all partner organisations are equally present and, where possible, represented by experienced persons who have influence within their organisation or where a “learning culture” is fostered, </w:t>
      </w:r>
      <w:r w:rsidR="00B03D4F" w:rsidRPr="00B3388B">
        <w:rPr>
          <w:rFonts w:asciiTheme="majorHAnsi" w:hAnsiTheme="majorHAnsi" w:cstheme="majorHAnsi"/>
          <w:szCs w:val="20"/>
        </w:rPr>
        <w:t>i.e.,</w:t>
      </w:r>
      <w:r w:rsidRPr="00B3388B">
        <w:rPr>
          <w:rFonts w:asciiTheme="majorHAnsi" w:hAnsiTheme="majorHAnsi" w:cstheme="majorHAnsi"/>
          <w:szCs w:val="20"/>
        </w:rPr>
        <w:t xml:space="preserve"> one where all partners can learn from one another by allowing new</w:t>
      </w:r>
      <w:r w:rsidRPr="008A285A">
        <w:rPr>
          <w:rFonts w:asciiTheme="minorHAnsi" w:hAnsiTheme="minorHAnsi"/>
        </w:rPr>
        <w:t xml:space="preserve"> </w:t>
      </w:r>
      <w:r w:rsidRPr="00B3388B">
        <w:rPr>
          <w:rFonts w:asciiTheme="majorHAnsi" w:hAnsiTheme="majorHAnsi" w:cstheme="majorHAnsi"/>
          <w:szCs w:val="20"/>
        </w:rPr>
        <w:t>ideas to come forward in an open exchange of experie</w:t>
      </w:r>
      <w:r w:rsidR="005342F5">
        <w:rPr>
          <w:rFonts w:asciiTheme="majorHAnsi" w:hAnsiTheme="majorHAnsi" w:cstheme="majorHAnsi"/>
          <w:szCs w:val="20"/>
        </w:rPr>
        <w:t>nces.</w:t>
      </w:r>
      <w:r w:rsidR="00295E59">
        <w:t xml:space="preserve"> However, i</w:t>
      </w:r>
      <w:r w:rsidR="00295E59" w:rsidRPr="00295E59">
        <w:rPr>
          <w:rFonts w:asciiTheme="majorHAnsi" w:hAnsiTheme="majorHAnsi" w:cstheme="majorHAnsi"/>
          <w:szCs w:val="20"/>
        </w:rPr>
        <w:t>t should be noted that partnerships</w:t>
      </w:r>
      <w:r w:rsidR="00715D04">
        <w:rPr>
          <w:rFonts w:asciiTheme="majorHAnsi" w:hAnsiTheme="majorHAnsi" w:cstheme="majorHAnsi"/>
          <w:szCs w:val="20"/>
        </w:rPr>
        <w:t>’</w:t>
      </w:r>
      <w:r w:rsidR="00295E59" w:rsidRPr="00295E59">
        <w:rPr>
          <w:rFonts w:asciiTheme="majorHAnsi" w:hAnsiTheme="majorHAnsi" w:cstheme="majorHAnsi"/>
          <w:szCs w:val="20"/>
        </w:rPr>
        <w:t xml:space="preserve"> success depends heavily on</w:t>
      </w:r>
      <w:r w:rsidR="00715D04">
        <w:rPr>
          <w:rFonts w:asciiTheme="majorHAnsi" w:hAnsiTheme="majorHAnsi" w:cstheme="majorHAnsi"/>
          <w:szCs w:val="20"/>
        </w:rPr>
        <w:t xml:space="preserve"> the operating context and </w:t>
      </w:r>
      <w:r w:rsidR="00295E59" w:rsidRPr="00295E59">
        <w:rPr>
          <w:rFonts w:asciiTheme="majorHAnsi" w:hAnsiTheme="majorHAnsi" w:cstheme="majorHAnsi"/>
          <w:szCs w:val="20"/>
        </w:rPr>
        <w:t>environments</w:t>
      </w:r>
      <w:r w:rsidR="00715D04">
        <w:rPr>
          <w:rFonts w:asciiTheme="majorHAnsi" w:hAnsiTheme="majorHAnsi" w:cstheme="majorHAnsi"/>
          <w:szCs w:val="20"/>
        </w:rPr>
        <w:t xml:space="preserve">, which </w:t>
      </w:r>
      <w:r w:rsidR="00295E59" w:rsidRPr="00295E59">
        <w:rPr>
          <w:rFonts w:asciiTheme="majorHAnsi" w:hAnsiTheme="majorHAnsi" w:cstheme="majorHAnsi"/>
          <w:szCs w:val="20"/>
        </w:rPr>
        <w:t xml:space="preserve">play a key role on how </w:t>
      </w:r>
      <w:r w:rsidR="00A17019">
        <w:rPr>
          <w:rFonts w:asciiTheme="majorHAnsi" w:hAnsiTheme="majorHAnsi" w:cstheme="majorHAnsi"/>
          <w:szCs w:val="20"/>
        </w:rPr>
        <w:t xml:space="preserve">the above mechanisms and </w:t>
      </w:r>
      <w:r w:rsidR="00295E59" w:rsidRPr="00295E59">
        <w:rPr>
          <w:rFonts w:asciiTheme="majorHAnsi" w:hAnsiTheme="majorHAnsi" w:cstheme="majorHAnsi"/>
          <w:szCs w:val="20"/>
        </w:rPr>
        <w:t>actors interact and collaborate</w:t>
      </w:r>
      <w:r w:rsidR="00A17019">
        <w:rPr>
          <w:rFonts w:asciiTheme="majorHAnsi" w:hAnsiTheme="majorHAnsi" w:cstheme="majorHAnsi"/>
          <w:szCs w:val="20"/>
        </w:rPr>
        <w:t>.</w:t>
      </w:r>
    </w:p>
    <w:p w14:paraId="78342A92" w14:textId="0033B7AE" w:rsidR="00301880" w:rsidRPr="00002C24" w:rsidRDefault="00B3388B" w:rsidP="00301880">
      <w:pPr>
        <w:pStyle w:val="BodyText"/>
        <w:rPr>
          <w:rFonts w:asciiTheme="minorHAnsi" w:hAnsiTheme="minorHAnsi"/>
          <w:b/>
          <w:bCs/>
          <w:color w:val="65C5B4" w:themeColor="accent2"/>
        </w:rPr>
      </w:pPr>
      <w:r w:rsidRPr="007109E2">
        <w:rPr>
          <w:b/>
          <w:bCs/>
          <w:color w:val="65C5B4" w:themeColor="accent2"/>
        </w:rPr>
        <w:t>KEQ</w:t>
      </w:r>
      <w:r w:rsidR="00D96BFA">
        <w:rPr>
          <w:b/>
          <w:bCs/>
          <w:color w:val="65C5B4" w:themeColor="accent2"/>
        </w:rPr>
        <w:t xml:space="preserve"> </w:t>
      </w:r>
      <w:r w:rsidR="00301880">
        <w:rPr>
          <w:b/>
          <w:bCs/>
          <w:color w:val="65C5B4" w:themeColor="accent2"/>
        </w:rPr>
        <w:t>2</w:t>
      </w:r>
      <w:r w:rsidR="00301880" w:rsidRPr="007109E2">
        <w:rPr>
          <w:b/>
          <w:bCs/>
          <w:color w:val="65C5B4" w:themeColor="accent2"/>
        </w:rPr>
        <w:t xml:space="preserve">: </w:t>
      </w:r>
      <w:r w:rsidR="00301880" w:rsidRPr="007109E2">
        <w:rPr>
          <w:rFonts w:asciiTheme="minorHAnsi" w:hAnsiTheme="minorHAnsi"/>
          <w:b/>
          <w:bCs/>
          <w:color w:val="65C5B4" w:themeColor="accent2"/>
        </w:rPr>
        <w:t>What current</w:t>
      </w:r>
      <w:r w:rsidR="00301880" w:rsidRPr="00002C24">
        <w:rPr>
          <w:rFonts w:asciiTheme="minorHAnsi" w:hAnsiTheme="minorHAnsi"/>
          <w:b/>
          <w:bCs/>
          <w:color w:val="65C5B4" w:themeColor="accent2"/>
        </w:rPr>
        <w:t xml:space="preserve"> areas of the partnerships can be improved?</w:t>
      </w:r>
    </w:p>
    <w:p w14:paraId="04522605" w14:textId="4F01D455" w:rsidR="00301880" w:rsidRDefault="00301880" w:rsidP="00EF176A">
      <w:pPr>
        <w:pStyle w:val="BodyText"/>
        <w:spacing w:line="240" w:lineRule="auto"/>
      </w:pPr>
      <w:r w:rsidRPr="00E414ED">
        <w:rPr>
          <w:b/>
          <w:bCs/>
        </w:rPr>
        <w:t xml:space="preserve">Some consulted stakeholders from the GoPNG agencies reported a lack of clear understanding of the overall objectives, strategic </w:t>
      </w:r>
      <w:r w:rsidR="00B03D4F" w:rsidRPr="00E414ED">
        <w:rPr>
          <w:b/>
          <w:bCs/>
        </w:rPr>
        <w:t>intentions,</w:t>
      </w:r>
      <w:r w:rsidRPr="00E414ED">
        <w:rPr>
          <w:b/>
          <w:bCs/>
        </w:rPr>
        <w:t xml:space="preserve"> and common vision of the Partnership</w:t>
      </w:r>
      <w:r w:rsidR="00B3388B">
        <w:rPr>
          <w:b/>
          <w:bCs/>
        </w:rPr>
        <w:t>,</w:t>
      </w:r>
      <w:r w:rsidRPr="00E414ED">
        <w:rPr>
          <w:b/>
          <w:bCs/>
        </w:rPr>
        <w:t xml:space="preserve"> noting that there is scope for DFAT and DITRDC to clearly articulate, communicate and socialise the Partnership objectives beyond the senior levels of the GoPNG.</w:t>
      </w:r>
      <w:r>
        <w:t xml:space="preserve"> </w:t>
      </w:r>
      <w:r w:rsidRPr="00A2123E">
        <w:t xml:space="preserve">Though some consulted stakeholders within the GoPNG reported understanding individual partnerships such as the IPP </w:t>
      </w:r>
      <w:r w:rsidRPr="00A2123E">
        <w:lastRenderedPageBreak/>
        <w:t>and support through ASAs</w:t>
      </w:r>
      <w:r>
        <w:t xml:space="preserve"> funded by the TSSP2 and DITRDC,</w:t>
      </w:r>
      <w:r w:rsidRPr="00A2123E">
        <w:t xml:space="preserve"> there was </w:t>
      </w:r>
      <w:r>
        <w:t xml:space="preserve">a </w:t>
      </w:r>
      <w:r w:rsidRPr="00A2123E">
        <w:t>lack of</w:t>
      </w:r>
      <w:r>
        <w:t xml:space="preserve"> </w:t>
      </w:r>
      <w:r w:rsidRPr="00A2123E">
        <w:t xml:space="preserve">understanding </w:t>
      </w:r>
      <w:r>
        <w:t>on the objectives of the Partnership across the GoPNG agencies. Literature on good and effective partnerships notes certain characteristics that make partnerships successful. The key characteristics of a good partnership include</w:t>
      </w:r>
      <w:r>
        <w:rPr>
          <w:rStyle w:val="FootnoteReference"/>
          <w:rFonts w:asciiTheme="minorHAnsi" w:hAnsiTheme="minorHAnsi"/>
        </w:rPr>
        <w:footnoteReference w:id="5"/>
      </w:r>
      <w:r>
        <w:t>:</w:t>
      </w:r>
    </w:p>
    <w:tbl>
      <w:tblPr>
        <w:tblStyle w:val="Style1"/>
        <w:tblW w:w="5000" w:type="pct"/>
        <w:tblBorders>
          <w:insideH w:val="none" w:sz="0" w:space="0" w:color="auto"/>
        </w:tblBorders>
        <w:tblLook w:val="04A0" w:firstRow="1" w:lastRow="0" w:firstColumn="1" w:lastColumn="0" w:noHBand="0" w:noVBand="1"/>
      </w:tblPr>
      <w:tblGrid>
        <w:gridCol w:w="4465"/>
      </w:tblGrid>
      <w:tr w:rsidR="008139D1" w:rsidRPr="008139D1" w14:paraId="29B0DED4" w14:textId="77777777" w:rsidTr="008139D1">
        <w:trPr>
          <w:cnfStyle w:val="100000000000" w:firstRow="1" w:lastRow="0" w:firstColumn="0" w:lastColumn="0" w:oddVBand="0" w:evenVBand="0" w:oddHBand="0" w:evenHBand="0" w:firstRowFirstColumn="0" w:firstRowLastColumn="0" w:lastRowFirstColumn="0" w:lastRowLastColumn="0"/>
          <w:trHeight w:val="564"/>
        </w:trPr>
        <w:tc>
          <w:tcPr>
            <w:tcW w:w="5000" w:type="pct"/>
            <w:tcBorders>
              <w:top w:val="none" w:sz="0" w:space="0" w:color="auto"/>
            </w:tcBorders>
            <w:shd w:val="clear" w:color="auto" w:fill="F2F2F2" w:themeFill="background1" w:themeFillShade="F2"/>
          </w:tcPr>
          <w:p w14:paraId="5E892E69" w14:textId="77777777" w:rsidR="00301880" w:rsidRPr="008139D1" w:rsidRDefault="00301880" w:rsidP="00EF176A">
            <w:pPr>
              <w:pStyle w:val="BodyBullet"/>
              <w:spacing w:line="240" w:lineRule="auto"/>
              <w:rPr>
                <w:b w:val="0"/>
                <w:bCs/>
                <w:color w:val="000000" w:themeColor="text1"/>
              </w:rPr>
            </w:pPr>
            <w:bookmarkStart w:id="44" w:name="_Hlk93831618"/>
            <w:r w:rsidRPr="008139D1">
              <w:rPr>
                <w:b w:val="0"/>
                <w:bCs/>
                <w:color w:val="000000" w:themeColor="text1"/>
              </w:rPr>
              <w:t>Senior leaders demonstrating a strong commitment to the partnership</w:t>
            </w:r>
          </w:p>
          <w:p w14:paraId="4FC64C82" w14:textId="77777777" w:rsidR="00301880" w:rsidRPr="008139D1" w:rsidRDefault="00301880" w:rsidP="00EF176A">
            <w:pPr>
              <w:pStyle w:val="BodyBullet"/>
              <w:spacing w:line="240" w:lineRule="auto"/>
              <w:rPr>
                <w:b w:val="0"/>
                <w:bCs/>
                <w:color w:val="000000" w:themeColor="text1"/>
              </w:rPr>
            </w:pPr>
            <w:r w:rsidRPr="008139D1">
              <w:rPr>
                <w:b w:val="0"/>
                <w:bCs/>
                <w:color w:val="000000" w:themeColor="text1"/>
              </w:rPr>
              <w:t>The partnership specifies clear responsibilities, rights, and obligations of all partners</w:t>
            </w:r>
          </w:p>
          <w:p w14:paraId="0571F351" w14:textId="77777777" w:rsidR="00301880" w:rsidRPr="008139D1" w:rsidRDefault="00301880" w:rsidP="00EF176A">
            <w:pPr>
              <w:pStyle w:val="BodyBullet"/>
              <w:spacing w:line="240" w:lineRule="auto"/>
              <w:rPr>
                <w:b w:val="0"/>
                <w:bCs/>
                <w:color w:val="000000" w:themeColor="text1"/>
              </w:rPr>
            </w:pPr>
            <w:r w:rsidRPr="008139D1">
              <w:rPr>
                <w:b w:val="0"/>
                <w:bCs/>
                <w:color w:val="000000" w:themeColor="text1"/>
              </w:rPr>
              <w:t>Partners have a shared understanding of the problem and a common vision for how the partnership will generate impact</w:t>
            </w:r>
          </w:p>
          <w:p w14:paraId="7F9026F7" w14:textId="77777777" w:rsidR="00301880" w:rsidRPr="008139D1" w:rsidRDefault="00301880" w:rsidP="00EF176A">
            <w:pPr>
              <w:pStyle w:val="BodyBullet"/>
              <w:spacing w:line="240" w:lineRule="auto"/>
              <w:rPr>
                <w:b w:val="0"/>
                <w:bCs/>
                <w:color w:val="000000" w:themeColor="text1"/>
              </w:rPr>
            </w:pPr>
            <w:r w:rsidRPr="008139D1">
              <w:rPr>
                <w:b w:val="0"/>
                <w:bCs/>
                <w:color w:val="000000" w:themeColor="text1"/>
              </w:rPr>
              <w:t>The objectives of the partnership are aligned with the core values of partnership members</w:t>
            </w:r>
          </w:p>
          <w:p w14:paraId="5833C8F1" w14:textId="77777777" w:rsidR="00301880" w:rsidRPr="008139D1" w:rsidRDefault="00301880" w:rsidP="00EF176A">
            <w:pPr>
              <w:pStyle w:val="BodyBullet"/>
              <w:spacing w:line="240" w:lineRule="auto"/>
              <w:rPr>
                <w:b w:val="0"/>
                <w:bCs/>
                <w:color w:val="000000" w:themeColor="text1"/>
              </w:rPr>
            </w:pPr>
            <w:r w:rsidRPr="008139D1">
              <w:rPr>
                <w:b w:val="0"/>
                <w:bCs/>
                <w:color w:val="000000" w:themeColor="text1"/>
              </w:rPr>
              <w:t>Partnership processes and procedures are established and agreed to by all partners. This can include ground rules, decision-making processes, shared expectations, and vertical and horizontal accountability structures</w:t>
            </w:r>
          </w:p>
          <w:p w14:paraId="55B09F17" w14:textId="77777777" w:rsidR="00301880" w:rsidRPr="008139D1" w:rsidRDefault="00301880" w:rsidP="00EF176A">
            <w:pPr>
              <w:pStyle w:val="BodyBullet"/>
              <w:spacing w:line="240" w:lineRule="auto"/>
              <w:rPr>
                <w:b w:val="0"/>
                <w:bCs/>
                <w:color w:val="000000" w:themeColor="text1"/>
              </w:rPr>
            </w:pPr>
            <w:r w:rsidRPr="008139D1">
              <w:rPr>
                <w:b w:val="0"/>
                <w:bCs/>
                <w:color w:val="000000" w:themeColor="text1"/>
              </w:rPr>
              <w:t>Principles of mutuality and cooperation are valued. This includes mutual dependence among organizations, collaborative engagement of all partners from the onset, shared ownership, and mutual respect</w:t>
            </w:r>
          </w:p>
          <w:p w14:paraId="73D41184" w14:textId="77777777" w:rsidR="00301880" w:rsidRPr="008139D1" w:rsidRDefault="00301880" w:rsidP="00EF176A">
            <w:pPr>
              <w:pStyle w:val="BodyBullet"/>
              <w:spacing w:line="240" w:lineRule="auto"/>
              <w:rPr>
                <w:b w:val="0"/>
                <w:bCs/>
                <w:color w:val="000000" w:themeColor="text1"/>
              </w:rPr>
            </w:pPr>
            <w:r w:rsidRPr="008139D1">
              <w:rPr>
                <w:b w:val="0"/>
                <w:bCs/>
                <w:color w:val="000000" w:themeColor="text1"/>
              </w:rPr>
              <w:t>Contributions of all partners are seen as fair and equitable, including financial and non-financial resources. The organisation should bring unique contributions to the partnership, including resources, skills, relationships, and experience.</w:t>
            </w:r>
            <w:bookmarkEnd w:id="44"/>
          </w:p>
        </w:tc>
      </w:tr>
    </w:tbl>
    <w:p w14:paraId="016137D2" w14:textId="26EE7E8A" w:rsidR="00301880" w:rsidRDefault="00301880" w:rsidP="00EF176A">
      <w:pPr>
        <w:pStyle w:val="BodyText"/>
        <w:spacing w:line="240" w:lineRule="auto"/>
      </w:pPr>
      <w:r>
        <w:t>Though certain characteristics such as strong leadership commitment to the partnerships, clearly articulated roles and obligation of partners</w:t>
      </w:r>
      <w:r w:rsidR="00F6555D">
        <w:t>,</w:t>
      </w:r>
      <w:r>
        <w:t xml:space="preserve"> and values of mutuality and cooperation were noted to be present within some partnership’s arrangements, there were other </w:t>
      </w:r>
      <w:r w:rsidRPr="00911285">
        <w:t>characteristics</w:t>
      </w:r>
      <w:r>
        <w:t xml:space="preserve"> that appeared to be lacking at least from most GoPNG transport agencies</w:t>
      </w:r>
      <w:r w:rsidR="00F6555D">
        <w:t>,</w:t>
      </w:r>
      <w:r>
        <w:t xml:space="preserve"> such as a shared understanding and common vision of the Partnership, and agreement of the partnerships processes. </w:t>
      </w:r>
    </w:p>
    <w:p w14:paraId="09A72DBD" w14:textId="56BD86CD" w:rsidR="00301880" w:rsidRPr="00B44D0E" w:rsidRDefault="00301880" w:rsidP="00EF176A">
      <w:pPr>
        <w:pStyle w:val="BodyText"/>
        <w:spacing w:line="240" w:lineRule="auto"/>
      </w:pPr>
      <w:r>
        <w:t>There is merit and scope for DFAT and DITRDC to socialise the different partnerships arrangements across the GoPNG transport agencies to</w:t>
      </w:r>
      <w:r w:rsidR="00C2419E">
        <w:t xml:space="preserve"> help</w:t>
      </w:r>
      <w:r>
        <w:t xml:space="preserve"> ensure that the Partnership is based on a shared understanding and common vision. Since the Partnership </w:t>
      </w:r>
      <w:r w:rsidRPr="00672BDD">
        <w:t xml:space="preserve">enjoys broad and positive support </w:t>
      </w:r>
      <w:r>
        <w:t>from</w:t>
      </w:r>
      <w:r w:rsidRPr="00672BDD">
        <w:t xml:space="preserve"> </w:t>
      </w:r>
      <w:r w:rsidRPr="00672BDD">
        <w:t xml:space="preserve">stakeholders from both sides of the </w:t>
      </w:r>
      <w:r>
        <w:t>P</w:t>
      </w:r>
      <w:r w:rsidRPr="00672BDD">
        <w:t>artnership</w:t>
      </w:r>
      <w:r>
        <w:t xml:space="preserve">, the efforts to socialise it within the different agencies in PNG should not be too onerous. </w:t>
      </w:r>
      <w:r w:rsidR="005B6C98">
        <w:t xml:space="preserve">For example, through regular </w:t>
      </w:r>
      <w:r w:rsidR="0050090B">
        <w:t>high-level</w:t>
      </w:r>
      <w:r w:rsidR="005B6C98">
        <w:t xml:space="preserve"> meetings or through for a such as the Transport Sector Coordination, Monitoring and </w:t>
      </w:r>
      <w:r w:rsidR="003F3EC1">
        <w:t>Implementation</w:t>
      </w:r>
      <w:r w:rsidR="005B6C98">
        <w:t xml:space="preserve"> Committee (</w:t>
      </w:r>
      <w:r w:rsidR="003F3EC1">
        <w:t>TSCMIC).</w:t>
      </w:r>
    </w:p>
    <w:p w14:paraId="6D9252D9" w14:textId="5CC5C89B" w:rsidR="00301880" w:rsidRPr="00E31E92" w:rsidRDefault="00301880" w:rsidP="00EF176A">
      <w:pPr>
        <w:pStyle w:val="BodyText"/>
        <w:spacing w:line="240" w:lineRule="auto"/>
        <w:rPr>
          <w:lang w:val="en-US"/>
        </w:rPr>
      </w:pPr>
      <w:r w:rsidRPr="00911285">
        <w:rPr>
          <w:b/>
          <w:bCs/>
          <w:lang w:val="en-US"/>
        </w:rPr>
        <w:t>At the inter-agency level, various stakeholder reports indicate that the ASAs implementation and reporting are disjointed and burdensome.</w:t>
      </w:r>
      <w:r w:rsidRPr="00E31E92">
        <w:rPr>
          <w:lang w:val="en-US"/>
        </w:rPr>
        <w:t xml:space="preserve"> Stakeholders on both sides also commented that reporting systems used for annual planning for each agency are cumbersome, excessively bureaucratic</w:t>
      </w:r>
      <w:r w:rsidRPr="00E31E92">
        <w:rPr>
          <w:rFonts w:hint="eastAsia"/>
          <w:lang w:val="en-US"/>
        </w:rPr>
        <w:t>,</w:t>
      </w:r>
      <w:r w:rsidRPr="00E31E92">
        <w:rPr>
          <w:lang w:val="en-US"/>
        </w:rPr>
        <w:t xml:space="preserve"> and inflexible. ASAs</w:t>
      </w:r>
      <w:r w:rsidRPr="00E31E92">
        <w:t xml:space="preserve"> </w:t>
      </w:r>
      <w:r w:rsidRPr="00E31E92">
        <w:rPr>
          <w:lang w:val="en-US"/>
        </w:rPr>
        <w:t>were initially designed to encourage internal management system processes within GoPNG agencies that were to enable them to take over the processes themselves (</w:t>
      </w:r>
      <w:r>
        <w:rPr>
          <w:lang w:val="en-US"/>
        </w:rPr>
        <w:t xml:space="preserve">through a </w:t>
      </w:r>
      <w:r w:rsidRPr="00E31E92">
        <w:rPr>
          <w:lang w:val="en-US"/>
        </w:rPr>
        <w:t>capacity strengthening approach). Most agencies noted that the reporting and implementation efforts required for ASAs do not match the budgets allocated to them. Almost all consulted stakeholders noted that most ASAs are of low value and their implementation and reporting requirements waste time, do not factor in agencies' human resources capacities</w:t>
      </w:r>
      <w:r w:rsidR="00A17514">
        <w:rPr>
          <w:lang w:val="en-US"/>
        </w:rPr>
        <w:t>,</w:t>
      </w:r>
      <w:r w:rsidRPr="00E31E92">
        <w:rPr>
          <w:lang w:val="en-US"/>
        </w:rPr>
        <w:t xml:space="preserve"> and are geared toward DFAT</w:t>
      </w:r>
      <w:r>
        <w:rPr>
          <w:lang w:val="en-US"/>
        </w:rPr>
        <w:t xml:space="preserve">’s accountability requirements instead of </w:t>
      </w:r>
      <w:r w:rsidRPr="00E31E92">
        <w:rPr>
          <w:lang w:val="en-US"/>
        </w:rPr>
        <w:t xml:space="preserve">good project management practices for the agencies. </w:t>
      </w:r>
    </w:p>
    <w:p w14:paraId="2181341A" w14:textId="5DB56046" w:rsidR="00301880" w:rsidRDefault="00301880" w:rsidP="00EF176A">
      <w:pPr>
        <w:pStyle w:val="BodyText"/>
        <w:spacing w:line="240" w:lineRule="auto"/>
        <w:rPr>
          <w:lang w:val="en-US"/>
        </w:rPr>
      </w:pPr>
      <w:r w:rsidRPr="00911285">
        <w:rPr>
          <w:b/>
          <w:bCs/>
          <w:lang w:val="en-US"/>
        </w:rPr>
        <w:t xml:space="preserve">Another challenge noted by the GoPNG agencies was the reimbursable approval process </w:t>
      </w:r>
      <w:r w:rsidR="00B116D7">
        <w:rPr>
          <w:b/>
          <w:bCs/>
          <w:lang w:val="en-US"/>
        </w:rPr>
        <w:t>for</w:t>
      </w:r>
      <w:r w:rsidRPr="00911285">
        <w:rPr>
          <w:b/>
          <w:bCs/>
          <w:lang w:val="en-US"/>
        </w:rPr>
        <w:t xml:space="preserve"> activities </w:t>
      </w:r>
      <w:r w:rsidR="00B116D7">
        <w:rPr>
          <w:b/>
          <w:bCs/>
          <w:lang w:val="en-US"/>
        </w:rPr>
        <w:t>requiring</w:t>
      </w:r>
      <w:r w:rsidRPr="00911285">
        <w:rPr>
          <w:b/>
          <w:bCs/>
          <w:lang w:val="en-US"/>
        </w:rPr>
        <w:t xml:space="preserve"> reimbursements within the ASAs.</w:t>
      </w:r>
      <w:r w:rsidRPr="00E31E92">
        <w:rPr>
          <w:lang w:val="en-US"/>
        </w:rPr>
        <w:t xml:space="preserve"> </w:t>
      </w:r>
      <w:r w:rsidR="00621DBA">
        <w:rPr>
          <w:lang w:val="en-US"/>
        </w:rPr>
        <w:t>A</w:t>
      </w:r>
      <w:r w:rsidR="0021553F" w:rsidRPr="0021553F">
        <w:rPr>
          <w:lang w:val="en-US"/>
        </w:rPr>
        <w:t xml:space="preserve">ll activities </w:t>
      </w:r>
      <w:r w:rsidR="00B343BC">
        <w:rPr>
          <w:lang w:val="en-US"/>
        </w:rPr>
        <w:t xml:space="preserve">under the ASAs </w:t>
      </w:r>
      <w:r w:rsidR="00621DBA">
        <w:rPr>
          <w:lang w:val="en-US"/>
        </w:rPr>
        <w:t>should be</w:t>
      </w:r>
      <w:r w:rsidR="00621DBA" w:rsidRPr="0021553F">
        <w:rPr>
          <w:lang w:val="en-US"/>
        </w:rPr>
        <w:t xml:space="preserve"> </w:t>
      </w:r>
      <w:r w:rsidR="0021553F" w:rsidRPr="0021553F">
        <w:rPr>
          <w:lang w:val="en-US"/>
        </w:rPr>
        <w:t>agreed on and approved in advance of any spending</w:t>
      </w:r>
      <w:r w:rsidR="00621DBA">
        <w:rPr>
          <w:lang w:val="en-US"/>
        </w:rPr>
        <w:t xml:space="preserve"> or </w:t>
      </w:r>
      <w:r w:rsidR="0021553F" w:rsidRPr="0021553F">
        <w:rPr>
          <w:lang w:val="en-US"/>
        </w:rPr>
        <w:t>implementation</w:t>
      </w:r>
      <w:r w:rsidR="00621DBA">
        <w:rPr>
          <w:lang w:val="en-US"/>
        </w:rPr>
        <w:t xml:space="preserve">. Reimbursement </w:t>
      </w:r>
      <w:r w:rsidR="006D30A4">
        <w:rPr>
          <w:lang w:val="en-US"/>
        </w:rPr>
        <w:t xml:space="preserve">approvals undergo a lengthy process; </w:t>
      </w:r>
      <w:r w:rsidR="00621DBA">
        <w:rPr>
          <w:lang w:val="en-US"/>
        </w:rPr>
        <w:t>expenditure is first approved by</w:t>
      </w:r>
      <w:r w:rsidRPr="00E31E92">
        <w:rPr>
          <w:lang w:val="en-US"/>
        </w:rPr>
        <w:t xml:space="preserve"> the counterpart agency in Australia, then DITRDC,</w:t>
      </w:r>
      <w:r w:rsidR="00621DBA">
        <w:rPr>
          <w:lang w:val="en-US"/>
        </w:rPr>
        <w:t xml:space="preserve"> </w:t>
      </w:r>
      <w:r w:rsidRPr="00E31E92">
        <w:rPr>
          <w:lang w:val="en-US"/>
        </w:rPr>
        <w:t xml:space="preserve">then TSSP and then finally to DFAT for final approval. </w:t>
      </w:r>
      <w:r w:rsidR="00B343BC">
        <w:rPr>
          <w:lang w:val="en-US"/>
        </w:rPr>
        <w:t xml:space="preserve">Several </w:t>
      </w:r>
      <w:r w:rsidRPr="00E31E92">
        <w:rPr>
          <w:lang w:val="en-US"/>
        </w:rPr>
        <w:t xml:space="preserve">GoPNG </w:t>
      </w:r>
      <w:r w:rsidR="006D30A4">
        <w:rPr>
          <w:lang w:val="en-US"/>
        </w:rPr>
        <w:t xml:space="preserve">agencies reflected </w:t>
      </w:r>
      <w:r w:rsidR="00B343BC">
        <w:rPr>
          <w:lang w:val="en-US"/>
        </w:rPr>
        <w:t>activities</w:t>
      </w:r>
      <w:r w:rsidR="006D30A4">
        <w:rPr>
          <w:lang w:val="en-US"/>
        </w:rPr>
        <w:t xml:space="preserve"> they deemed were reimbursable</w:t>
      </w:r>
      <w:r w:rsidR="00B343BC">
        <w:rPr>
          <w:lang w:val="en-US"/>
        </w:rPr>
        <w:t xml:space="preserve"> under the ASAs were not approved </w:t>
      </w:r>
      <w:r w:rsidR="006D30A4">
        <w:rPr>
          <w:lang w:val="en-US"/>
        </w:rPr>
        <w:t>by DFAT.</w:t>
      </w:r>
      <w:r w:rsidRPr="00E31E92">
        <w:rPr>
          <w:lang w:val="en-US"/>
        </w:rPr>
        <w:t xml:space="preserve"> Because of this, some agencies reported that </w:t>
      </w:r>
      <w:r w:rsidR="00B343BC">
        <w:rPr>
          <w:lang w:val="en-US"/>
        </w:rPr>
        <w:t>at times</w:t>
      </w:r>
      <w:r w:rsidRPr="00E31E92">
        <w:rPr>
          <w:lang w:val="en-US"/>
        </w:rPr>
        <w:t xml:space="preserve"> they have ended up funding three-quarters of the project activities which has led to some agencies questioning the value of the ASAs.</w:t>
      </w:r>
      <w:r w:rsidR="00C62F40">
        <w:rPr>
          <w:lang w:val="en-US"/>
        </w:rPr>
        <w:t xml:space="preserve"> For the</w:t>
      </w:r>
      <w:r w:rsidRPr="00E31E92">
        <w:rPr>
          <w:lang w:val="en-US"/>
        </w:rPr>
        <w:t xml:space="preserve"> </w:t>
      </w:r>
      <w:r w:rsidR="00C62F40">
        <w:rPr>
          <w:lang w:val="en-US"/>
        </w:rPr>
        <w:t>ASAs to be effective, GoPNG stakeholders expressed the</w:t>
      </w:r>
      <w:r w:rsidR="00B343BC">
        <w:rPr>
          <w:lang w:val="en-US"/>
        </w:rPr>
        <w:t>ir</w:t>
      </w:r>
      <w:r w:rsidR="00C62F40">
        <w:rPr>
          <w:lang w:val="en-US"/>
        </w:rPr>
        <w:t xml:space="preserve"> need to better understand why expenses incurred were not reimburs</w:t>
      </w:r>
      <w:r w:rsidR="00B343BC">
        <w:rPr>
          <w:lang w:val="en-US"/>
        </w:rPr>
        <w:t xml:space="preserve">able, but more so for additional clarity to minimise this challenge </w:t>
      </w:r>
      <w:r w:rsidR="00C62F40">
        <w:rPr>
          <w:lang w:val="en-US"/>
        </w:rPr>
        <w:t>occurring in future.</w:t>
      </w:r>
    </w:p>
    <w:p w14:paraId="74B87C78" w14:textId="0D6D20C3" w:rsidR="00301880" w:rsidRPr="008139D1" w:rsidRDefault="00301880" w:rsidP="00EF176A">
      <w:pPr>
        <w:pStyle w:val="BodyText"/>
        <w:spacing w:line="240" w:lineRule="auto"/>
        <w:rPr>
          <w:spacing w:val="-2"/>
          <w:lang w:val="en-US"/>
        </w:rPr>
      </w:pPr>
      <w:r w:rsidRPr="008139D1">
        <w:rPr>
          <w:spacing w:val="-2"/>
          <w:lang w:val="en-US"/>
        </w:rPr>
        <w:t>Meanwhile, DFAT stakeholders</w:t>
      </w:r>
      <w:r w:rsidR="00FE2453" w:rsidRPr="008139D1">
        <w:rPr>
          <w:spacing w:val="-2"/>
          <w:lang w:val="en-US"/>
        </w:rPr>
        <w:t xml:space="preserve"> </w:t>
      </w:r>
      <w:r w:rsidR="004643CB" w:rsidRPr="008139D1">
        <w:rPr>
          <w:spacing w:val="-2"/>
          <w:lang w:val="en-US"/>
        </w:rPr>
        <w:t>consulted clarified</w:t>
      </w:r>
      <w:r w:rsidR="006F5F1F" w:rsidRPr="008139D1">
        <w:rPr>
          <w:spacing w:val="-2"/>
          <w:lang w:val="en-US"/>
        </w:rPr>
        <w:t xml:space="preserve"> the ASA planning </w:t>
      </w:r>
      <w:r w:rsidR="00FE2453" w:rsidRPr="008139D1">
        <w:rPr>
          <w:spacing w:val="-2"/>
          <w:lang w:val="en-US"/>
        </w:rPr>
        <w:t xml:space="preserve">and funding process. </w:t>
      </w:r>
      <w:r w:rsidR="004643CB" w:rsidRPr="008139D1">
        <w:rPr>
          <w:spacing w:val="-2"/>
          <w:lang w:val="en-US"/>
        </w:rPr>
        <w:t xml:space="preserve">DFAT noted </w:t>
      </w:r>
      <w:r w:rsidRPr="008139D1">
        <w:rPr>
          <w:spacing w:val="-2"/>
          <w:lang w:val="en-US"/>
        </w:rPr>
        <w:t>that reimbursable activities are based on a certain key criterio</w:t>
      </w:r>
      <w:r w:rsidRPr="008139D1">
        <w:rPr>
          <w:rFonts w:hint="eastAsia"/>
          <w:spacing w:val="-2"/>
          <w:lang w:val="en-US"/>
        </w:rPr>
        <w:t>n</w:t>
      </w:r>
      <w:r w:rsidRPr="008139D1">
        <w:rPr>
          <w:spacing w:val="-2"/>
          <w:lang w:val="en-US"/>
        </w:rPr>
        <w:t>, that proposed activities are aligned to GoPNG sector plans and priorities</w:t>
      </w:r>
      <w:r w:rsidRPr="008139D1">
        <w:rPr>
          <w:rFonts w:hint="eastAsia"/>
          <w:spacing w:val="-2"/>
          <w:lang w:val="en-US"/>
        </w:rPr>
        <w:t>,</w:t>
      </w:r>
      <w:r w:rsidRPr="008139D1">
        <w:rPr>
          <w:spacing w:val="-2"/>
          <w:lang w:val="en-US"/>
        </w:rPr>
        <w:t xml:space="preserve"> and that</w:t>
      </w:r>
      <w:r w:rsidR="00D1348C" w:rsidRPr="008139D1">
        <w:rPr>
          <w:spacing w:val="-2"/>
          <w:lang w:val="en-US"/>
        </w:rPr>
        <w:t xml:space="preserve"> procurement </w:t>
      </w:r>
      <w:r w:rsidRPr="008139D1">
        <w:rPr>
          <w:spacing w:val="-2"/>
          <w:lang w:val="en-US"/>
        </w:rPr>
        <w:t xml:space="preserve">meets the Commonwealth procurement rules during implementation. DFAT stakeholders also noted that reimbursable activities are agreed upon annually before they get implemented. The confusion on reimbursable </w:t>
      </w:r>
      <w:r w:rsidRPr="008139D1">
        <w:rPr>
          <w:spacing w:val="-2"/>
          <w:lang w:val="en-US"/>
        </w:rPr>
        <w:lastRenderedPageBreak/>
        <w:t xml:space="preserve">activities could be a factor of poor communication and lack of agility in revising agreed ASAs annual activities. For instance, if there is a change in scope and context that limits the implementation of a certain ASA activity, there should be room for revision of the activity between the agency, TSSP2 and DFAT. </w:t>
      </w:r>
    </w:p>
    <w:p w14:paraId="648BFC2E" w14:textId="77777777" w:rsidR="00301880" w:rsidRPr="003278E1" w:rsidRDefault="00301880" w:rsidP="00EF176A">
      <w:pPr>
        <w:pStyle w:val="BodyText"/>
        <w:spacing w:line="240" w:lineRule="auto"/>
        <w:rPr>
          <w:lang w:val="en-US"/>
        </w:rPr>
      </w:pPr>
      <w:r w:rsidRPr="00467CBB">
        <w:rPr>
          <w:b/>
          <w:lang w:val="en-US"/>
        </w:rPr>
        <w:t>There are opportunities</w:t>
      </w:r>
      <w:r>
        <w:rPr>
          <w:b/>
          <w:bCs/>
          <w:lang w:val="en-US"/>
        </w:rPr>
        <w:t xml:space="preserve"> for DFAT</w:t>
      </w:r>
      <w:r w:rsidRPr="00467CBB">
        <w:rPr>
          <w:b/>
          <w:lang w:val="en-US"/>
        </w:rPr>
        <w:t xml:space="preserve"> to simplify and streamline ASAs by shifting to a tasking note implementation arrangement.</w:t>
      </w:r>
      <w:r w:rsidRPr="00467CBB">
        <w:rPr>
          <w:lang w:val="en-US"/>
        </w:rPr>
        <w:t xml:space="preserve"> Several stakeholders consulted were supportive of replacing ASAs with a more flexible tasking note arrangement. The agencies' activities that are included within tasking notes will need to be agreed upon with GoPNG agencies. This change in direction would seem to work well provided TSSP2 </w:t>
      </w:r>
      <w:r>
        <w:rPr>
          <w:lang w:val="en-US"/>
        </w:rPr>
        <w:t xml:space="preserve">still </w:t>
      </w:r>
      <w:r w:rsidRPr="00467CBB">
        <w:rPr>
          <w:lang w:val="en-US"/>
        </w:rPr>
        <w:t>maintains oversight of the tasking notes</w:t>
      </w:r>
      <w:r>
        <w:rPr>
          <w:lang w:val="en-US"/>
        </w:rPr>
        <w:t>’</w:t>
      </w:r>
      <w:r w:rsidRPr="00467CBB">
        <w:rPr>
          <w:lang w:val="en-US"/>
        </w:rPr>
        <w:t xml:space="preserve"> activities to ensure they align with TSSP2’s overarching program objectives. </w:t>
      </w:r>
    </w:p>
    <w:p w14:paraId="695662D3" w14:textId="49C49CE9" w:rsidR="00301880" w:rsidRPr="003278E1" w:rsidRDefault="00301880" w:rsidP="00EF176A">
      <w:pPr>
        <w:pStyle w:val="BodyText"/>
        <w:spacing w:line="240" w:lineRule="auto"/>
        <w:rPr>
          <w:lang w:val="en-US"/>
        </w:rPr>
      </w:pPr>
      <w:r w:rsidRPr="00911285">
        <w:rPr>
          <w:b/>
          <w:bCs/>
          <w:lang w:val="en-US"/>
        </w:rPr>
        <w:t>Of concern to agencies, both in Australia and PNG is the short-term nature or lack of a long-term and sustainable capacity development approach</w:t>
      </w:r>
      <w:r w:rsidRPr="003278E1">
        <w:rPr>
          <w:lang w:val="en-US"/>
        </w:rPr>
        <w:t xml:space="preserve">. The support provided though useful seems short, sporadic, unclear and in some cases inconsistent. Many agencies are of the view that there should be a long-term approach to capacity </w:t>
      </w:r>
      <w:r>
        <w:rPr>
          <w:lang w:val="en-US"/>
        </w:rPr>
        <w:t>strengthening</w:t>
      </w:r>
      <w:r w:rsidRPr="003278E1">
        <w:rPr>
          <w:lang w:val="en-US"/>
        </w:rPr>
        <w:t xml:space="preserve"> within the transport M</w:t>
      </w:r>
      <w:r>
        <w:rPr>
          <w:lang w:val="en-US"/>
        </w:rPr>
        <w:t>o</w:t>
      </w:r>
      <w:r w:rsidRPr="003278E1">
        <w:rPr>
          <w:lang w:val="en-US"/>
        </w:rPr>
        <w:t>U partnership in the technical areas</w:t>
      </w:r>
      <w:r w:rsidR="00010145">
        <w:rPr>
          <w:lang w:val="en-US"/>
        </w:rPr>
        <w:t>,</w:t>
      </w:r>
      <w:r w:rsidRPr="003278E1">
        <w:rPr>
          <w:lang w:val="en-US"/>
        </w:rPr>
        <w:t xml:space="preserve"> coupled with twinning arrangements and technical advisors to provide all-around support to the agencies. Technical advisors within programs and those seconded from Australia should be based at the PNG agencies to build </w:t>
      </w:r>
      <w:r w:rsidR="00010145">
        <w:rPr>
          <w:lang w:val="en-US"/>
        </w:rPr>
        <w:t xml:space="preserve">the </w:t>
      </w:r>
      <w:r w:rsidRPr="003278E1">
        <w:rPr>
          <w:lang w:val="en-US"/>
        </w:rPr>
        <w:t>relationships required to meaningfully engage and work in PNG.</w:t>
      </w:r>
    </w:p>
    <w:p w14:paraId="321A2AFE" w14:textId="3A8B2FBC" w:rsidR="00301880" w:rsidRDefault="00301880" w:rsidP="00EF176A">
      <w:pPr>
        <w:pStyle w:val="BodyText"/>
        <w:spacing w:line="240" w:lineRule="auto"/>
        <w:rPr>
          <w:lang w:val="en-US"/>
        </w:rPr>
      </w:pPr>
      <w:r w:rsidRPr="003278E1">
        <w:rPr>
          <w:lang w:val="en-US"/>
        </w:rPr>
        <w:t xml:space="preserve">As discussed in this chapter under KEQ </w:t>
      </w:r>
      <w:r>
        <w:rPr>
          <w:lang w:val="en-US"/>
        </w:rPr>
        <w:t>1</w:t>
      </w:r>
      <w:r w:rsidRPr="003278E1">
        <w:rPr>
          <w:lang w:val="en-US"/>
        </w:rPr>
        <w:t xml:space="preserve"> above, the TSSP2 Capacity Development Framework (2020-2022) alludes to this concern by reinforcing that a “systemic approach to the development of sustained capacity, owned and actioned by the agencies is yet to be realized”. Th</w:t>
      </w:r>
      <w:r w:rsidRPr="003278E1">
        <w:rPr>
          <w:rFonts w:hint="eastAsia"/>
          <w:lang w:val="en-US"/>
        </w:rPr>
        <w:t>e</w:t>
      </w:r>
      <w:r w:rsidRPr="003278E1">
        <w:rPr>
          <w:lang w:val="en-US"/>
        </w:rPr>
        <w:t xml:space="preserve"> Framework provides options of capacity development initiatives across transport agencies factoring in the sustainability of the initiatives in the future. </w:t>
      </w:r>
      <w:r>
        <w:rPr>
          <w:lang w:val="en-US"/>
        </w:rPr>
        <w:t>Stakeholders consulted</w:t>
      </w:r>
      <w:r w:rsidRPr="003278E1">
        <w:rPr>
          <w:lang w:val="en-US"/>
        </w:rPr>
        <w:t xml:space="preserve"> noted that the sustainability of agencies’ capacities continues to be undermined by high staff turnover and </w:t>
      </w:r>
      <w:r w:rsidR="00E46D7D">
        <w:rPr>
          <w:lang w:val="en-US"/>
        </w:rPr>
        <w:t xml:space="preserve">budget </w:t>
      </w:r>
      <w:r w:rsidR="00196DC8">
        <w:rPr>
          <w:lang w:val="en-US"/>
        </w:rPr>
        <w:t>uncertainties</w:t>
      </w:r>
      <w:r w:rsidRPr="003278E1">
        <w:rPr>
          <w:lang w:val="en-US"/>
        </w:rPr>
        <w:t xml:space="preserve"> </w:t>
      </w:r>
      <w:r w:rsidR="00DB6FE1">
        <w:rPr>
          <w:lang w:val="en-US"/>
        </w:rPr>
        <w:t xml:space="preserve">within </w:t>
      </w:r>
      <w:r w:rsidR="00DE491C">
        <w:rPr>
          <w:lang w:val="en-US"/>
        </w:rPr>
        <w:t>th</w:t>
      </w:r>
      <w:r w:rsidR="00DB6FE1">
        <w:rPr>
          <w:lang w:val="en-US"/>
        </w:rPr>
        <w:t>e</w:t>
      </w:r>
      <w:r w:rsidRPr="003278E1">
        <w:rPr>
          <w:lang w:val="en-US"/>
        </w:rPr>
        <w:t xml:space="preserve"> GoPNG to fund some of the transport sector activities as part of the national budget. </w:t>
      </w:r>
      <w:r>
        <w:rPr>
          <w:lang w:val="en-US"/>
        </w:rPr>
        <w:t>Some of the options provided to enhance sustainability of the capacity development approaches include:</w:t>
      </w:r>
    </w:p>
    <w:p w14:paraId="30F03328" w14:textId="1D7AB903" w:rsidR="00301880" w:rsidRPr="00DE04D8" w:rsidRDefault="00301880" w:rsidP="00EF176A">
      <w:pPr>
        <w:pStyle w:val="BodyBullet"/>
        <w:spacing w:line="240" w:lineRule="auto"/>
        <w:rPr>
          <w:lang w:val="en-US"/>
        </w:rPr>
      </w:pPr>
      <w:r w:rsidRPr="00DE04D8">
        <w:rPr>
          <w:lang w:val="en-US"/>
        </w:rPr>
        <w:t>That a GoPNG agencies’ demand-driven approach</w:t>
      </w:r>
      <w:r w:rsidRPr="00DE04D8">
        <w:t xml:space="preserve"> that considers </w:t>
      </w:r>
      <w:r w:rsidRPr="00DE04D8">
        <w:rPr>
          <w:lang w:val="en-US"/>
        </w:rPr>
        <w:t>barriers to effective service delivery alongside technical upskilling to ensure impact and sustainability is considered for the Partnership.</w:t>
      </w:r>
      <w:r>
        <w:rPr>
          <w:rFonts w:hint="eastAsia"/>
          <w:lang w:val="en-US"/>
        </w:rPr>
        <w:t xml:space="preserve"> </w:t>
      </w:r>
      <w:r>
        <w:rPr>
          <w:lang w:val="en-US"/>
        </w:rPr>
        <w:t xml:space="preserve">Demand driven approach will </w:t>
      </w:r>
      <w:r w:rsidR="004063DE">
        <w:rPr>
          <w:lang w:val="en-US"/>
        </w:rPr>
        <w:t xml:space="preserve">help to </w:t>
      </w:r>
      <w:r>
        <w:rPr>
          <w:lang w:val="en-US"/>
        </w:rPr>
        <w:t xml:space="preserve">ensure that initiatives supported are the ones </w:t>
      </w:r>
      <w:r>
        <w:rPr>
          <w:lang w:val="en-US"/>
        </w:rPr>
        <w:t>that the agencies need and find useful. This will enhance ownership and hence likely to be su</w:t>
      </w:r>
      <w:r>
        <w:rPr>
          <w:rFonts w:hint="eastAsia"/>
          <w:lang w:val="en-US"/>
        </w:rPr>
        <w:t>s</w:t>
      </w:r>
      <w:r>
        <w:rPr>
          <w:lang w:val="en-US"/>
        </w:rPr>
        <w:t>tainable in the long run.</w:t>
      </w:r>
    </w:p>
    <w:p w14:paraId="09E75A0E" w14:textId="6EA10759" w:rsidR="00301880" w:rsidRPr="00DE04D8" w:rsidRDefault="00301880" w:rsidP="00EF176A">
      <w:pPr>
        <w:pStyle w:val="BodyBullet"/>
        <w:spacing w:line="240" w:lineRule="auto"/>
        <w:rPr>
          <w:lang w:val="en-US"/>
        </w:rPr>
      </w:pPr>
      <w:r>
        <w:rPr>
          <w:lang w:val="en-US"/>
        </w:rPr>
        <w:t>Capacity development approaches should consider</w:t>
      </w:r>
      <w:r w:rsidRPr="00DE04D8">
        <w:rPr>
          <w:lang w:val="en-US"/>
        </w:rPr>
        <w:t xml:space="preserve"> shared accountability, active leadership</w:t>
      </w:r>
      <w:r w:rsidRPr="00DE04D8">
        <w:rPr>
          <w:rFonts w:hint="eastAsia"/>
          <w:lang w:val="en-US"/>
        </w:rPr>
        <w:t>,</w:t>
      </w:r>
      <w:r w:rsidRPr="00DE04D8">
        <w:rPr>
          <w:lang w:val="en-US"/>
        </w:rPr>
        <w:t xml:space="preserve"> and the whole of government approach</w:t>
      </w:r>
      <w:r>
        <w:rPr>
          <w:lang w:val="en-US"/>
        </w:rPr>
        <w:t>. This will facilitate co-learning and sharing and increase the ability o</w:t>
      </w:r>
      <w:r>
        <w:rPr>
          <w:rFonts w:hint="eastAsia"/>
          <w:lang w:val="en-US"/>
        </w:rPr>
        <w:t>f</w:t>
      </w:r>
      <w:r>
        <w:rPr>
          <w:lang w:val="en-US"/>
        </w:rPr>
        <w:t xml:space="preserve"> the initiatives to be resourced because of buy-in of the senior leadership.</w:t>
      </w:r>
      <w:r w:rsidRPr="00DE04D8">
        <w:rPr>
          <w:lang w:val="en-US"/>
        </w:rPr>
        <w:t xml:space="preserve"> </w:t>
      </w:r>
    </w:p>
    <w:p w14:paraId="0B767A5F" w14:textId="76EDB881" w:rsidR="00301880" w:rsidRPr="00BA06DD" w:rsidRDefault="00301880" w:rsidP="00EF176A">
      <w:pPr>
        <w:pStyle w:val="BodyBullet"/>
        <w:spacing w:line="240" w:lineRule="auto"/>
        <w:rPr>
          <w:lang w:val="en-US"/>
        </w:rPr>
      </w:pPr>
      <w:r w:rsidRPr="00DE04D8">
        <w:rPr>
          <w:lang w:val="en-US"/>
        </w:rPr>
        <w:t xml:space="preserve">Also, the modalities of capacity development support should shift from an international adviser centric focus and allow agencies to define the capacity </w:t>
      </w:r>
      <w:r>
        <w:rPr>
          <w:lang w:val="en-US"/>
        </w:rPr>
        <w:t xml:space="preserve">that they need, but also take part in the development and revision of the </w:t>
      </w:r>
      <w:r w:rsidRPr="00DE04D8">
        <w:rPr>
          <w:lang w:val="en-US"/>
        </w:rPr>
        <w:t>advis</w:t>
      </w:r>
      <w:r w:rsidR="005342F5">
        <w:rPr>
          <w:lang w:val="en-US"/>
        </w:rPr>
        <w:t>or</w:t>
      </w:r>
      <w:r w:rsidRPr="00DE04D8">
        <w:rPr>
          <w:lang w:val="en-US"/>
        </w:rPr>
        <w:t>s</w:t>
      </w:r>
      <w:r w:rsidR="005342F5">
        <w:rPr>
          <w:lang w:val="en-US"/>
        </w:rPr>
        <w:t>’</w:t>
      </w:r>
      <w:r w:rsidRPr="00DE04D8">
        <w:rPr>
          <w:lang w:val="en-US"/>
        </w:rPr>
        <w:t xml:space="preserve"> terms of reference and work plans to fully understand the advisers’ scope of work as a resource to their agency. </w:t>
      </w:r>
      <w:r>
        <w:rPr>
          <w:lang w:val="en-US"/>
        </w:rPr>
        <w:t xml:space="preserve">This will </w:t>
      </w:r>
      <w:r w:rsidR="004063DE">
        <w:rPr>
          <w:lang w:val="en-US"/>
        </w:rPr>
        <w:t>help</w:t>
      </w:r>
      <w:r>
        <w:rPr>
          <w:lang w:val="en-US"/>
        </w:rPr>
        <w:t xml:space="preserve"> the right people </w:t>
      </w:r>
      <w:r w:rsidR="00CE0B8F">
        <w:rPr>
          <w:lang w:val="en-US"/>
        </w:rPr>
        <w:t xml:space="preserve">to be </w:t>
      </w:r>
      <w:r>
        <w:rPr>
          <w:lang w:val="en-US"/>
        </w:rPr>
        <w:t xml:space="preserve">matched with the right skills necessary for better learning and sustainability. </w:t>
      </w:r>
    </w:p>
    <w:p w14:paraId="5B41333A" w14:textId="77777777" w:rsidR="00301880" w:rsidRPr="00BA06DD" w:rsidRDefault="00301880" w:rsidP="00EF176A">
      <w:pPr>
        <w:pStyle w:val="BodyText"/>
        <w:spacing w:line="240" w:lineRule="auto"/>
        <w:rPr>
          <w:lang w:val="en-US"/>
        </w:rPr>
      </w:pPr>
      <w:r w:rsidRPr="003A7730">
        <w:rPr>
          <w:lang w:val="en-US"/>
        </w:rPr>
        <w:t>So</w:t>
      </w:r>
      <w:r w:rsidRPr="007F57E4">
        <w:rPr>
          <w:lang w:val="en-US"/>
        </w:rPr>
        <w:t xml:space="preserve">me of </w:t>
      </w:r>
      <w:r>
        <w:rPr>
          <w:lang w:val="en-US"/>
        </w:rPr>
        <w:t>these</w:t>
      </w:r>
      <w:r w:rsidRPr="003A7730">
        <w:rPr>
          <w:lang w:val="en-US"/>
        </w:rPr>
        <w:t xml:space="preserve"> </w:t>
      </w:r>
      <w:r w:rsidRPr="007F57E4">
        <w:rPr>
          <w:lang w:val="en-US"/>
        </w:rPr>
        <w:t>modalities of engag</w:t>
      </w:r>
      <w:r w:rsidRPr="002110BA">
        <w:rPr>
          <w:lang w:val="en-US"/>
        </w:rPr>
        <w:t>ement are already being implemented by TSSP2 with scope for expansion and adaptation to all agencies within the transport sector.</w:t>
      </w:r>
    </w:p>
    <w:p w14:paraId="68785240" w14:textId="28C7AE95" w:rsidR="00CE5399" w:rsidRDefault="00301880" w:rsidP="00EF176A">
      <w:pPr>
        <w:pStyle w:val="BodyText"/>
        <w:spacing w:line="240" w:lineRule="auto"/>
        <w:rPr>
          <w:lang w:val="en-US"/>
        </w:rPr>
      </w:pPr>
      <w:r w:rsidRPr="00911285">
        <w:rPr>
          <w:b/>
          <w:bCs/>
          <w:lang w:val="en-US"/>
        </w:rPr>
        <w:t xml:space="preserve">Brand recognition between TSSP as a </w:t>
      </w:r>
      <w:r w:rsidR="004E1251">
        <w:rPr>
          <w:b/>
          <w:bCs/>
          <w:lang w:val="en-US"/>
        </w:rPr>
        <w:t xml:space="preserve">bilateral transport sector </w:t>
      </w:r>
      <w:r w:rsidRPr="00911285">
        <w:rPr>
          <w:b/>
          <w:bCs/>
          <w:lang w:val="en-US"/>
        </w:rPr>
        <w:t xml:space="preserve">program and TSSP2 as </w:t>
      </w:r>
      <w:r w:rsidR="00800519">
        <w:rPr>
          <w:b/>
          <w:bCs/>
          <w:lang w:val="en-US"/>
        </w:rPr>
        <w:t xml:space="preserve">the second phase of the program </w:t>
      </w:r>
      <w:r w:rsidR="0061680B">
        <w:rPr>
          <w:b/>
          <w:bCs/>
          <w:lang w:val="en-US"/>
        </w:rPr>
        <w:t xml:space="preserve">managed by GHD </w:t>
      </w:r>
      <w:r w:rsidRPr="00911285">
        <w:rPr>
          <w:b/>
          <w:bCs/>
          <w:lang w:val="en-US"/>
        </w:rPr>
        <w:t>is extremely confusing for many stakeholders</w:t>
      </w:r>
      <w:r w:rsidR="00DD671B">
        <w:rPr>
          <w:b/>
          <w:bCs/>
          <w:lang w:val="en-US"/>
        </w:rPr>
        <w:t>,</w:t>
      </w:r>
      <w:r w:rsidRPr="00911285">
        <w:rPr>
          <w:b/>
          <w:bCs/>
          <w:lang w:val="en-US"/>
        </w:rPr>
        <w:t xml:space="preserve"> with a call for better communication to understand the difference and objectives of each.</w:t>
      </w:r>
      <w:r w:rsidRPr="001D0884">
        <w:rPr>
          <w:lang w:val="en-US"/>
        </w:rPr>
        <w:t xml:space="preserve"> </w:t>
      </w:r>
      <w:r w:rsidRPr="002110BA">
        <w:rPr>
          <w:lang w:val="en-US"/>
        </w:rPr>
        <w:t xml:space="preserve">TSSP as a </w:t>
      </w:r>
      <w:r w:rsidR="00F55C6B">
        <w:rPr>
          <w:lang w:val="en-US"/>
        </w:rPr>
        <w:t xml:space="preserve">bilateral </w:t>
      </w:r>
      <w:r w:rsidR="00B343BC">
        <w:rPr>
          <w:lang w:val="en-US"/>
        </w:rPr>
        <w:t xml:space="preserve">sector </w:t>
      </w:r>
      <w:r w:rsidRPr="002110BA">
        <w:rPr>
          <w:lang w:val="en-US"/>
        </w:rPr>
        <w:t xml:space="preserve">program is delivered through three mechanisms: i) a managing contractor (GHD); ii) the Institutional Partnerships Program; and iii) a Transport MoU between PNG’s DoT and the Australian Government’s DITRDC. </w:t>
      </w:r>
      <w:r w:rsidR="00CE5399">
        <w:rPr>
          <w:lang w:val="en-US"/>
        </w:rPr>
        <w:t xml:space="preserve">The bulk of </w:t>
      </w:r>
      <w:r w:rsidRPr="002110BA">
        <w:rPr>
          <w:lang w:val="en-US"/>
        </w:rPr>
        <w:t>TSSP2</w:t>
      </w:r>
      <w:r w:rsidR="00B343BC">
        <w:rPr>
          <w:lang w:val="en-US"/>
        </w:rPr>
        <w:t>,</w:t>
      </w:r>
      <w:r w:rsidR="00F55C6B">
        <w:rPr>
          <w:lang w:val="en-US"/>
        </w:rPr>
        <w:t xml:space="preserve"> the second phase of TSS</w:t>
      </w:r>
      <w:r w:rsidR="005B3A5A">
        <w:rPr>
          <w:lang w:val="en-US"/>
        </w:rPr>
        <w:t>P</w:t>
      </w:r>
      <w:r w:rsidR="00B343BC">
        <w:rPr>
          <w:lang w:val="en-US"/>
        </w:rPr>
        <w:t>,</w:t>
      </w:r>
      <w:r w:rsidR="005B3A5A">
        <w:rPr>
          <w:lang w:val="en-US"/>
        </w:rPr>
        <w:t xml:space="preserve"> is implemented and managed by </w:t>
      </w:r>
      <w:r w:rsidRPr="002110BA">
        <w:rPr>
          <w:lang w:val="en-US"/>
        </w:rPr>
        <w:t>GHD</w:t>
      </w:r>
      <w:r w:rsidR="00060E8E">
        <w:rPr>
          <w:lang w:val="en-US"/>
        </w:rPr>
        <w:t xml:space="preserve">. </w:t>
      </w:r>
      <w:r w:rsidR="00CE5399">
        <w:rPr>
          <w:lang w:val="en-US"/>
        </w:rPr>
        <w:t>The confusion relating to branding likely lies in the fact that the Contract between DFAT and GHD is called TSSP2, which is also the second phase of the broader bilateral sector program.</w:t>
      </w:r>
    </w:p>
    <w:p w14:paraId="61F45D79" w14:textId="5E717864" w:rsidR="008139D1" w:rsidRDefault="00301880" w:rsidP="00F569E3">
      <w:pPr>
        <w:pStyle w:val="BodyText"/>
        <w:spacing w:line="240" w:lineRule="auto"/>
        <w:rPr>
          <w:color w:val="000000" w:themeColor="text1"/>
          <w:lang w:val="en-US"/>
        </w:rPr>
      </w:pPr>
      <w:r w:rsidRPr="002110BA">
        <w:rPr>
          <w:color w:val="000000" w:themeColor="text1"/>
          <w:lang w:val="en-US"/>
        </w:rPr>
        <w:t xml:space="preserve">While this suggests a need to improve brand </w:t>
      </w:r>
      <w:r w:rsidRPr="00911285">
        <w:t>recognition</w:t>
      </w:r>
      <w:r w:rsidRPr="002110BA">
        <w:rPr>
          <w:color w:val="000000" w:themeColor="text1"/>
          <w:lang w:val="en-US"/>
        </w:rPr>
        <w:t xml:space="preserve"> among PNG counterparts, evidence is mixed on the benefits of branding for donor agencies and governments, particularly for infrastructure projects.</w:t>
      </w:r>
      <w:r w:rsidRPr="003A7730">
        <w:rPr>
          <w:rStyle w:val="FootnoteReference"/>
          <w:color w:val="000000" w:themeColor="text1"/>
          <w:lang w:val="en-US"/>
        </w:rPr>
        <w:footnoteReference w:id="6"/>
      </w:r>
      <w:r w:rsidRPr="003A7730">
        <w:rPr>
          <w:color w:val="000000" w:themeColor="text1"/>
          <w:lang w:val="en-US"/>
        </w:rPr>
        <w:t xml:space="preserve"> Measures should be taken to </w:t>
      </w:r>
      <w:r w:rsidRPr="002110BA">
        <w:rPr>
          <w:color w:val="000000" w:themeColor="text1"/>
          <w:lang w:val="en-US"/>
        </w:rPr>
        <w:t xml:space="preserve">clarify the different partnerships while also encouraging domestic support for and local ownership in transport sector infrastructure. </w:t>
      </w:r>
      <w:r w:rsidR="008139D1">
        <w:rPr>
          <w:color w:val="000000" w:themeColor="text1"/>
          <w:lang w:val="en-US"/>
        </w:rPr>
        <w:br w:type="page"/>
      </w:r>
    </w:p>
    <w:p w14:paraId="4FCE7599" w14:textId="77777777" w:rsidR="00301880" w:rsidRPr="001D0884" w:rsidRDefault="00301880" w:rsidP="006A0366">
      <w:pPr>
        <w:pStyle w:val="BodyText"/>
        <w:spacing w:line="240" w:lineRule="auto"/>
        <w:rPr>
          <w:b/>
          <w:color w:val="65C5B4" w:themeColor="accent2"/>
        </w:rPr>
      </w:pPr>
      <w:r w:rsidRPr="003A7730">
        <w:rPr>
          <w:b/>
          <w:color w:val="65C5B4" w:themeColor="accent2"/>
        </w:rPr>
        <w:lastRenderedPageBreak/>
        <w:t>KEQ</w:t>
      </w:r>
      <w:r w:rsidRPr="007F57E4">
        <w:rPr>
          <w:b/>
          <w:color w:val="65C5B4" w:themeColor="accent2"/>
        </w:rPr>
        <w:t xml:space="preserve"> 3</w:t>
      </w:r>
      <w:r w:rsidRPr="00273821">
        <w:rPr>
          <w:b/>
          <w:color w:val="65C5B4" w:themeColor="accent2"/>
        </w:rPr>
        <w:t>: Are existing arran</w:t>
      </w:r>
      <w:r w:rsidRPr="001D0884">
        <w:rPr>
          <w:b/>
          <w:color w:val="65C5B4" w:themeColor="accent2"/>
        </w:rPr>
        <w:t>gements and activities well supported and appropriately resourced by Australian and PNG agencies?</w:t>
      </w:r>
    </w:p>
    <w:p w14:paraId="3E823DA2" w14:textId="4012E305" w:rsidR="00301880" w:rsidRPr="002110BA" w:rsidRDefault="00361F79" w:rsidP="006A0366">
      <w:pPr>
        <w:pStyle w:val="BodyText"/>
        <w:spacing w:line="240" w:lineRule="auto"/>
      </w:pPr>
      <w:r w:rsidRPr="00F569E3">
        <w:rPr>
          <w:b/>
          <w:bCs/>
          <w:lang w:val="en-US"/>
        </w:rPr>
        <w:t>GoPNG agencies propose a review of the existing ASA funding arrangement, including alternative options to the current reimbursable model, which can in some instances present budget constraints when having to fund activities up front</w:t>
      </w:r>
      <w:r w:rsidR="00301880" w:rsidRPr="001D0884">
        <w:rPr>
          <w:b/>
        </w:rPr>
        <w:t xml:space="preserve">. </w:t>
      </w:r>
      <w:r w:rsidR="00301880" w:rsidRPr="002110BA">
        <w:t xml:space="preserve">The ASAs reimbursable model replaced funding through a Trust Fund account that the Australian government used during the AusAID era. The current model where agencies are expected to fund agreed upon activities and be reimbursed later was reported by stakeholders within the GoPNG agencies as a constraint to effective and timely implementation of activities. </w:t>
      </w:r>
    </w:p>
    <w:p w14:paraId="25833B88" w14:textId="2E165B96" w:rsidR="00301880" w:rsidRPr="002110BA" w:rsidRDefault="00301880" w:rsidP="006A0366">
      <w:pPr>
        <w:pStyle w:val="BodyText"/>
        <w:spacing w:line="240" w:lineRule="auto"/>
      </w:pPr>
      <w:r w:rsidRPr="002110BA">
        <w:t>While the Review did not</w:t>
      </w:r>
      <w:r w:rsidRPr="002110BA" w:rsidDel="00CD4A5D">
        <w:t xml:space="preserve"> </w:t>
      </w:r>
      <w:r w:rsidRPr="002110BA">
        <w:t xml:space="preserve">obtain consensus from the different agencies on what the proposed funding model should look like, some stakeholders provided options. The first option proposed was going back to the Trust Fund model where DFAT channels funds to an account that is then used with oversight of the TSSP2 to implement the activities. The </w:t>
      </w:r>
      <w:r w:rsidRPr="00911285">
        <w:t>second</w:t>
      </w:r>
      <w:r w:rsidRPr="002110BA">
        <w:t xml:space="preserve"> option proposed was that funding for the activities is channelled through TSSP2. TSSP2 will then provide oversight and allocate funding to agencies as per agreed work plans. This provides preceding funding for activities but does not sit within GoPNG agencies but with TSSP and is implemented through a </w:t>
      </w:r>
      <w:r w:rsidR="00CD308C">
        <w:t>T</w:t>
      </w:r>
      <w:r w:rsidRPr="002110BA">
        <w:t xml:space="preserve">asking </w:t>
      </w:r>
      <w:r w:rsidR="00CD308C">
        <w:t>N</w:t>
      </w:r>
      <w:r w:rsidRPr="002110BA">
        <w:t xml:space="preserve">ote approach. </w:t>
      </w:r>
    </w:p>
    <w:p w14:paraId="368F956B" w14:textId="35DD7A09" w:rsidR="00301880" w:rsidRPr="002110BA" w:rsidRDefault="00301880" w:rsidP="006A0366">
      <w:pPr>
        <w:pStyle w:val="BodyText"/>
        <w:spacing w:line="240" w:lineRule="auto"/>
      </w:pPr>
      <w:r w:rsidRPr="001D0884">
        <w:rPr>
          <w:b/>
        </w:rPr>
        <w:t xml:space="preserve">Some inter-agency governance arrangements were a challenge and could be resolved by clear reporting lines in the future. </w:t>
      </w:r>
      <w:r w:rsidRPr="002110BA">
        <w:t>This challenge was noted between the Infrastructure IPP advisors and TSSP where reporting lines were not clear on who reports to who. This was complicated because in a sense the technical advisors under the IPP are senior Australian government employees who had reporting lines to the TSSP</w:t>
      </w:r>
      <w:r w:rsidR="00CD308C" w:rsidRPr="002110BA">
        <w:t>2 -</w:t>
      </w:r>
      <w:r w:rsidRPr="002110BA">
        <w:t xml:space="preserve"> a managing contractor. Though some consulted stakeholders report that the issue was eventually resolved, going </w:t>
      </w:r>
      <w:r w:rsidRPr="00911285">
        <w:t>forward</w:t>
      </w:r>
      <w:r w:rsidRPr="002110BA">
        <w:t xml:space="preserve">, reporting lines would have to be very clearly defined and agreed upon by all parties to mitigate similar challenges. </w:t>
      </w:r>
      <w:r w:rsidRPr="00BA06DD">
        <w:t>And for the Infrastructure IPP technical advisors, this will be easily resolved if the infrastructure component is moved under TSSP3 (managed by the sub-</w:t>
      </w:r>
      <w:r w:rsidR="00302C6D" w:rsidRPr="00BA06DD">
        <w:t>contractor) but</w:t>
      </w:r>
      <w:r w:rsidRPr="00BA06DD">
        <w:t xml:space="preserve"> reporting lines </w:t>
      </w:r>
      <w:r w:rsidR="00A50811" w:rsidRPr="00BA06DD">
        <w:t>are managed</w:t>
      </w:r>
      <w:r w:rsidRPr="00BA06DD">
        <w:t xml:space="preserve"> by DFAT at the AHC.</w:t>
      </w:r>
      <w:r w:rsidRPr="003A7730">
        <w:t xml:space="preserve"> </w:t>
      </w:r>
      <w:r>
        <w:t>(See</w:t>
      </w:r>
      <w:r w:rsidRPr="003A7730">
        <w:t xml:space="preserve"> </w:t>
      </w:r>
      <w:r w:rsidRPr="00273821">
        <w:t>chapter 3</w:t>
      </w:r>
      <w:r w:rsidRPr="002110BA">
        <w:t xml:space="preserve">, KEQ </w:t>
      </w:r>
      <w:r w:rsidR="007B74F8">
        <w:t>6</w:t>
      </w:r>
      <w:r w:rsidRPr="002110BA">
        <w:t>)</w:t>
      </w:r>
      <w:r w:rsidR="00273240">
        <w:t>.</w:t>
      </w:r>
    </w:p>
    <w:p w14:paraId="3D63E883" w14:textId="77777777" w:rsidR="00301880" w:rsidRPr="001D0884" w:rsidRDefault="00301880" w:rsidP="006A0366">
      <w:pPr>
        <w:pStyle w:val="BodyText"/>
        <w:spacing w:line="240" w:lineRule="auto"/>
        <w:rPr>
          <w:b/>
          <w:color w:val="65C5B4" w:themeColor="accent2"/>
        </w:rPr>
      </w:pPr>
      <w:r w:rsidRPr="001D0884">
        <w:rPr>
          <w:b/>
          <w:color w:val="65C5B4" w:themeColor="accent2"/>
        </w:rPr>
        <w:t>KEQ 4: A</w:t>
      </w:r>
      <w:r w:rsidRPr="001D0884">
        <w:rPr>
          <w:b/>
          <w:color w:val="65C5B4" w:themeColor="accent2"/>
        </w:rPr>
        <w:tab/>
        <w:t>re existing partnership activities</w:t>
      </w:r>
      <w:r w:rsidRPr="002110BA">
        <w:t xml:space="preserve"> </w:t>
      </w:r>
      <w:r w:rsidRPr="001D0884">
        <w:rPr>
          <w:b/>
          <w:color w:val="65C5B4" w:themeColor="accent2"/>
        </w:rPr>
        <w:t>consistent with TSSP and sector objectives, and broader Australian and PNG Government interests?</w:t>
      </w:r>
    </w:p>
    <w:p w14:paraId="3CDBBDBC" w14:textId="21F20B92" w:rsidR="00301880" w:rsidRPr="002110BA" w:rsidRDefault="00301880" w:rsidP="006A0366">
      <w:pPr>
        <w:pStyle w:val="BodyText"/>
        <w:spacing w:line="240" w:lineRule="auto"/>
      </w:pPr>
      <w:r w:rsidRPr="001D0884">
        <w:rPr>
          <w:b/>
        </w:rPr>
        <w:t xml:space="preserve">Most activities implemented through the transport sector partnership are aligned and consistent with sector agencies’ objectives and priorities however, end of program outcomes for some ASAs are not clearly articulated and therefore hard to measure and assess </w:t>
      </w:r>
      <w:r w:rsidR="00273240">
        <w:rPr>
          <w:b/>
        </w:rPr>
        <w:t xml:space="preserve">the </w:t>
      </w:r>
      <w:r w:rsidRPr="001D0884">
        <w:rPr>
          <w:b/>
        </w:rPr>
        <w:t>progress made so far</w:t>
      </w:r>
      <w:r w:rsidRPr="002110BA">
        <w:t xml:space="preserve">. The activities implemented through the IPP and ASAs are carefully selected </w:t>
      </w:r>
      <w:r w:rsidRPr="002110BA">
        <w:t xml:space="preserve">through a planning and participatory process between the counterpart agencies - TSSP, DITRDC and DFAT. The Review found out that selected activities for funding in the ASAs </w:t>
      </w:r>
      <w:r w:rsidR="008B4789" w:rsidRPr="002110BA">
        <w:t>must</w:t>
      </w:r>
      <w:r w:rsidRPr="002110BA">
        <w:t xml:space="preserve"> meet certain criteria outlined by DFAT</w:t>
      </w:r>
      <w:r w:rsidR="00566104">
        <w:t>,</w:t>
      </w:r>
      <w:r w:rsidRPr="002110BA">
        <w:t xml:space="preserve"> key being that the activities must be aligned to the agencies’ corporate plans, be in line with GoPNG policies and that the procurement of the activities during implementation meets Commonwealth procurement rules. Activities implemented by agencies outside of these criteria are not reimbursed even if implemented. With this understanding, the Review notes a high level of alignment of activities and priorities to GoPNG policies and plans.</w:t>
      </w:r>
    </w:p>
    <w:p w14:paraId="550AAE76" w14:textId="166F7D89" w:rsidR="00301880" w:rsidRPr="001D0884" w:rsidRDefault="00301880" w:rsidP="006A0366">
      <w:pPr>
        <w:pStyle w:val="BodyText"/>
        <w:spacing w:line="240" w:lineRule="auto"/>
        <w:rPr>
          <w:b/>
          <w:color w:val="65C5B4" w:themeColor="accent2"/>
        </w:rPr>
      </w:pPr>
      <w:r w:rsidRPr="001D0884">
        <w:rPr>
          <w:b/>
          <w:color w:val="65C5B4" w:themeColor="accent2"/>
        </w:rPr>
        <w:t>KEQ 5: Do existing partnership activities under the relevant programs have clearly defined outcomes, objectives, outputs? And is there appropriate means to measure and report on outcomes and outputs?</w:t>
      </w:r>
    </w:p>
    <w:p w14:paraId="15D3C48E" w14:textId="5A37922C" w:rsidR="00301880" w:rsidRPr="002110BA" w:rsidRDefault="00301880" w:rsidP="006A0366">
      <w:pPr>
        <w:pStyle w:val="BodyText"/>
        <w:spacing w:line="240" w:lineRule="auto"/>
      </w:pPr>
      <w:r w:rsidRPr="001D0884">
        <w:rPr>
          <w:b/>
        </w:rPr>
        <w:t xml:space="preserve">Most ASAs signed agreements </w:t>
      </w:r>
      <w:r w:rsidR="00566104">
        <w:rPr>
          <w:b/>
        </w:rPr>
        <w:t>that</w:t>
      </w:r>
      <w:r w:rsidR="00077BD8">
        <w:rPr>
          <w:b/>
        </w:rPr>
        <w:t xml:space="preserve"> outline</w:t>
      </w:r>
      <w:r w:rsidRPr="001D0884">
        <w:rPr>
          <w:b/>
        </w:rPr>
        <w:t xml:space="preserve"> expected outcomes of the partnerships and what activities will be implemented to achieve the different outcomes</w:t>
      </w:r>
      <w:r w:rsidR="00077BD8">
        <w:rPr>
          <w:b/>
        </w:rPr>
        <w:t>,</w:t>
      </w:r>
      <w:r w:rsidRPr="001D0884">
        <w:rPr>
          <w:b/>
        </w:rPr>
        <w:t xml:space="preserve"> though there is variation across the ASAs on the articulation of the expected outcomes and how they will be measured.</w:t>
      </w:r>
      <w:r w:rsidRPr="002110BA">
        <w:t xml:space="preserve"> For instance, the ASAs between the Government of Australia and DoT, NMSA and DoW clearly state the expected outcomes of the partnerships with clear and specific activities for each of the outcomes</w:t>
      </w:r>
      <w:r w:rsidR="00077BD8">
        <w:t>,</w:t>
      </w:r>
      <w:r w:rsidRPr="002110BA">
        <w:t xml:space="preserve"> but the same cannot be said of the </w:t>
      </w:r>
      <w:r w:rsidR="00BA60D3">
        <w:t xml:space="preserve">ASA with </w:t>
      </w:r>
      <w:r w:rsidRPr="002110BA">
        <w:t>CASA PNG</w:t>
      </w:r>
      <w:r w:rsidR="00BA60D3">
        <w:t>,</w:t>
      </w:r>
      <w:r w:rsidRPr="002110BA">
        <w:t xml:space="preserve"> which only states activities to be implemented but no expected outcomes. Even though most of the ASAs have expected outcomes, the Review did not find documentation or evidence that reports on the progress made towards the achievement of the expected outcomes pointing towards weak or absence of results measurement approaches. For the Infrastructure IPP, the Review found activities work plans and progress reports but no results reports pointing to similar challenges mentioned above for the ASAs. </w:t>
      </w:r>
    </w:p>
    <w:p w14:paraId="78282D56" w14:textId="77777777" w:rsidR="00301880" w:rsidRPr="002110BA" w:rsidRDefault="00301880" w:rsidP="006A0366">
      <w:pPr>
        <w:pStyle w:val="BodyText"/>
        <w:spacing w:line="240" w:lineRule="auto"/>
      </w:pPr>
      <w:r w:rsidRPr="002110BA">
        <w:t xml:space="preserve">This challenge of weak and poor results measurement approaches is not unique to the Partnership but is common across international development projects where resourcing of both Monitoring and Evaluation (M&amp;E) human capacity and financial resources is not factored in during project design and implementation. With no results measurement approaches for the Partnership, it is therefore challenging for the Review team to assess outcomes achieved by the ASAs and the Infrastructure IPP beyond anecdotal evidence provided during the interviews. </w:t>
      </w:r>
    </w:p>
    <w:p w14:paraId="36330673" w14:textId="4A21B769" w:rsidR="008B095E" w:rsidRDefault="00301880" w:rsidP="006A0366">
      <w:pPr>
        <w:pStyle w:val="BodyText"/>
        <w:spacing w:line="240" w:lineRule="auto"/>
      </w:pPr>
      <w:r w:rsidRPr="002110BA">
        <w:t xml:space="preserve">However, there is scope in the future for the Partnership to go beyond articulated outcomes and embed within the ASAs results frameworks with baselines and targets to assess achievement of outcomes. This could be implemented through a broader and overarching Partnership program logic with accompanying results frameworks where different </w:t>
      </w:r>
      <w:r w:rsidRPr="002110BA">
        <w:lastRenderedPageBreak/>
        <w:t>ASAs can align and contribute to or embedding results frameworks within individual ASAs agreements.</w:t>
      </w:r>
    </w:p>
    <w:p w14:paraId="5CBCCD06" w14:textId="4D5AF539" w:rsidR="00301880" w:rsidRPr="001D0884" w:rsidRDefault="00395767" w:rsidP="006A0366">
      <w:pPr>
        <w:pStyle w:val="Heading2"/>
        <w:spacing w:before="120" w:after="120" w:line="240" w:lineRule="auto"/>
        <w:ind w:left="426" w:hanging="426"/>
      </w:pPr>
      <w:bookmarkStart w:id="45" w:name="_Toc93912277"/>
      <w:bookmarkStart w:id="46" w:name="_Toc96441100"/>
      <w:bookmarkStart w:id="47" w:name="_Toc98526264"/>
      <w:r>
        <w:t>2.2</w:t>
      </w:r>
      <w:r>
        <w:tab/>
      </w:r>
      <w:r w:rsidR="00301880" w:rsidRPr="001D0884">
        <w:t>Conclusions</w:t>
      </w:r>
      <w:bookmarkEnd w:id="45"/>
      <w:bookmarkEnd w:id="46"/>
      <w:bookmarkEnd w:id="47"/>
      <w:r w:rsidR="00301880" w:rsidRPr="001D0884">
        <w:t xml:space="preserve"> </w:t>
      </w:r>
    </w:p>
    <w:p w14:paraId="5212521E" w14:textId="797AE7A1" w:rsidR="00301880" w:rsidRPr="002110BA" w:rsidRDefault="00301880" w:rsidP="006A0366">
      <w:pPr>
        <w:pStyle w:val="BodyText"/>
        <w:spacing w:line="240" w:lineRule="auto"/>
      </w:pPr>
      <w:r w:rsidRPr="003A7730">
        <w:t xml:space="preserve">The </w:t>
      </w:r>
      <w:r w:rsidRPr="007F57E4">
        <w:t>P</w:t>
      </w:r>
      <w:r w:rsidRPr="00273821">
        <w:t>artnersh</w:t>
      </w:r>
      <w:r w:rsidRPr="002110BA">
        <w:t xml:space="preserve">ip delivered under the MoU and implemented through the TSSP, IPP and ASAs is important, well received and is in some instances working well. At the same time, </w:t>
      </w:r>
      <w:r w:rsidR="004259D1" w:rsidRPr="002110BA">
        <w:t>some of the noted challenges</w:t>
      </w:r>
      <w:r w:rsidR="004259D1">
        <w:t xml:space="preserve"> include</w:t>
      </w:r>
      <w:r w:rsidR="004259D1" w:rsidRPr="002110BA">
        <w:t xml:space="preserve"> </w:t>
      </w:r>
      <w:r w:rsidRPr="002110BA">
        <w:t xml:space="preserve">a lack of common understanding of the overall Partnership, burdensome ASAs implementing and reporting obligations, lack of a long-term and sustainable capacity development approach and the ASAs reimbursable funding model. </w:t>
      </w:r>
    </w:p>
    <w:p w14:paraId="23E53B2B" w14:textId="01FA7027" w:rsidR="00301880" w:rsidRPr="002110BA" w:rsidRDefault="00301880" w:rsidP="006A0366">
      <w:pPr>
        <w:pStyle w:val="BodyText"/>
        <w:spacing w:line="240" w:lineRule="auto"/>
      </w:pPr>
      <w:r w:rsidRPr="002110BA">
        <w:t>Most ASAs have defined outcomes and objectives and the implemented activities are aligned to GoPNG development strategies and plans, and the Australian Government’s objectives and interests. Results measurement approaches for the ASAs and the IPP remain weak</w:t>
      </w:r>
      <w:r w:rsidR="007947BB">
        <w:t>,</w:t>
      </w:r>
      <w:r w:rsidRPr="002110BA">
        <w:t xml:space="preserve"> with opportunities to strengthen and embed results measurement approaches within the agreements. </w:t>
      </w:r>
    </w:p>
    <w:p w14:paraId="2C1B942C" w14:textId="23FC9FC0" w:rsidR="00301880" w:rsidRPr="001D0884" w:rsidRDefault="00395767" w:rsidP="006A0366">
      <w:pPr>
        <w:pStyle w:val="Heading2"/>
        <w:spacing w:before="120" w:after="120" w:line="240" w:lineRule="auto"/>
        <w:ind w:left="426" w:hanging="426"/>
      </w:pPr>
      <w:bookmarkStart w:id="48" w:name="_Toc93912278"/>
      <w:bookmarkStart w:id="49" w:name="_Toc96441101"/>
      <w:bookmarkStart w:id="50" w:name="_Toc98526265"/>
      <w:r>
        <w:t>2.3</w:t>
      </w:r>
      <w:r>
        <w:tab/>
      </w:r>
      <w:r w:rsidR="00301880" w:rsidRPr="001D0884">
        <w:t>Recommendations</w:t>
      </w:r>
      <w:bookmarkEnd w:id="48"/>
      <w:bookmarkEnd w:id="49"/>
      <w:bookmarkEnd w:id="50"/>
      <w:r w:rsidR="00301880" w:rsidRPr="001D0884">
        <w:t xml:space="preserve"> </w:t>
      </w:r>
    </w:p>
    <w:p w14:paraId="391034A0" w14:textId="08C7A6FD" w:rsidR="00301880" w:rsidRPr="002110BA" w:rsidRDefault="00301880" w:rsidP="006A0366">
      <w:pPr>
        <w:pStyle w:val="BodyText"/>
        <w:spacing w:line="240" w:lineRule="auto"/>
      </w:pPr>
      <w:bookmarkStart w:id="51" w:name="_Hlk93576252"/>
      <w:r w:rsidRPr="00911285">
        <w:rPr>
          <w:b/>
          <w:color w:val="B5582D" w:themeColor="accent4"/>
        </w:rPr>
        <w:t xml:space="preserve">Recommendation 1: </w:t>
      </w:r>
      <w:r w:rsidRPr="002110BA">
        <w:t xml:space="preserve">That DFAT, DITRDC and GoPNG clearly articulate, communicate, and socialise the Partnership objectives beyond the senior levels of the GoPNG agencies. This is an opportunity to have a common shared understanding and appreciation of the partnerships across the sector, properly align initiatives, develop better and joint agreeable initiatives and position the Partnership as the foundation of Australia and GoPNG bilateral engagements within the transport sector. </w:t>
      </w:r>
    </w:p>
    <w:bookmarkEnd w:id="51"/>
    <w:p w14:paraId="3DBFB365" w14:textId="6CC42D17" w:rsidR="00301880" w:rsidRPr="002110BA" w:rsidRDefault="00301880" w:rsidP="006A0366">
      <w:pPr>
        <w:pStyle w:val="BodyText"/>
        <w:spacing w:line="240" w:lineRule="auto"/>
      </w:pPr>
      <w:r w:rsidRPr="00911285">
        <w:rPr>
          <w:b/>
          <w:color w:val="B5582D" w:themeColor="accent4"/>
        </w:rPr>
        <w:t xml:space="preserve">Recommendation 2: </w:t>
      </w:r>
      <w:r w:rsidRPr="002110BA">
        <w:t>That DFAT simplifies and streamlines ASAs by shifting to a Tasking Note implementation arrangement</w:t>
      </w:r>
      <w:r w:rsidR="0070503F">
        <w:t xml:space="preserve"> upon renewal of the current </w:t>
      </w:r>
      <w:r w:rsidR="00F847F0">
        <w:t>ASAs.</w:t>
      </w:r>
      <w:r w:rsidRPr="002110BA">
        <w:t xml:space="preserve"> This will</w:t>
      </w:r>
      <w:r w:rsidR="00795956">
        <w:t xml:space="preserve"> support more</w:t>
      </w:r>
      <w:r w:rsidRPr="002110BA">
        <w:t xml:space="preserve"> agile and flexible implementation processes and provide room for revisions of activities as scope and context change. </w:t>
      </w:r>
    </w:p>
    <w:p w14:paraId="7E51F84A" w14:textId="7FAD40CF" w:rsidR="00301880" w:rsidRPr="002110BA" w:rsidRDefault="00301880" w:rsidP="006A0366">
      <w:pPr>
        <w:pStyle w:val="BodyText"/>
        <w:spacing w:line="240" w:lineRule="auto"/>
      </w:pPr>
      <w:r w:rsidRPr="00911285">
        <w:rPr>
          <w:b/>
          <w:color w:val="B5582D" w:themeColor="accent4"/>
        </w:rPr>
        <w:t xml:space="preserve">Recommendation 3: </w:t>
      </w:r>
      <w:r w:rsidRPr="002110BA">
        <w:t>That DFAT reduces the scope for progress reporting of the ASAs from quarterly reports to bi-annual reports to lessen the reporting burden on stretched GoPNG agencies and TSSP2. The 6-monthly reports should track implementation progress. By reducing some of the reporting requirements</w:t>
      </w:r>
      <w:r w:rsidR="007947BB">
        <w:t>,</w:t>
      </w:r>
      <w:r w:rsidRPr="002110BA">
        <w:t xml:space="preserve"> agencies can focus on implementing their activities to minimise underspends.</w:t>
      </w:r>
    </w:p>
    <w:p w14:paraId="29AF1D7B" w14:textId="77777777" w:rsidR="00301880" w:rsidRPr="002110BA" w:rsidRDefault="00301880" w:rsidP="006A0366">
      <w:pPr>
        <w:pStyle w:val="BodyText"/>
        <w:spacing w:line="240" w:lineRule="auto"/>
      </w:pPr>
      <w:r w:rsidRPr="00911285">
        <w:rPr>
          <w:b/>
          <w:color w:val="B5582D" w:themeColor="accent4"/>
        </w:rPr>
        <w:t xml:space="preserve">Recommendation 4: </w:t>
      </w:r>
      <w:r w:rsidRPr="002110BA">
        <w:t xml:space="preserve">That both DFAT and GoPNG agencies strengthen outcomes and results reporting frameworks to enhance measuring progress beyond activities implemented. Results frameworks and approaches could be embedded within individual ASAs / Tasking Notes or can be part of the overarching Partnership framework that measures different partnership arrangements between Australia and PNG as a whole. This is an opportunity to evidence </w:t>
      </w:r>
      <w:r w:rsidRPr="002110BA">
        <w:t xml:space="preserve">outcomes achieved and enhance the visibility of the gains made by the Partnerships. </w:t>
      </w:r>
    </w:p>
    <w:p w14:paraId="3E0AAF0E" w14:textId="77777777" w:rsidR="00301880" w:rsidRPr="002110BA" w:rsidRDefault="00301880" w:rsidP="006A0366">
      <w:pPr>
        <w:pStyle w:val="BodyText"/>
        <w:spacing w:line="240" w:lineRule="auto"/>
      </w:pPr>
      <w:r w:rsidRPr="00911285">
        <w:rPr>
          <w:b/>
          <w:color w:val="B5582D" w:themeColor="accent4"/>
        </w:rPr>
        <w:t xml:space="preserve">Recommendation 5: </w:t>
      </w:r>
      <w:r w:rsidRPr="002110BA">
        <w:t xml:space="preserve">For future capacity development efforts within the Partnership, the TSSP2 Capacity Development Framework provides a blueprint for engagement. An analysis of agency implementation status of the capacity development activities outlined in the Framework that needs further support is a good start on how to build and sustain capabilities within the transport sector in PNG. </w:t>
      </w:r>
    </w:p>
    <w:p w14:paraId="7700469A" w14:textId="43130C22" w:rsidR="00CE5399" w:rsidRPr="002110BA" w:rsidRDefault="00301880" w:rsidP="006A0366">
      <w:pPr>
        <w:pStyle w:val="BodyText"/>
        <w:spacing w:line="240" w:lineRule="auto"/>
      </w:pPr>
      <w:r w:rsidRPr="00911285">
        <w:rPr>
          <w:b/>
          <w:color w:val="B5582D" w:themeColor="accent4"/>
        </w:rPr>
        <w:t xml:space="preserve">Recommendation 6: </w:t>
      </w:r>
      <w:r w:rsidR="00CE5399" w:rsidRPr="00730E4F">
        <w:t>That DFAT, DITRDC and GoPNG counterpart agencies further embed structures and mechanisms that facilitate good whole of agency relationships</w:t>
      </w:r>
      <w:r w:rsidR="00CE5399">
        <w:t xml:space="preserve"> building and management. This could be enhanced through senior leadership commitment as well as clear articulation of the roles and responsibilities within the partnerships and a common vision of how the partnerships should work in practice.</w:t>
      </w:r>
    </w:p>
    <w:p w14:paraId="5376B761" w14:textId="5F5CCC4E" w:rsidR="00301880" w:rsidRDefault="00301880" w:rsidP="006A0366">
      <w:pPr>
        <w:pStyle w:val="BodyText"/>
        <w:spacing w:line="240" w:lineRule="auto"/>
      </w:pPr>
      <w:r w:rsidRPr="00911285">
        <w:rPr>
          <w:b/>
          <w:color w:val="B5582D" w:themeColor="accent4"/>
        </w:rPr>
        <w:t xml:space="preserve">Recommendation 7: </w:t>
      </w:r>
      <w:r w:rsidRPr="002110BA">
        <w:t>The</w:t>
      </w:r>
      <w:r w:rsidR="008264E3" w:rsidRPr="008264E3">
        <w:t xml:space="preserve"> ASAs funding model is reviewed upon renewal to address the challenges associated with GoPNG transport agencies pre-financing activities with constrained budgets.</w:t>
      </w:r>
    </w:p>
    <w:p w14:paraId="0C65E5F3" w14:textId="460FB89B" w:rsidR="00301880" w:rsidRPr="002C144A" w:rsidRDefault="00301880" w:rsidP="006A0366">
      <w:pPr>
        <w:pStyle w:val="Heading1"/>
        <w:spacing w:before="120" w:after="120" w:line="240" w:lineRule="auto"/>
      </w:pPr>
      <w:bookmarkStart w:id="52" w:name="_Toc93912279"/>
      <w:bookmarkStart w:id="53" w:name="_Toc96441102"/>
      <w:bookmarkStart w:id="54" w:name="_Toc98526266"/>
      <w:r>
        <w:t>Chapter 3: Effective and Efficient Partnership</w:t>
      </w:r>
      <w:bookmarkEnd w:id="52"/>
      <w:bookmarkEnd w:id="53"/>
      <w:bookmarkEnd w:id="54"/>
    </w:p>
    <w:p w14:paraId="3C33495C" w14:textId="42CD3BDF" w:rsidR="00301880" w:rsidRPr="001D0884" w:rsidRDefault="00301880" w:rsidP="006A0366">
      <w:pPr>
        <w:pStyle w:val="Heading2"/>
        <w:spacing w:before="120" w:after="120" w:line="240" w:lineRule="auto"/>
        <w:ind w:left="426" w:hanging="426"/>
      </w:pPr>
      <w:bookmarkStart w:id="55" w:name="_Toc93912280"/>
      <w:bookmarkStart w:id="56" w:name="_Toc96441103"/>
      <w:bookmarkStart w:id="57" w:name="_Toc98526267"/>
      <w:r w:rsidRPr="001D0884">
        <w:t>3.1</w:t>
      </w:r>
      <w:r w:rsidR="00911285">
        <w:tab/>
      </w:r>
      <w:r w:rsidRPr="001D0884">
        <w:t>Key findings</w:t>
      </w:r>
      <w:bookmarkEnd w:id="55"/>
      <w:bookmarkEnd w:id="56"/>
      <w:bookmarkEnd w:id="57"/>
    </w:p>
    <w:p w14:paraId="16921D19" w14:textId="3E2B609A" w:rsidR="00301880" w:rsidRPr="001D0884" w:rsidRDefault="00301880" w:rsidP="006A0366">
      <w:pPr>
        <w:pStyle w:val="BodyText"/>
        <w:spacing w:line="240" w:lineRule="auto"/>
        <w:rPr>
          <w:rFonts w:asciiTheme="minorHAnsi" w:hAnsiTheme="minorHAnsi"/>
          <w:b/>
          <w:color w:val="65C5B4" w:themeColor="accent2"/>
        </w:rPr>
      </w:pPr>
      <w:r w:rsidRPr="003A7730">
        <w:rPr>
          <w:rFonts w:asciiTheme="minorHAnsi" w:hAnsiTheme="minorHAnsi"/>
          <w:b/>
          <w:color w:val="65C5B4" w:themeColor="accent2"/>
        </w:rPr>
        <w:t xml:space="preserve">KEQ </w:t>
      </w:r>
      <w:r>
        <w:rPr>
          <w:rFonts w:asciiTheme="minorHAnsi" w:hAnsiTheme="minorHAnsi"/>
          <w:b/>
          <w:bCs/>
          <w:color w:val="65C5B4" w:themeColor="accent2"/>
        </w:rPr>
        <w:t>6</w:t>
      </w:r>
      <w:r w:rsidRPr="003A7730">
        <w:rPr>
          <w:rFonts w:asciiTheme="minorHAnsi" w:hAnsiTheme="minorHAnsi"/>
          <w:b/>
          <w:color w:val="65C5B4" w:themeColor="accent2"/>
        </w:rPr>
        <w:t>: How can the transport p</w:t>
      </w:r>
      <w:r w:rsidRPr="007F57E4">
        <w:rPr>
          <w:rFonts w:asciiTheme="minorHAnsi" w:hAnsiTheme="minorHAnsi"/>
          <w:b/>
          <w:color w:val="65C5B4" w:themeColor="accent2"/>
        </w:rPr>
        <w:t>artnership be made more efficient and effective with som</w:t>
      </w:r>
      <w:r w:rsidRPr="00273821">
        <w:rPr>
          <w:rFonts w:asciiTheme="minorHAnsi" w:hAnsiTheme="minorHAnsi"/>
          <w:b/>
          <w:color w:val="65C5B4" w:themeColor="accent2"/>
        </w:rPr>
        <w:t>e elements transferred from the IPP to TSS</w:t>
      </w:r>
      <w:r w:rsidRPr="001D0884">
        <w:rPr>
          <w:rFonts w:asciiTheme="minorHAnsi" w:hAnsiTheme="minorHAnsi"/>
          <w:b/>
          <w:color w:val="65C5B4" w:themeColor="accent2"/>
        </w:rPr>
        <w:t>P program?</w:t>
      </w:r>
    </w:p>
    <w:p w14:paraId="272A0F42" w14:textId="5656F0CE" w:rsidR="00DB73B1" w:rsidRDefault="00301880" w:rsidP="006A0366">
      <w:pPr>
        <w:pStyle w:val="BodyText"/>
        <w:spacing w:line="240" w:lineRule="auto"/>
        <w:rPr>
          <w:b/>
          <w:bCs/>
          <w:lang w:val="en-US"/>
        </w:rPr>
      </w:pPr>
      <w:r w:rsidRPr="00911285">
        <w:rPr>
          <w:b/>
          <w:bCs/>
          <w:lang w:val="en-US"/>
        </w:rPr>
        <w:t xml:space="preserve">The </w:t>
      </w:r>
      <w:r w:rsidR="00DB73B1" w:rsidRPr="00DB73B1">
        <w:rPr>
          <w:b/>
          <w:bCs/>
          <w:lang w:val="en-US"/>
        </w:rPr>
        <w:t>recommendation from the 2020 Review</w:t>
      </w:r>
      <w:r w:rsidR="00CE5399">
        <w:rPr>
          <w:b/>
          <w:bCs/>
          <w:lang w:val="en-US"/>
        </w:rPr>
        <w:t xml:space="preserve"> of the IPP</w:t>
      </w:r>
      <w:r w:rsidR="00DB73B1" w:rsidRPr="00DB73B1">
        <w:rPr>
          <w:b/>
          <w:bCs/>
          <w:lang w:val="en-US"/>
        </w:rPr>
        <w:t xml:space="preserve"> to transfer the DITRDC Infrastructure advisors from the IPP to TSSP bilateral sector </w:t>
      </w:r>
      <w:r w:rsidR="00CE5399">
        <w:rPr>
          <w:b/>
          <w:bCs/>
          <w:lang w:val="en-US"/>
        </w:rPr>
        <w:t>p</w:t>
      </w:r>
      <w:r w:rsidR="00DB73B1" w:rsidRPr="00DB73B1">
        <w:rPr>
          <w:b/>
          <w:bCs/>
          <w:lang w:val="en-US"/>
        </w:rPr>
        <w:t>rogram by mid-2022 is welcome</w:t>
      </w:r>
      <w:r w:rsidR="00CE5399">
        <w:rPr>
          <w:b/>
          <w:bCs/>
          <w:lang w:val="en-US"/>
        </w:rPr>
        <w:t xml:space="preserve">, </w:t>
      </w:r>
      <w:r w:rsidR="00DB73B1" w:rsidRPr="00DB73B1">
        <w:rPr>
          <w:b/>
          <w:bCs/>
          <w:lang w:val="en-US"/>
        </w:rPr>
        <w:t>though it was recommended that the reporting lines need to be well articulated.</w:t>
      </w:r>
    </w:p>
    <w:p w14:paraId="530D3E8B" w14:textId="2152B6A4" w:rsidR="005247C8" w:rsidRDefault="00301880" w:rsidP="006A0366">
      <w:pPr>
        <w:pStyle w:val="BodyText"/>
        <w:spacing w:line="240" w:lineRule="auto"/>
        <w:rPr>
          <w:lang w:val="en-US"/>
        </w:rPr>
      </w:pPr>
      <w:r w:rsidRPr="001D0884">
        <w:rPr>
          <w:lang w:val="en-US"/>
        </w:rPr>
        <w:t xml:space="preserve">Through the IPP, senior Australian personnel from DITRDC were seconded to DoT as Senior Policy Advisors. The 2020 review of the IPP recommended the transfer of IPP to sector programs. For the transport sector, the IPP advisors would need to be transferred to the </w:t>
      </w:r>
      <w:r w:rsidRPr="00445D65">
        <w:rPr>
          <w:lang w:val="en-US"/>
        </w:rPr>
        <w:t>TSSP</w:t>
      </w:r>
      <w:r w:rsidRPr="001D0884">
        <w:rPr>
          <w:lang w:val="en-US"/>
        </w:rPr>
        <w:t xml:space="preserve"> which is the</w:t>
      </w:r>
      <w:r w:rsidR="00ED0AAC">
        <w:rPr>
          <w:lang w:val="en-US"/>
        </w:rPr>
        <w:t xml:space="preserve"> bilateral</w:t>
      </w:r>
      <w:r w:rsidRPr="001D0884">
        <w:rPr>
          <w:lang w:val="en-US"/>
        </w:rPr>
        <w:t xml:space="preserve"> transport sector program</w:t>
      </w:r>
      <w:r w:rsidR="005247C8">
        <w:rPr>
          <w:lang w:val="en-US"/>
        </w:rPr>
        <w:t xml:space="preserve"> between Australia and </w:t>
      </w:r>
      <w:r w:rsidRPr="001D0884">
        <w:rPr>
          <w:lang w:val="en-US"/>
        </w:rPr>
        <w:t xml:space="preserve">PNG. </w:t>
      </w:r>
      <w:r w:rsidR="005247C8" w:rsidRPr="005247C8">
        <w:rPr>
          <w:lang w:val="en-US"/>
        </w:rPr>
        <w:t xml:space="preserve">Since the advisor will be from DITRDC, it is envisaged that the position will report both to DITRDC and DFAT. In terms of program support, the advisor will work closely with TSSP2 managing contractor (GHD) and continue to offer transport infrastructure policy advice and support. Other than supporting the TSSP2 and coordinating Australian </w:t>
      </w:r>
      <w:r w:rsidR="00CE5399">
        <w:rPr>
          <w:lang w:val="en-US"/>
        </w:rPr>
        <w:t xml:space="preserve">and GoPNG </w:t>
      </w:r>
      <w:r w:rsidR="005247C8" w:rsidRPr="005247C8">
        <w:rPr>
          <w:lang w:val="en-US"/>
        </w:rPr>
        <w:t xml:space="preserve">transport agencies in collaboration with DFAT, some stakeholders from DoT noted that the advisor should continue providing technical assistance and advice to the Secretary of DoT on a range of issues. A key area noted by the DoT that the advisor could provide technical assistance on is supporting the </w:t>
      </w:r>
      <w:r w:rsidR="00CE5399">
        <w:rPr>
          <w:lang w:val="en-US"/>
        </w:rPr>
        <w:t>DoT’s</w:t>
      </w:r>
      <w:r w:rsidR="005247C8" w:rsidRPr="005247C8">
        <w:rPr>
          <w:lang w:val="en-US"/>
        </w:rPr>
        <w:t xml:space="preserve"> regional aspirations on enhancing transport regional coordination, collaboration and knowledge sharing in the Pacific.</w:t>
      </w:r>
    </w:p>
    <w:p w14:paraId="5E4AAEB2" w14:textId="77777777" w:rsidR="00301880" w:rsidRPr="000558E0" w:rsidRDefault="00301880" w:rsidP="006A0366">
      <w:pPr>
        <w:pStyle w:val="BodyText"/>
        <w:spacing w:line="240" w:lineRule="auto"/>
        <w:rPr>
          <w:rFonts w:asciiTheme="minorHAnsi" w:hAnsiTheme="minorHAnsi"/>
          <w:b/>
          <w:color w:val="65C5B4" w:themeColor="accent2"/>
        </w:rPr>
      </w:pPr>
      <w:r w:rsidRPr="00911285">
        <w:rPr>
          <w:b/>
          <w:color w:val="65C5B4" w:themeColor="accent2"/>
        </w:rPr>
        <w:lastRenderedPageBreak/>
        <w:t xml:space="preserve">KEQ </w:t>
      </w:r>
      <w:r w:rsidRPr="00911285">
        <w:rPr>
          <w:b/>
          <w:bCs/>
          <w:color w:val="65C5B4" w:themeColor="accent2"/>
        </w:rPr>
        <w:t>7</w:t>
      </w:r>
      <w:r w:rsidRPr="00911285">
        <w:rPr>
          <w:b/>
          <w:color w:val="65C5B4" w:themeColor="accent2"/>
        </w:rPr>
        <w:t xml:space="preserve">: </w:t>
      </w:r>
      <w:r w:rsidRPr="000558E0">
        <w:rPr>
          <w:rFonts w:asciiTheme="minorHAnsi" w:hAnsiTheme="minorHAnsi"/>
          <w:b/>
          <w:color w:val="65C5B4" w:themeColor="accent2"/>
        </w:rPr>
        <w:t>What suggestions would you make to improve the efficiency and effectiveness of current transport sector program activities?</w:t>
      </w:r>
    </w:p>
    <w:p w14:paraId="721CC86A" w14:textId="2125C3D2" w:rsidR="00301880" w:rsidRPr="001D0884" w:rsidRDefault="00301880" w:rsidP="006A0366">
      <w:pPr>
        <w:pStyle w:val="BodyText"/>
        <w:spacing w:line="240" w:lineRule="auto"/>
        <w:rPr>
          <w:lang w:val="en-US"/>
        </w:rPr>
      </w:pPr>
      <w:r w:rsidRPr="00911285">
        <w:rPr>
          <w:b/>
          <w:bCs/>
          <w:lang w:val="en-US"/>
        </w:rPr>
        <w:t>Some interviewed stakeholders both from DFAT and the GoPNG noted that the technical support provided by advisors under the IPP and TSSP is only effective if provided on-site and in-country and not remotely</w:t>
      </w:r>
      <w:r w:rsidRPr="001D0884">
        <w:rPr>
          <w:lang w:val="en-US"/>
        </w:rPr>
        <w:t xml:space="preserve">. COVID-19 travel restrictions have undermined partnerships and </w:t>
      </w:r>
      <w:r w:rsidRPr="005F7DD3">
        <w:rPr>
          <w:lang w:val="en-US"/>
        </w:rPr>
        <w:t xml:space="preserve">collaboration </w:t>
      </w:r>
      <w:r w:rsidRPr="001D0884">
        <w:rPr>
          <w:lang w:val="en-US"/>
        </w:rPr>
        <w:t xml:space="preserve">between agencies in the two countries and provide an opportunity to </w:t>
      </w:r>
      <w:r>
        <w:rPr>
          <w:lang w:val="en-US"/>
        </w:rPr>
        <w:t>reshape what</w:t>
      </w:r>
      <w:r w:rsidRPr="001D0884">
        <w:rPr>
          <w:lang w:val="en-US"/>
        </w:rPr>
        <w:t xml:space="preserve"> capacity building and technical support for the transport agencies looks like. With restricted travel, most work delivered through face-to-face interactions was replaced by remote mechanisms for collaboration and </w:t>
      </w:r>
      <w:r>
        <w:rPr>
          <w:lang w:val="en-US"/>
        </w:rPr>
        <w:t>partnership</w:t>
      </w:r>
      <w:r w:rsidRPr="004E6E93">
        <w:rPr>
          <w:lang w:val="en-US"/>
        </w:rPr>
        <w:t>.</w:t>
      </w:r>
      <w:r w:rsidRPr="001D0884">
        <w:rPr>
          <w:lang w:val="en-US"/>
        </w:rPr>
        <w:t xml:space="preserve"> Even though this has remained challenging, they have brought to the fore the challenges of the fly-in-fly-out (FIFO) model and remote support. </w:t>
      </w:r>
    </w:p>
    <w:p w14:paraId="55417DF9" w14:textId="66000000" w:rsidR="00301880" w:rsidRPr="001D0884" w:rsidRDefault="00301880" w:rsidP="006A0366">
      <w:pPr>
        <w:pStyle w:val="BodyText"/>
        <w:spacing w:line="240" w:lineRule="auto"/>
        <w:rPr>
          <w:lang w:val="en-US"/>
        </w:rPr>
      </w:pPr>
      <w:r w:rsidRPr="001D0884">
        <w:rPr>
          <w:lang w:val="en-US"/>
        </w:rPr>
        <w:t xml:space="preserve">Stakeholders consulted noted that relationships and outcomes in countries like PNG are based on interpersonal relationships and little can be achieved without having people on the ground. Though obtaining contractors on the ground can be expensive, the value they bring in the advisory roles is critical for building capacity and the achievement of outcomes. As the COVID-19 travel restrictions ease, efforts should be </w:t>
      </w:r>
      <w:r w:rsidR="00CE5399">
        <w:rPr>
          <w:lang w:val="en-US"/>
        </w:rPr>
        <w:t>made</w:t>
      </w:r>
      <w:r w:rsidR="00AA30F9">
        <w:rPr>
          <w:lang w:val="en-US"/>
        </w:rPr>
        <w:t xml:space="preserve"> by TSSP</w:t>
      </w:r>
      <w:r w:rsidR="00C05CCD">
        <w:rPr>
          <w:lang w:val="en-US"/>
        </w:rPr>
        <w:t xml:space="preserve">2, DITRDC advisors and the counterpart agencies </w:t>
      </w:r>
      <w:r w:rsidRPr="001D0884">
        <w:rPr>
          <w:lang w:val="en-US"/>
        </w:rPr>
        <w:t>in having advisors on the ground to support agencies in real-time which is what stakeholders in Australia and PNG want. Technical assistance remains a critical component of Australia</w:t>
      </w:r>
      <w:r>
        <w:rPr>
          <w:lang w:val="en-US"/>
        </w:rPr>
        <w:t>-</w:t>
      </w:r>
      <w:r w:rsidRPr="004E6E93">
        <w:rPr>
          <w:lang w:val="en-US"/>
        </w:rPr>
        <w:t xml:space="preserve">PNG </w:t>
      </w:r>
      <w:r>
        <w:rPr>
          <w:lang w:val="en-US"/>
        </w:rPr>
        <w:t>P</w:t>
      </w:r>
      <w:r w:rsidRPr="004E6E93">
        <w:rPr>
          <w:lang w:val="en-US"/>
        </w:rPr>
        <w:t xml:space="preserve">artnerships and should be sustained or scaled up. </w:t>
      </w:r>
    </w:p>
    <w:p w14:paraId="4C8A8FD9" w14:textId="4B39E14D" w:rsidR="00301880" w:rsidRPr="001D0884" w:rsidRDefault="00301880" w:rsidP="006A0366">
      <w:pPr>
        <w:pStyle w:val="Heading2"/>
        <w:spacing w:before="120" w:after="120" w:line="240" w:lineRule="auto"/>
        <w:ind w:left="426" w:hanging="426"/>
      </w:pPr>
      <w:bookmarkStart w:id="58" w:name="_Toc93912281"/>
      <w:bookmarkStart w:id="59" w:name="_Toc96441104"/>
      <w:bookmarkStart w:id="60" w:name="_Toc98526268"/>
      <w:r w:rsidRPr="001D0884">
        <w:t>3.2</w:t>
      </w:r>
      <w:r w:rsidR="00395767">
        <w:tab/>
      </w:r>
      <w:r w:rsidRPr="001D0884">
        <w:t>Conclusions</w:t>
      </w:r>
      <w:bookmarkEnd w:id="58"/>
      <w:bookmarkEnd w:id="59"/>
      <w:bookmarkEnd w:id="60"/>
      <w:r w:rsidRPr="001D0884">
        <w:t xml:space="preserve"> </w:t>
      </w:r>
    </w:p>
    <w:p w14:paraId="7ABD623A" w14:textId="77777777" w:rsidR="00301880" w:rsidRPr="00273821" w:rsidRDefault="00301880" w:rsidP="006A0366">
      <w:pPr>
        <w:pStyle w:val="BodyText"/>
        <w:spacing w:line="240" w:lineRule="auto"/>
      </w:pPr>
      <w:r w:rsidRPr="003A7730">
        <w:t>In examining the extent to which the partnership</w:t>
      </w:r>
      <w:r w:rsidRPr="007F57E4">
        <w:t xml:space="preserve">s can be made more </w:t>
      </w:r>
      <w:r w:rsidRPr="00911285">
        <w:t>efficient</w:t>
      </w:r>
      <w:r w:rsidRPr="007F57E4">
        <w:t xml:space="preserve"> and effective, the </w:t>
      </w:r>
      <w:r>
        <w:t>Review</w:t>
      </w:r>
      <w:r w:rsidRPr="003A7730">
        <w:t xml:space="preserve"> </w:t>
      </w:r>
      <w:r w:rsidRPr="007F57E4">
        <w:t xml:space="preserve">notes that the </w:t>
      </w:r>
      <w:r w:rsidRPr="002110BA">
        <w:t xml:space="preserve">foundations of good partnerships are in place with room for improvement on clarity of mandate, clear governance and reporting arrangements and the value of in-country </w:t>
      </w:r>
      <w:r>
        <w:t>engagement</w:t>
      </w:r>
      <w:r w:rsidRPr="003A7730">
        <w:t xml:space="preserve">. </w:t>
      </w:r>
    </w:p>
    <w:p w14:paraId="4E6E4893" w14:textId="77777777" w:rsidR="00301880" w:rsidRPr="002110BA" w:rsidRDefault="00301880" w:rsidP="006A0366">
      <w:pPr>
        <w:pStyle w:val="BodyText"/>
        <w:spacing w:line="240" w:lineRule="auto"/>
      </w:pPr>
      <w:r w:rsidRPr="002110BA">
        <w:t xml:space="preserve">COVID-19 has affected the provision of technical assistance providing opportunities </w:t>
      </w:r>
      <w:r>
        <w:t>to</w:t>
      </w:r>
      <w:r w:rsidRPr="003A7730">
        <w:t xml:space="preserve"> reshape the </w:t>
      </w:r>
      <w:r w:rsidRPr="00273821">
        <w:t xml:space="preserve">capacity </w:t>
      </w:r>
      <w:r w:rsidRPr="002110BA">
        <w:t xml:space="preserve">strengthening support while acknowledging the value of in-country presence </w:t>
      </w:r>
      <w:r>
        <w:t>of</w:t>
      </w:r>
      <w:r w:rsidRPr="003A7730">
        <w:t xml:space="preserve"> the technical advisors</w:t>
      </w:r>
      <w:r w:rsidRPr="00273821">
        <w:t>.</w:t>
      </w:r>
      <w:r w:rsidRPr="002110BA">
        <w:t xml:space="preserve"> </w:t>
      </w:r>
    </w:p>
    <w:p w14:paraId="7C6A88B6" w14:textId="5E8B48A3" w:rsidR="008B095E" w:rsidRDefault="00301880" w:rsidP="006A0366">
      <w:pPr>
        <w:pStyle w:val="BodyText"/>
        <w:spacing w:line="240" w:lineRule="auto"/>
      </w:pPr>
      <w:r w:rsidRPr="002110BA">
        <w:t>The 2020</w:t>
      </w:r>
      <w:r w:rsidR="00CE5399">
        <w:t xml:space="preserve"> Review of the IPP </w:t>
      </w:r>
      <w:r w:rsidRPr="002110BA">
        <w:t>recommend</w:t>
      </w:r>
      <w:r w:rsidR="006808B4">
        <w:t>ation</w:t>
      </w:r>
      <w:r w:rsidRPr="002110BA">
        <w:t xml:space="preserve"> that </w:t>
      </w:r>
      <w:r w:rsidR="0076392B">
        <w:t xml:space="preserve">IPP ceases funding </w:t>
      </w:r>
      <w:r w:rsidR="009E01FB">
        <w:t>partnerships</w:t>
      </w:r>
      <w:r w:rsidR="0076392B">
        <w:t xml:space="preserve"> </w:t>
      </w:r>
      <w:r w:rsidR="009E01FB">
        <w:t xml:space="preserve">that do not </w:t>
      </w:r>
      <w:r w:rsidR="00345181">
        <w:t>make significant contribution to the</w:t>
      </w:r>
      <w:r w:rsidR="004C6836">
        <w:t xml:space="preserve"> </w:t>
      </w:r>
      <w:r w:rsidR="004C6836" w:rsidRPr="004C6836">
        <w:t>COVID-19 Development Response Plan </w:t>
      </w:r>
      <w:r w:rsidR="004C6836">
        <w:t>(</w:t>
      </w:r>
      <w:r w:rsidR="00345181" w:rsidRPr="004C6836">
        <w:t>CRP</w:t>
      </w:r>
      <w:r w:rsidR="004C6836">
        <w:t>).</w:t>
      </w:r>
      <w:r w:rsidR="00EA6F60">
        <w:t xml:space="preserve"> For those partnerships that were deemed strategic </w:t>
      </w:r>
      <w:r w:rsidR="00EF2208">
        <w:t xml:space="preserve">and add value to the sector, the review recommended sector assessment </w:t>
      </w:r>
      <w:r w:rsidR="00591A71">
        <w:t xml:space="preserve">of the strategic fit of the </w:t>
      </w:r>
      <w:r w:rsidR="00C90BDB">
        <w:t>advisors and</w:t>
      </w:r>
      <w:r w:rsidR="007E3938">
        <w:t xml:space="preserve"> the functions </w:t>
      </w:r>
      <w:r w:rsidR="00591A71">
        <w:t xml:space="preserve">and if important fund the positions through the bilateral sector program. </w:t>
      </w:r>
      <w:r w:rsidR="00AD2A0C">
        <w:t xml:space="preserve">This indicates that the </w:t>
      </w:r>
      <w:r w:rsidR="00AD2A0C" w:rsidRPr="00AD2A0C">
        <w:t xml:space="preserve">DITRDC Infrastructure advisors from the IPP </w:t>
      </w:r>
      <w:r w:rsidR="00D61003">
        <w:t xml:space="preserve">are recommended to be transferred </w:t>
      </w:r>
      <w:r w:rsidR="00AD2A0C" w:rsidRPr="00AD2A0C">
        <w:t>to TSSP bilateral sector Program</w:t>
      </w:r>
      <w:r w:rsidR="00D61003">
        <w:t xml:space="preserve">. If this does </w:t>
      </w:r>
      <w:r w:rsidR="00883BBA">
        <w:t xml:space="preserve">occur then clear funding and reporting lines </w:t>
      </w:r>
      <w:r w:rsidR="00883BBA">
        <w:t xml:space="preserve">will need to be articulated as well as the role, function, and scope of the positions. </w:t>
      </w:r>
    </w:p>
    <w:p w14:paraId="5D5650A4" w14:textId="7F5F5F31" w:rsidR="00301880" w:rsidRDefault="00301880" w:rsidP="006A0366">
      <w:pPr>
        <w:pStyle w:val="Heading2"/>
        <w:spacing w:before="120" w:after="120" w:line="240" w:lineRule="auto"/>
        <w:ind w:left="426" w:hanging="426"/>
      </w:pPr>
      <w:bookmarkStart w:id="61" w:name="_Toc93912282"/>
      <w:bookmarkStart w:id="62" w:name="_Toc96441105"/>
      <w:bookmarkStart w:id="63" w:name="_Toc98526269"/>
      <w:r w:rsidRPr="001D0884">
        <w:t>3.3</w:t>
      </w:r>
      <w:r w:rsidR="00395767">
        <w:tab/>
      </w:r>
      <w:r w:rsidRPr="001D0884">
        <w:t>Recommendations</w:t>
      </w:r>
      <w:bookmarkEnd w:id="61"/>
      <w:bookmarkEnd w:id="62"/>
      <w:bookmarkEnd w:id="63"/>
      <w:r w:rsidRPr="001D0884">
        <w:t xml:space="preserve"> </w:t>
      </w:r>
    </w:p>
    <w:p w14:paraId="235B90C4" w14:textId="4E2FA884" w:rsidR="00E60C69" w:rsidRPr="001D0884" w:rsidRDefault="00E60C69" w:rsidP="006A0366">
      <w:pPr>
        <w:pStyle w:val="BodyText"/>
        <w:spacing w:line="240" w:lineRule="auto"/>
      </w:pPr>
      <w:r w:rsidRPr="00301880">
        <w:rPr>
          <w:b/>
          <w:color w:val="B5582D" w:themeColor="accent4"/>
        </w:rPr>
        <w:t xml:space="preserve">Recommendation </w:t>
      </w:r>
      <w:r>
        <w:rPr>
          <w:b/>
          <w:color w:val="B5582D" w:themeColor="accent4"/>
        </w:rPr>
        <w:t>1</w:t>
      </w:r>
      <w:r>
        <w:t xml:space="preserve">. </w:t>
      </w:r>
      <w:r w:rsidR="00571FA3">
        <w:t xml:space="preserve">That </w:t>
      </w:r>
      <w:r>
        <w:t xml:space="preserve">DFAT and DITRDC </w:t>
      </w:r>
      <w:r w:rsidR="0054718A">
        <w:t>should collaborate</w:t>
      </w:r>
      <w:r>
        <w:t xml:space="preserve"> on defining and shaping the function and scope of the </w:t>
      </w:r>
      <w:r w:rsidR="00E865CD">
        <w:t xml:space="preserve">role of </w:t>
      </w:r>
      <w:r w:rsidR="00571FA3">
        <w:t xml:space="preserve">infrastructure advisors transferred </w:t>
      </w:r>
      <w:r w:rsidR="00E865CD">
        <w:t>from</w:t>
      </w:r>
      <w:r w:rsidR="00571FA3">
        <w:t xml:space="preserve"> IPP to TSSP</w:t>
      </w:r>
      <w:r w:rsidR="0054718A">
        <w:t>.</w:t>
      </w:r>
      <w:r w:rsidR="0054718A" w:rsidRPr="0054718A">
        <w:t xml:space="preserve"> It is envisaged that the position will report to both DFAT and DITRDC</w:t>
      </w:r>
      <w:r w:rsidR="00E865CD">
        <w:t xml:space="preserve">. </w:t>
      </w:r>
      <w:r w:rsidR="0054718A">
        <w:t xml:space="preserve">The revision of the function and scope should be </w:t>
      </w:r>
      <w:r w:rsidRPr="002B4D16">
        <w:t>in consultation with DoT and TSSP2</w:t>
      </w:r>
      <w:r w:rsidR="006C2A61">
        <w:t xml:space="preserve"> </w:t>
      </w:r>
      <w:r>
        <w:t>to</w:t>
      </w:r>
      <w:r w:rsidRPr="001D0884">
        <w:t xml:space="preserve"> enhance clarity of mandates and better and informed collaboration.</w:t>
      </w:r>
      <w:r>
        <w:t xml:space="preserve"> Overall, the advisor should retain their DITRDC scope of work but collaborate with DFAT under TSSP and support program implementation of TSSP2 through closer working relationships with GHD the managing contractor.</w:t>
      </w:r>
    </w:p>
    <w:p w14:paraId="0ACD6F45" w14:textId="62DF084C" w:rsidR="00E60C69" w:rsidRDefault="00E60C69" w:rsidP="006A0366">
      <w:pPr>
        <w:pStyle w:val="BodyText"/>
        <w:spacing w:line="240" w:lineRule="auto"/>
      </w:pPr>
      <w:r w:rsidRPr="00301880">
        <w:rPr>
          <w:b/>
          <w:color w:val="B5582D" w:themeColor="accent4"/>
        </w:rPr>
        <w:t xml:space="preserve">Recommendation </w:t>
      </w:r>
      <w:r w:rsidR="00194B68">
        <w:rPr>
          <w:b/>
          <w:color w:val="B5582D" w:themeColor="accent4"/>
        </w:rPr>
        <w:t>2</w:t>
      </w:r>
      <w:r w:rsidRPr="00301880">
        <w:rPr>
          <w:b/>
          <w:color w:val="B5582D" w:themeColor="accent4"/>
        </w:rPr>
        <w:t xml:space="preserve">: </w:t>
      </w:r>
      <w:r w:rsidR="00BC55A1" w:rsidRPr="00BC55A1">
        <w:t xml:space="preserve">That DFAT and DITRDC in defining and </w:t>
      </w:r>
      <w:r w:rsidR="0001462C" w:rsidRPr="00BC55A1">
        <w:t>shaping the</w:t>
      </w:r>
      <w:r w:rsidR="00BC55A1" w:rsidRPr="00BC55A1">
        <w:t xml:space="preserve"> scope and mandate of the IPP technical advisors mov</w:t>
      </w:r>
      <w:r w:rsidR="00DB6FE1">
        <w:t>ing</w:t>
      </w:r>
      <w:r w:rsidR="00BC55A1" w:rsidRPr="00BC55A1">
        <w:t xml:space="preserve"> to the bilateral sector program, TSSP, should explore other roles that the advisor could </w:t>
      </w:r>
      <w:r w:rsidR="00DB6FE1">
        <w:t>undertake</w:t>
      </w:r>
      <w:r w:rsidR="0001462C" w:rsidRPr="00BC55A1">
        <w:t xml:space="preserve"> beyond</w:t>
      </w:r>
      <w:r w:rsidR="00BC55A1" w:rsidRPr="00BC55A1">
        <w:t xml:space="preserve"> infrastructure policy advice in PNG. For instance, the advisor </w:t>
      </w:r>
      <w:r>
        <w:t xml:space="preserve">could be an intermediary between Australian and the GoPNG transport agencies and </w:t>
      </w:r>
      <w:r w:rsidRPr="001D0884">
        <w:t xml:space="preserve">provide broader </w:t>
      </w:r>
      <w:r>
        <w:t xml:space="preserve">Australian </w:t>
      </w:r>
      <w:r w:rsidRPr="001D0884">
        <w:t xml:space="preserve">transport </w:t>
      </w:r>
      <w:r>
        <w:t xml:space="preserve">agencies </w:t>
      </w:r>
      <w:r w:rsidRPr="001D0884">
        <w:t>sector coordination</w:t>
      </w:r>
      <w:r>
        <w:t xml:space="preserve"> under the Partnership. Also, they could </w:t>
      </w:r>
      <w:r w:rsidRPr="001D0884">
        <w:t>lead the development of Australia-PNG transport sector strategy and</w:t>
      </w:r>
      <w:r>
        <w:t xml:space="preserve"> provide</w:t>
      </w:r>
      <w:r w:rsidRPr="00956274">
        <w:t xml:space="preserve"> technical assistance</w:t>
      </w:r>
      <w:r>
        <w:t xml:space="preserve"> to the </w:t>
      </w:r>
      <w:r w:rsidRPr="00956274">
        <w:t>Secretary of DoT regional aspirations on enhancing transport coordination, collaboration and knowledge sharing in the Pacific.</w:t>
      </w:r>
    </w:p>
    <w:p w14:paraId="1D1F4F55" w14:textId="47CF1F16" w:rsidR="00301880" w:rsidRPr="002D7E4A" w:rsidRDefault="00301880" w:rsidP="006A0366">
      <w:pPr>
        <w:pStyle w:val="BodyText"/>
        <w:spacing w:line="240" w:lineRule="auto"/>
        <w:rPr>
          <w:szCs w:val="20"/>
        </w:rPr>
      </w:pPr>
      <w:r w:rsidRPr="002D7E4A">
        <w:rPr>
          <w:b/>
          <w:color w:val="B5582D" w:themeColor="accent4"/>
          <w:szCs w:val="20"/>
        </w:rPr>
        <w:t xml:space="preserve">Recommendation </w:t>
      </w:r>
      <w:r w:rsidRPr="002D7E4A">
        <w:rPr>
          <w:b/>
          <w:bCs/>
          <w:color w:val="B5582D" w:themeColor="accent4"/>
          <w:szCs w:val="20"/>
        </w:rPr>
        <w:t>3</w:t>
      </w:r>
      <w:r w:rsidRPr="002D7E4A">
        <w:rPr>
          <w:b/>
          <w:color w:val="B5582D" w:themeColor="accent4"/>
          <w:szCs w:val="20"/>
        </w:rPr>
        <w:t xml:space="preserve">: </w:t>
      </w:r>
      <w:r w:rsidRPr="002D7E4A">
        <w:rPr>
          <w:szCs w:val="20"/>
        </w:rPr>
        <w:t xml:space="preserve">As COVID-19 travel restrictions ease, DFAT, DITRDC and other Australian </w:t>
      </w:r>
      <w:r w:rsidR="00883BBA" w:rsidRPr="002D7E4A">
        <w:rPr>
          <w:szCs w:val="20"/>
        </w:rPr>
        <w:t xml:space="preserve">counterpart </w:t>
      </w:r>
      <w:r w:rsidRPr="002D7E4A">
        <w:rPr>
          <w:szCs w:val="20"/>
        </w:rPr>
        <w:t xml:space="preserve">agencies should prioritise having advisors on the ground to support GoPNG agencies in-country to </w:t>
      </w:r>
      <w:r w:rsidR="00035C0E">
        <w:rPr>
          <w:szCs w:val="20"/>
        </w:rPr>
        <w:t xml:space="preserve">help </w:t>
      </w:r>
      <w:r w:rsidRPr="002D7E4A">
        <w:rPr>
          <w:szCs w:val="20"/>
        </w:rPr>
        <w:t>ensure effective partnerships and progress in line with agreed outcomes and objectives.</w:t>
      </w:r>
    </w:p>
    <w:p w14:paraId="255911D0" w14:textId="77777777" w:rsidR="00301880" w:rsidRDefault="00301880" w:rsidP="006A0366">
      <w:pPr>
        <w:pStyle w:val="Heading1"/>
        <w:spacing w:before="120" w:after="120" w:line="240" w:lineRule="auto"/>
        <w:rPr>
          <w:rFonts w:asciiTheme="majorHAnsi" w:hAnsiTheme="majorHAnsi" w:cstheme="majorHAnsi"/>
          <w:i/>
          <w:iCs/>
        </w:rPr>
      </w:pPr>
      <w:bookmarkStart w:id="64" w:name="_Toc93912283"/>
      <w:bookmarkStart w:id="65" w:name="_Toc96441106"/>
      <w:bookmarkStart w:id="66" w:name="_Toc98526270"/>
      <w:r>
        <w:t>Chapter 4: Priorities and future roles for the Partnership</w:t>
      </w:r>
      <w:bookmarkEnd w:id="64"/>
      <w:bookmarkEnd w:id="65"/>
      <w:bookmarkEnd w:id="66"/>
    </w:p>
    <w:p w14:paraId="650D0D76" w14:textId="4D4C90AE" w:rsidR="00301880" w:rsidRPr="001D0884" w:rsidRDefault="00301880" w:rsidP="006A0366">
      <w:pPr>
        <w:pStyle w:val="Heading2"/>
        <w:spacing w:before="120" w:after="120" w:line="240" w:lineRule="auto"/>
        <w:ind w:left="426" w:hanging="426"/>
        <w:rPr>
          <w:sz w:val="19"/>
          <w:szCs w:val="19"/>
        </w:rPr>
      </w:pPr>
      <w:bookmarkStart w:id="67" w:name="_Toc96441107"/>
      <w:bookmarkStart w:id="68" w:name="_Toc98526271"/>
      <w:bookmarkStart w:id="69" w:name="_Toc93912284"/>
      <w:r w:rsidRPr="003A7730">
        <w:t>4</w:t>
      </w:r>
      <w:r w:rsidRPr="00FF4932">
        <w:t>.1</w:t>
      </w:r>
      <w:r w:rsidR="00911285">
        <w:tab/>
      </w:r>
      <w:r w:rsidRPr="00FF4932">
        <w:t>Key priorities and options for future considerations</w:t>
      </w:r>
      <w:bookmarkEnd w:id="67"/>
      <w:bookmarkEnd w:id="68"/>
      <w:r w:rsidRPr="003A7730">
        <w:t xml:space="preserve"> </w:t>
      </w:r>
      <w:bookmarkEnd w:id="69"/>
    </w:p>
    <w:p w14:paraId="40CA4AD9" w14:textId="77777777" w:rsidR="00301880" w:rsidRPr="002110BA" w:rsidRDefault="00301880" w:rsidP="006A0366">
      <w:pPr>
        <w:pStyle w:val="BodyText"/>
        <w:spacing w:line="240" w:lineRule="auto"/>
      </w:pPr>
      <w:r w:rsidRPr="003A7730">
        <w:t>This section provides priorities an</w:t>
      </w:r>
      <w:r w:rsidRPr="007F57E4">
        <w:t xml:space="preserve">d </w:t>
      </w:r>
      <w:r w:rsidRPr="002110BA">
        <w:t xml:space="preserve">future options for </w:t>
      </w:r>
      <w:r w:rsidRPr="00EA243F">
        <w:t xml:space="preserve">consideration </w:t>
      </w:r>
      <w:r>
        <w:t>for</w:t>
      </w:r>
      <w:r w:rsidRPr="003A7730">
        <w:t xml:space="preserve"> the purp</w:t>
      </w:r>
      <w:r w:rsidRPr="007F57E4">
        <w:t xml:space="preserve">ose of </w:t>
      </w:r>
      <w:r w:rsidRPr="002110BA">
        <w:t xml:space="preserve">strengthening the Partnership. </w:t>
      </w:r>
      <w:r>
        <w:t>It</w:t>
      </w:r>
      <w:r w:rsidRPr="003A7730">
        <w:t xml:space="preserve"> </w:t>
      </w:r>
      <w:r w:rsidRPr="002110BA">
        <w:t xml:space="preserve">reports on gaps and areas that were noted by stakeholders consulted as requiring support and consideration and </w:t>
      </w:r>
      <w:r>
        <w:t>details</w:t>
      </w:r>
      <w:r w:rsidRPr="003A7730">
        <w:t xml:space="preserve"> options </w:t>
      </w:r>
      <w:r w:rsidRPr="002110BA">
        <w:t>recommended.</w:t>
      </w:r>
    </w:p>
    <w:p w14:paraId="2BA63EA6" w14:textId="2A47DD08" w:rsidR="00301880" w:rsidRPr="00911285" w:rsidRDefault="00301880" w:rsidP="006A0366">
      <w:pPr>
        <w:pStyle w:val="BodyText"/>
        <w:spacing w:line="240" w:lineRule="auto"/>
        <w:rPr>
          <w:b/>
          <w:bCs/>
          <w:color w:val="65C5B4" w:themeColor="accent2"/>
        </w:rPr>
      </w:pPr>
      <w:r w:rsidRPr="00911285">
        <w:rPr>
          <w:b/>
          <w:bCs/>
          <w:color w:val="65C5B4" w:themeColor="accent2"/>
        </w:rPr>
        <w:t>KEQ 8: What are the appropriate future roles for DFAT, DITRDC, other Australian and PNG transport agencies and other parties in supporting the Australia-PNG Transport partnership?</w:t>
      </w:r>
    </w:p>
    <w:p w14:paraId="23BE3BA6" w14:textId="77777777" w:rsidR="00301880" w:rsidRPr="002110BA" w:rsidRDefault="00301880" w:rsidP="006A0366">
      <w:pPr>
        <w:pStyle w:val="BodyText"/>
        <w:spacing w:line="240" w:lineRule="auto"/>
      </w:pPr>
      <w:r>
        <w:t>Stakeholders</w:t>
      </w:r>
      <w:r w:rsidRPr="003A7730">
        <w:t xml:space="preserve"> </w:t>
      </w:r>
      <w:r w:rsidRPr="002110BA">
        <w:t xml:space="preserve">consulted in Australia and DFAT reported that there are opportunities to improve and strengthen the </w:t>
      </w:r>
      <w:r w:rsidRPr="008C450E">
        <w:t>Australia</w:t>
      </w:r>
      <w:r w:rsidRPr="003A7730">
        <w:t xml:space="preserve">-PNG </w:t>
      </w:r>
      <w:r w:rsidRPr="002110BA">
        <w:t xml:space="preserve">Government Transport </w:t>
      </w:r>
      <w:r>
        <w:t>P</w:t>
      </w:r>
      <w:r w:rsidRPr="008C450E">
        <w:t>artnership</w:t>
      </w:r>
      <w:r>
        <w:t>.</w:t>
      </w:r>
      <w:r w:rsidRPr="003A7730">
        <w:t xml:space="preserve"> Some of the </w:t>
      </w:r>
      <w:r w:rsidRPr="002110BA">
        <w:t>proposed roles for the different agencies mentioned were:</w:t>
      </w:r>
    </w:p>
    <w:p w14:paraId="17AA697D" w14:textId="77252B82" w:rsidR="00301880" w:rsidRPr="00177EEC" w:rsidRDefault="00D96F34" w:rsidP="006A0366">
      <w:pPr>
        <w:pStyle w:val="BodyBullet"/>
        <w:spacing w:line="240" w:lineRule="auto"/>
        <w:ind w:hanging="426"/>
        <w:rPr>
          <w:lang w:val="en-US"/>
        </w:rPr>
      </w:pPr>
      <w:r w:rsidRPr="00D96F34">
        <w:rPr>
          <w:b/>
          <w:bCs/>
          <w:lang w:val="en-US"/>
        </w:rPr>
        <w:lastRenderedPageBreak/>
        <w:t xml:space="preserve">That Australia (via DFAT and DITRDC) through a consultative process with GoPNG develop a comprehensive </w:t>
      </w:r>
      <w:r w:rsidR="004E460F">
        <w:rPr>
          <w:b/>
          <w:bCs/>
          <w:lang w:val="en-US"/>
        </w:rPr>
        <w:t xml:space="preserve">strategy for </w:t>
      </w:r>
      <w:r w:rsidRPr="00D96F34">
        <w:rPr>
          <w:b/>
          <w:bCs/>
          <w:lang w:val="en-US"/>
        </w:rPr>
        <w:t>Australian assistance to PNG’s transport sector strategy</w:t>
      </w:r>
      <w:r w:rsidR="001B5DAA">
        <w:rPr>
          <w:b/>
          <w:bCs/>
          <w:lang w:val="en-US"/>
        </w:rPr>
        <w:t>.</w:t>
      </w:r>
      <w:r w:rsidR="004E460F">
        <w:rPr>
          <w:b/>
          <w:bCs/>
          <w:lang w:val="en-US"/>
        </w:rPr>
        <w:t xml:space="preserve"> </w:t>
      </w:r>
      <w:r w:rsidR="00301880" w:rsidRPr="001D0884">
        <w:rPr>
          <w:lang w:val="en-US"/>
        </w:rPr>
        <w:t xml:space="preserve">TSSP2 and GoPNG transport sector agencies stakeholders noted a lack of a comprehensive Australian transport-sector partnership strategy. From their standpoint, it is challenging to articulate the objectives of the transport partnerships from Australia’s side. The lack of a strategy was also noted as a reason for a lack of clear understanding of the overall objectives, strategic intentions, and common vision of the Australia-PNG Government Transport Partnerships (discussed under </w:t>
      </w:r>
      <w:r w:rsidR="00301880" w:rsidRPr="000558E0">
        <w:rPr>
          <w:lang w:val="en-US"/>
        </w:rPr>
        <w:t xml:space="preserve">KEQ </w:t>
      </w:r>
      <w:r w:rsidR="000558E0" w:rsidRPr="000558E0">
        <w:rPr>
          <w:lang w:val="en-US"/>
        </w:rPr>
        <w:t>2</w:t>
      </w:r>
      <w:r w:rsidR="00301880" w:rsidRPr="000558E0">
        <w:rPr>
          <w:lang w:val="en-US"/>
        </w:rPr>
        <w:t xml:space="preserve"> on page </w:t>
      </w:r>
      <w:r w:rsidR="000558E0">
        <w:rPr>
          <w:lang w:val="en-US"/>
        </w:rPr>
        <w:t>10</w:t>
      </w:r>
      <w:r w:rsidR="00301880" w:rsidRPr="001D0884">
        <w:rPr>
          <w:lang w:val="en-US"/>
        </w:rPr>
        <w:t xml:space="preserve">). Though the </w:t>
      </w:r>
      <w:r w:rsidR="00301880">
        <w:rPr>
          <w:lang w:val="en-US"/>
        </w:rPr>
        <w:t>P</w:t>
      </w:r>
      <w:r w:rsidR="00301880" w:rsidRPr="009C43BA">
        <w:rPr>
          <w:lang w:val="en-US"/>
        </w:rPr>
        <w:t>artnership</w:t>
      </w:r>
      <w:r w:rsidR="00301880" w:rsidRPr="001D0884">
        <w:rPr>
          <w:lang w:val="en-US"/>
        </w:rPr>
        <w:t xml:space="preserve"> is underpinned by the MoU, TSSP, AIFFP and the IPP, a Strategy that brings all these components together is due. The Strategy should articulate </w:t>
      </w:r>
      <w:r w:rsidR="009E5720">
        <w:rPr>
          <w:lang w:val="en-US"/>
        </w:rPr>
        <w:t>Australia’s</w:t>
      </w:r>
      <w:r w:rsidR="00301880" w:rsidRPr="001D0884">
        <w:rPr>
          <w:lang w:val="en-US"/>
        </w:rPr>
        <w:t xml:space="preserve"> objectives </w:t>
      </w:r>
      <w:r w:rsidR="005B58BF">
        <w:rPr>
          <w:lang w:val="en-US"/>
        </w:rPr>
        <w:t xml:space="preserve">for </w:t>
      </w:r>
      <w:r w:rsidR="00301880" w:rsidRPr="001D0884">
        <w:rPr>
          <w:lang w:val="en-US"/>
        </w:rPr>
        <w:t>the</w:t>
      </w:r>
      <w:r w:rsidR="009E43A6">
        <w:rPr>
          <w:lang w:val="en-US"/>
        </w:rPr>
        <w:t>ir</w:t>
      </w:r>
      <w:r w:rsidR="00301880" w:rsidRPr="001D0884">
        <w:rPr>
          <w:lang w:val="en-US"/>
        </w:rPr>
        <w:t xml:space="preserve"> investments in the transport sector, different support mechanisms across the different modes of transport and the balance between investments in physical assets, institutional support, and capacity development. </w:t>
      </w:r>
    </w:p>
    <w:p w14:paraId="5BE315C4" w14:textId="255B6CCB" w:rsidR="00301880" w:rsidRPr="00177EEC" w:rsidRDefault="00301880" w:rsidP="006A0366">
      <w:pPr>
        <w:pStyle w:val="BodyBullet"/>
        <w:spacing w:line="240" w:lineRule="auto"/>
        <w:rPr>
          <w:lang w:val="en-US"/>
        </w:rPr>
      </w:pPr>
      <w:r w:rsidRPr="00F84616">
        <w:rPr>
          <w:b/>
          <w:bCs/>
          <w:lang w:val="en-US"/>
        </w:rPr>
        <w:t>Transport sector executive leadership capacities and capabilities remain a challenge though opportunities exist for TSSP3 to provide targeted long-term support of junior to senior management personnel.</w:t>
      </w:r>
      <w:r w:rsidRPr="001D0884">
        <w:rPr>
          <w:lang w:val="en-US"/>
        </w:rPr>
        <w:t xml:space="preserve"> The program should look at identifying junior management officials and supporting them to ascend to senior roles as well as coaching senior officials on management. This could be done through a targeted program for future leaders. Stakeholders consulted mostly from Australian Government agencies noted that the program should be bold and provide criteria and arrangements to fast-track junior staff development within the transport sector. Doing this will support skills transfer, build the confidence of junior to mid-level </w:t>
      </w:r>
      <w:r w:rsidR="000558E0" w:rsidRPr="001D0884">
        <w:rPr>
          <w:lang w:val="en-US"/>
        </w:rPr>
        <w:t>personnel</w:t>
      </w:r>
      <w:r w:rsidRPr="001D0884">
        <w:rPr>
          <w:lang w:val="en-US"/>
        </w:rPr>
        <w:t xml:space="preserve"> and support better change management within the agencies. </w:t>
      </w:r>
    </w:p>
    <w:p w14:paraId="31C6D4F3" w14:textId="2825A4BD" w:rsidR="00301880" w:rsidRPr="001D0884" w:rsidRDefault="00301880" w:rsidP="006A0366">
      <w:pPr>
        <w:pStyle w:val="BodyBullet"/>
        <w:spacing w:line="240" w:lineRule="auto"/>
        <w:rPr>
          <w:lang w:val="en-US"/>
        </w:rPr>
      </w:pPr>
      <w:r w:rsidRPr="00F84616">
        <w:rPr>
          <w:b/>
          <w:bCs/>
          <w:lang w:val="en-US"/>
        </w:rPr>
        <w:t>GoPNG further commits to a sustainable capacity development approach through funding and absorbing positions funded through TSSP2 and similar programs.</w:t>
      </w:r>
      <w:r w:rsidRPr="001D0884">
        <w:rPr>
          <w:lang w:val="en-US"/>
        </w:rPr>
        <w:t xml:space="preserve"> As discussed in </w:t>
      </w:r>
      <w:r>
        <w:rPr>
          <w:lang w:val="en-US"/>
        </w:rPr>
        <w:t>Chapter</w:t>
      </w:r>
      <w:r w:rsidRPr="001D0884">
        <w:rPr>
          <w:lang w:val="en-US"/>
        </w:rPr>
        <w:t xml:space="preserve"> 2 of this report, there is a lack of a long-term sustainable approach to capacity development within the transport sector in PNG. This challenge is compounded by a lack of concerted commitment by GoPNG agencies to build, fund and retain the capacities built so far. Future roles and the success of the partnerships will increase if DFAT’s commitment to long-term capacity development </w:t>
      </w:r>
      <w:r w:rsidRPr="001D0884">
        <w:rPr>
          <w:lang w:val="en-US"/>
        </w:rPr>
        <w:t>is matched by a commitment from the GoPNG side. An example of commitment from GoPNG can include funding some of the infrastructure related positions funded under TSSP2 as part of the national budget or absorbing some of TSSP2 funded positions into the line ministries.</w:t>
      </w:r>
    </w:p>
    <w:p w14:paraId="33E43277" w14:textId="051614F5" w:rsidR="00301880" w:rsidRPr="002110BA" w:rsidRDefault="00301880" w:rsidP="006A0366">
      <w:pPr>
        <w:pStyle w:val="BodyBullet"/>
        <w:spacing w:line="240" w:lineRule="auto"/>
      </w:pPr>
      <w:r w:rsidRPr="003A7730">
        <w:rPr>
          <w:b/>
        </w:rPr>
        <w:t>Annua</w:t>
      </w:r>
      <w:r w:rsidRPr="007F57E4">
        <w:rPr>
          <w:b/>
        </w:rPr>
        <w:t xml:space="preserve">l </w:t>
      </w:r>
      <w:r w:rsidRPr="001D0884">
        <w:rPr>
          <w:b/>
        </w:rPr>
        <w:t xml:space="preserve">bilateral transport sector </w:t>
      </w:r>
      <w:r>
        <w:rPr>
          <w:b/>
          <w:bCs/>
        </w:rPr>
        <w:t>S</w:t>
      </w:r>
      <w:r w:rsidRPr="00E83C2D">
        <w:rPr>
          <w:b/>
          <w:bCs/>
        </w:rPr>
        <w:t xml:space="preserve">enior </w:t>
      </w:r>
      <w:r>
        <w:rPr>
          <w:b/>
          <w:bCs/>
        </w:rPr>
        <w:t>O</w:t>
      </w:r>
      <w:r w:rsidRPr="00E83C2D">
        <w:rPr>
          <w:b/>
          <w:bCs/>
        </w:rPr>
        <w:t>ff</w:t>
      </w:r>
      <w:r>
        <w:rPr>
          <w:b/>
          <w:bCs/>
        </w:rPr>
        <w:t>ic</w:t>
      </w:r>
      <w:r w:rsidRPr="00E83C2D">
        <w:rPr>
          <w:b/>
          <w:bCs/>
        </w:rPr>
        <w:t xml:space="preserve">ials </w:t>
      </w:r>
      <w:r>
        <w:rPr>
          <w:b/>
          <w:bCs/>
        </w:rPr>
        <w:t>M</w:t>
      </w:r>
      <w:r w:rsidRPr="00E83C2D">
        <w:rPr>
          <w:b/>
          <w:bCs/>
        </w:rPr>
        <w:t>eetings</w:t>
      </w:r>
      <w:r w:rsidRPr="003A7730">
        <w:rPr>
          <w:b/>
        </w:rPr>
        <w:t xml:space="preserve"> should </w:t>
      </w:r>
      <w:r w:rsidRPr="007F57E4">
        <w:rPr>
          <w:b/>
        </w:rPr>
        <w:t xml:space="preserve">be </w:t>
      </w:r>
      <w:r w:rsidRPr="001D0884">
        <w:rPr>
          <w:b/>
        </w:rPr>
        <w:t>continued to enhance bilateral cooperation.</w:t>
      </w:r>
      <w:r w:rsidRPr="002110BA">
        <w:t xml:space="preserve"> This was noted by the consulted stakeholders at the Bureau of Meteorology (BOM) and echoed by other stakeholders in PNG. The meetings can be used to develop and review strategic plans,</w:t>
      </w:r>
      <w:r>
        <w:t xml:space="preserve"> </w:t>
      </w:r>
      <w:r w:rsidRPr="003A7730">
        <w:t xml:space="preserve">develop annual </w:t>
      </w:r>
      <w:r w:rsidR="007644E5" w:rsidRPr="003A7730">
        <w:t>activities,</w:t>
      </w:r>
      <w:r w:rsidRPr="003A7730">
        <w:t xml:space="preserve"> and build relations</w:t>
      </w:r>
      <w:r w:rsidRPr="002110BA">
        <w:t xml:space="preserve">hips between the two countries. </w:t>
      </w:r>
    </w:p>
    <w:p w14:paraId="5470BDF2" w14:textId="77777777" w:rsidR="00301880" w:rsidRPr="001D0884" w:rsidRDefault="00301880" w:rsidP="006A0366">
      <w:pPr>
        <w:pStyle w:val="BodyText"/>
        <w:spacing w:line="240" w:lineRule="auto"/>
        <w:rPr>
          <w:rFonts w:asciiTheme="minorHAnsi" w:hAnsiTheme="minorHAnsi"/>
          <w:b/>
          <w:color w:val="65C5B4" w:themeColor="accent2"/>
        </w:rPr>
      </w:pPr>
      <w:r w:rsidRPr="000C2361">
        <w:rPr>
          <w:rFonts w:asciiTheme="majorHAnsi" w:hAnsiTheme="majorHAnsi" w:cstheme="majorHAnsi"/>
          <w:b/>
          <w:color w:val="65C5B4" w:themeColor="accent2"/>
        </w:rPr>
        <w:t>KEQ</w:t>
      </w:r>
      <w:r w:rsidRPr="001D0884">
        <w:rPr>
          <w:rFonts w:asciiTheme="minorHAnsi" w:hAnsiTheme="minorHAnsi"/>
          <w:b/>
          <w:color w:val="65C5B4" w:themeColor="accent2"/>
        </w:rPr>
        <w:t xml:space="preserve"> </w:t>
      </w:r>
      <w:r w:rsidRPr="000C2361">
        <w:rPr>
          <w:rFonts w:asciiTheme="majorHAnsi" w:hAnsiTheme="majorHAnsi" w:cstheme="majorHAnsi"/>
          <w:b/>
          <w:color w:val="65C5B4" w:themeColor="accent2"/>
        </w:rPr>
        <w:t>9:</w:t>
      </w:r>
      <w:r w:rsidRPr="003A7730">
        <w:rPr>
          <w:rFonts w:asciiTheme="minorHAnsi" w:hAnsiTheme="minorHAnsi"/>
          <w:b/>
          <w:color w:val="65C5B4" w:themeColor="accent2"/>
        </w:rPr>
        <w:t xml:space="preserve"> What priorities should be set for the partnership from 20</w:t>
      </w:r>
      <w:r w:rsidRPr="001D0884">
        <w:rPr>
          <w:rFonts w:asciiTheme="minorHAnsi" w:hAnsiTheme="minorHAnsi"/>
          <w:b/>
          <w:color w:val="65C5B4" w:themeColor="accent2"/>
        </w:rPr>
        <w:t xml:space="preserve">22 having regard to available resources – are there transport areas and activities that should be given a higher or lower priority particularly with regard to the ongoing impacts of COVID-19? </w:t>
      </w:r>
    </w:p>
    <w:p w14:paraId="0433C808" w14:textId="29B1DF85" w:rsidR="00301880" w:rsidRPr="002110BA" w:rsidRDefault="00301880" w:rsidP="006A0366">
      <w:pPr>
        <w:pStyle w:val="BodyBullet"/>
        <w:spacing w:line="240" w:lineRule="auto"/>
      </w:pPr>
      <w:r w:rsidRPr="00124CC9">
        <w:rPr>
          <w:b/>
          <w:bCs/>
        </w:rPr>
        <w:t xml:space="preserve">Transport sector support to PNG </w:t>
      </w:r>
      <w:r w:rsidR="008B4789" w:rsidRPr="00124CC9">
        <w:rPr>
          <w:b/>
          <w:bCs/>
        </w:rPr>
        <w:t>must</w:t>
      </w:r>
      <w:r w:rsidRPr="00124CC9">
        <w:rPr>
          <w:b/>
          <w:bCs/>
        </w:rPr>
        <w:t xml:space="preserve"> be multi-modal as outlined in “Connect PNG”</w:t>
      </w:r>
      <w:r w:rsidR="00467AD9" w:rsidRPr="00124CC9">
        <w:rPr>
          <w:b/>
          <w:bCs/>
        </w:rPr>
        <w:t>,</w:t>
      </w:r>
      <w:r w:rsidRPr="00124CC9">
        <w:rPr>
          <w:b/>
          <w:bCs/>
        </w:rPr>
        <w:t xml:space="preserve"> hence partnerships should prioritise </w:t>
      </w:r>
      <w:r w:rsidR="003713D5" w:rsidRPr="00124CC9">
        <w:rPr>
          <w:b/>
          <w:bCs/>
        </w:rPr>
        <w:t xml:space="preserve">further </w:t>
      </w:r>
      <w:r w:rsidRPr="00124CC9">
        <w:rPr>
          <w:b/>
          <w:bCs/>
        </w:rPr>
        <w:t xml:space="preserve">investments in the maritime sector which has </w:t>
      </w:r>
      <w:r w:rsidR="00CB0E5A" w:rsidRPr="00124CC9">
        <w:rPr>
          <w:b/>
          <w:bCs/>
        </w:rPr>
        <w:t xml:space="preserve">received </w:t>
      </w:r>
      <w:r w:rsidR="004E460F">
        <w:rPr>
          <w:b/>
          <w:bCs/>
        </w:rPr>
        <w:t>fewer</w:t>
      </w:r>
      <w:r w:rsidR="004E460F" w:rsidRPr="00124CC9">
        <w:rPr>
          <w:b/>
          <w:bCs/>
        </w:rPr>
        <w:t xml:space="preserve"> </w:t>
      </w:r>
      <w:r w:rsidR="00170257" w:rsidRPr="00124CC9">
        <w:rPr>
          <w:b/>
          <w:bCs/>
        </w:rPr>
        <w:t xml:space="preserve">financial resources </w:t>
      </w:r>
      <w:r w:rsidR="00CB0E5A" w:rsidRPr="00124CC9">
        <w:rPr>
          <w:b/>
          <w:bCs/>
        </w:rPr>
        <w:t>compar</w:t>
      </w:r>
      <w:r w:rsidR="003713D5" w:rsidRPr="00124CC9">
        <w:rPr>
          <w:b/>
          <w:bCs/>
        </w:rPr>
        <w:t xml:space="preserve">ed </w:t>
      </w:r>
      <w:r w:rsidR="00CB0E5A" w:rsidRPr="00124CC9">
        <w:rPr>
          <w:b/>
          <w:bCs/>
        </w:rPr>
        <w:t>to other transport sector</w:t>
      </w:r>
      <w:r w:rsidR="003713D5" w:rsidRPr="00124CC9">
        <w:rPr>
          <w:b/>
          <w:bCs/>
        </w:rPr>
        <w:t>s in PNG</w:t>
      </w:r>
      <w:r w:rsidR="006953D1" w:rsidRPr="00124CC9">
        <w:rPr>
          <w:b/>
          <w:bCs/>
        </w:rPr>
        <w:t xml:space="preserve"> over time</w:t>
      </w:r>
      <w:r w:rsidR="003713D5" w:rsidRPr="00124CC9">
        <w:rPr>
          <w:b/>
          <w:bCs/>
        </w:rPr>
        <w:t xml:space="preserve">. </w:t>
      </w:r>
      <w:r w:rsidR="00124CC9">
        <w:t>Most stakeholders consulted from both</w:t>
      </w:r>
      <w:r w:rsidR="00084EB7">
        <w:t xml:space="preserve"> </w:t>
      </w:r>
      <w:r w:rsidR="00124CC9">
        <w:t xml:space="preserve">GoPNG and DFAT </w:t>
      </w:r>
      <w:r w:rsidR="00FC300F">
        <w:t>noted that s</w:t>
      </w:r>
      <w:r w:rsidRPr="002110BA">
        <w:t xml:space="preserve">upport to the roads and aviation sector </w:t>
      </w:r>
      <w:r w:rsidR="00084EB7">
        <w:t xml:space="preserve">seems to have </w:t>
      </w:r>
      <w:r w:rsidRPr="002110BA">
        <w:t xml:space="preserve">been a priority over time with </w:t>
      </w:r>
      <w:r w:rsidR="00FC300F">
        <w:t xml:space="preserve">fewer resources </w:t>
      </w:r>
      <w:r w:rsidRPr="002110BA">
        <w:t>to the maritime sector</w:t>
      </w:r>
      <w:r w:rsidR="008F059B">
        <w:t>,</w:t>
      </w:r>
      <w:r w:rsidRPr="002110BA">
        <w:t xml:space="preserve"> even though PNG has a high rural maritime population that needs transport connection to reap </w:t>
      </w:r>
      <w:r w:rsidR="008F059B">
        <w:t xml:space="preserve">the </w:t>
      </w:r>
      <w:r w:rsidRPr="002110BA">
        <w:t xml:space="preserve">economic benefits enjoyed by the more developed and connected urban areas. </w:t>
      </w:r>
      <w:r w:rsidR="0000407E">
        <w:t xml:space="preserve">Through </w:t>
      </w:r>
      <w:r w:rsidRPr="002110BA">
        <w:t>AIFFP</w:t>
      </w:r>
      <w:r w:rsidR="0000407E">
        <w:t xml:space="preserve">, Australia </w:t>
      </w:r>
      <w:r w:rsidRPr="002110BA">
        <w:t>has ramped up investments in PNG Ports which is positive (</w:t>
      </w:r>
      <w:r>
        <w:t>in</w:t>
      </w:r>
      <w:r w:rsidRPr="003A7730">
        <w:t xml:space="preserve"> January 2022, </w:t>
      </w:r>
      <w:r w:rsidRPr="007F57E4">
        <w:t>Australia an</w:t>
      </w:r>
      <w:r w:rsidRPr="002110BA">
        <w:t>d PNG signed agreements for $580 million in upgrades and refurbishments to several priority ports in PNG)</w:t>
      </w:r>
      <w:r w:rsidRPr="003A7730">
        <w:rPr>
          <w:rStyle w:val="FootnoteReference"/>
        </w:rPr>
        <w:footnoteReference w:id="7"/>
      </w:r>
      <w:r w:rsidRPr="003A7730">
        <w:t xml:space="preserve"> </w:t>
      </w:r>
      <w:r w:rsidRPr="007F57E4">
        <w:t xml:space="preserve">and provides the impetus for further investments </w:t>
      </w:r>
      <w:r w:rsidRPr="002110BA">
        <w:t>towards an integrated transport system that connects roads, air and maritime.</w:t>
      </w:r>
    </w:p>
    <w:p w14:paraId="518D8996" w14:textId="77777777" w:rsidR="00301880" w:rsidRPr="002110BA" w:rsidRDefault="00301880" w:rsidP="006A0366">
      <w:pPr>
        <w:pStyle w:val="BodyBullet"/>
        <w:spacing w:line="240" w:lineRule="auto"/>
      </w:pPr>
      <w:r w:rsidRPr="00177EEC">
        <w:rPr>
          <w:b/>
          <w:bCs/>
        </w:rPr>
        <w:t>Transport sector investments should also prioritise the National Weather Service because it provides weather data and information important for aviation and maritime transport safety and security.</w:t>
      </w:r>
      <w:r w:rsidRPr="001D0884">
        <w:t xml:space="preserve"> </w:t>
      </w:r>
      <w:r w:rsidRPr="002110BA">
        <w:t xml:space="preserve">The National Weather service also provides important information to other sectors such as the Department of Environment and Conservation, Department of Agriculture and Livestock. </w:t>
      </w:r>
      <w:r>
        <w:t>Stakeholders consulted</w:t>
      </w:r>
      <w:r w:rsidRPr="003A7730">
        <w:t xml:space="preserve"> </w:t>
      </w:r>
      <w:r w:rsidRPr="007F57E4">
        <w:t>noted that the agency will benefit from technical support</w:t>
      </w:r>
      <w:r w:rsidRPr="002110BA">
        <w:t xml:space="preserve"> and improved technology in the provision of good </w:t>
      </w:r>
      <w:r w:rsidRPr="002110BA">
        <w:lastRenderedPageBreak/>
        <w:t xml:space="preserve">quality data. As more investments are made in the aviation sector and maritime, there will be a need for data that the National Weather Service as it is now, cannot provide. </w:t>
      </w:r>
    </w:p>
    <w:p w14:paraId="739B38D0" w14:textId="3D02CBC8" w:rsidR="00301880" w:rsidRPr="003A7730" w:rsidRDefault="00301880" w:rsidP="006A0366">
      <w:pPr>
        <w:pStyle w:val="BodyBullet"/>
        <w:spacing w:line="240" w:lineRule="auto"/>
      </w:pPr>
      <w:r w:rsidRPr="001D0884">
        <w:rPr>
          <w:b/>
        </w:rPr>
        <w:t>Transport security and safety remains a priority for PNG</w:t>
      </w:r>
      <w:r w:rsidR="00447821">
        <w:rPr>
          <w:b/>
        </w:rPr>
        <w:t xml:space="preserve"> and </w:t>
      </w:r>
      <w:r w:rsidR="00B0408A">
        <w:rPr>
          <w:b/>
        </w:rPr>
        <w:t xml:space="preserve">DFAT should pursue options to engage the Department of Home </w:t>
      </w:r>
      <w:r w:rsidR="00A6687C">
        <w:rPr>
          <w:b/>
        </w:rPr>
        <w:t>Affairs and</w:t>
      </w:r>
      <w:r w:rsidR="00EC357D">
        <w:rPr>
          <w:b/>
        </w:rPr>
        <w:t xml:space="preserve"> the DoT on enhancing transport security in PNG</w:t>
      </w:r>
      <w:r w:rsidRPr="001D0884">
        <w:rPr>
          <w:b/>
        </w:rPr>
        <w:t xml:space="preserve">. </w:t>
      </w:r>
      <w:r w:rsidRPr="002110BA">
        <w:t xml:space="preserve">The DoT through its National Transport Development Plan acknowledges transport security and safety as a key priority for GoPNG. In Australia, the transport security mandate was moved from DITRDC to the Department of Home Affairs in 2017. Future priorities and support to DOT to </w:t>
      </w:r>
      <w:r w:rsidR="00035C0E">
        <w:t>support</w:t>
      </w:r>
      <w:r w:rsidR="00035C0E" w:rsidRPr="002110BA">
        <w:t xml:space="preserve"> </w:t>
      </w:r>
      <w:r w:rsidRPr="002110BA">
        <w:t>compliance with international codes for aviation and maritime security will need to be explored between DFAT, Department of Home Affairs and GoPNG</w:t>
      </w:r>
      <w:r w:rsidR="00143AB3">
        <w:t xml:space="preserve"> DoT </w:t>
      </w:r>
      <w:r w:rsidRPr="002110BA">
        <w:t xml:space="preserve">to find a workable mechanism of support through different capacity development approaches and funding of security infrastructure and operational </w:t>
      </w:r>
      <w:r w:rsidRPr="00F051A3">
        <w:t>program</w:t>
      </w:r>
      <w:r>
        <w:t>s</w:t>
      </w:r>
      <w:r w:rsidRPr="00F051A3">
        <w:t>.</w:t>
      </w:r>
    </w:p>
    <w:p w14:paraId="24DF868A" w14:textId="4B79B05B" w:rsidR="00301880" w:rsidRPr="002110BA" w:rsidRDefault="00301880" w:rsidP="006A0366">
      <w:pPr>
        <w:pStyle w:val="BodyBullet"/>
        <w:spacing w:line="240" w:lineRule="auto"/>
      </w:pPr>
      <w:r w:rsidRPr="007F57E4">
        <w:rPr>
          <w:b/>
        </w:rPr>
        <w:t>The ASAs between the ATSB</w:t>
      </w:r>
      <w:r w:rsidRPr="003A7730">
        <w:rPr>
          <w:b/>
        </w:rPr>
        <w:t xml:space="preserve"> and AIC shou</w:t>
      </w:r>
      <w:r w:rsidRPr="007F57E4">
        <w:rPr>
          <w:b/>
        </w:rPr>
        <w:t>ld be prioritised and reinstated.</w:t>
      </w:r>
      <w:r w:rsidRPr="002110BA">
        <w:t xml:space="preserve"> </w:t>
      </w:r>
      <w:r w:rsidR="008177A5">
        <w:t xml:space="preserve">Though support and partnership between ATSB and AIC in PNG continues </w:t>
      </w:r>
      <w:r w:rsidR="00567571">
        <w:t xml:space="preserve">through </w:t>
      </w:r>
      <w:r w:rsidR="008177A5" w:rsidRPr="008177A5">
        <w:t>TSSP</w:t>
      </w:r>
      <w:r w:rsidR="00F34F7D">
        <w:t xml:space="preserve"> </w:t>
      </w:r>
      <w:r w:rsidR="00D41AEF">
        <w:t xml:space="preserve">and </w:t>
      </w:r>
      <w:r w:rsidR="004E460F">
        <w:t xml:space="preserve">is </w:t>
      </w:r>
      <w:r w:rsidR="00D41AEF" w:rsidRPr="008177A5">
        <w:t>facilitated</w:t>
      </w:r>
      <w:r w:rsidR="008177A5" w:rsidRPr="008177A5">
        <w:t xml:space="preserve"> by the MOU</w:t>
      </w:r>
      <w:r w:rsidR="00567571">
        <w:t xml:space="preserve">, the formal ASA </w:t>
      </w:r>
      <w:r w:rsidR="00B96E9F">
        <w:t xml:space="preserve">is not </w:t>
      </w:r>
      <w:r w:rsidR="00F34F7D">
        <w:t xml:space="preserve">currently in place. </w:t>
      </w:r>
      <w:r w:rsidR="008177A5" w:rsidRPr="008177A5">
        <w:t xml:space="preserve"> </w:t>
      </w:r>
      <w:r w:rsidR="004E460F">
        <w:t>Stakeholders consulted</w:t>
      </w:r>
      <w:r w:rsidRPr="002110BA">
        <w:t xml:space="preserve"> in ATSB and AIC noted the value that the ASAs played in guiding coordinated support and collaboration and noted that a similar arrangement should be prioritised between the agencies</w:t>
      </w:r>
      <w:r w:rsidR="00D41AEF">
        <w:t xml:space="preserve"> and formally re</w:t>
      </w:r>
      <w:r w:rsidR="00101A82">
        <w:t>instated</w:t>
      </w:r>
      <w:r w:rsidR="004E460F">
        <w:t>.</w:t>
      </w:r>
    </w:p>
    <w:p w14:paraId="4768009A" w14:textId="6438AC8E" w:rsidR="008B095E" w:rsidRDefault="00301880" w:rsidP="006A0366">
      <w:pPr>
        <w:pStyle w:val="BodyBullet"/>
        <w:spacing w:line="240" w:lineRule="auto"/>
      </w:pPr>
      <w:r w:rsidRPr="001D0884">
        <w:rPr>
          <w:b/>
        </w:rPr>
        <w:t>GoPNG transport sector agencies capacity diagnostic assessment to identify skills gaps could be considered.</w:t>
      </w:r>
      <w:r w:rsidRPr="002110BA">
        <w:t xml:space="preserve"> Before the different ASAs were developed in 2015, agencies capacity diagnostic assessment was conducted for agencies within the DoT</w:t>
      </w:r>
      <w:r w:rsidR="00E92489">
        <w:t>. The</w:t>
      </w:r>
      <w:r w:rsidR="000A68F7">
        <w:t xml:space="preserve"> Agency C</w:t>
      </w:r>
      <w:r w:rsidR="00C73D1A">
        <w:t xml:space="preserve">apacity </w:t>
      </w:r>
      <w:r w:rsidR="000A68F7">
        <w:t>D</w:t>
      </w:r>
      <w:r w:rsidR="00C73D1A">
        <w:t>iagnostic</w:t>
      </w:r>
      <w:r w:rsidR="000A68F7">
        <w:t xml:space="preserve"> (ACD)</w:t>
      </w:r>
      <w:r w:rsidR="00C73D1A">
        <w:t xml:space="preserve"> </w:t>
      </w:r>
      <w:r w:rsidRPr="002110BA">
        <w:t>provided an objective assessment of agency capacities to deliver mandated responsibilities</w:t>
      </w:r>
      <w:r w:rsidR="00CE4538">
        <w:t xml:space="preserve"> and also</w:t>
      </w:r>
      <w:r w:rsidRPr="002110BA">
        <w:t xml:space="preserve"> provided a basis for agencies to seek support from development partners to address identified funding gaps. </w:t>
      </w:r>
      <w:r>
        <w:t>Stakeholders</w:t>
      </w:r>
      <w:r w:rsidRPr="003A7730">
        <w:t xml:space="preserve"> </w:t>
      </w:r>
      <w:r w:rsidRPr="007F57E4">
        <w:t>consulted</w:t>
      </w:r>
      <w:r w:rsidRPr="002110BA">
        <w:t xml:space="preserve"> from DoT noted that a review of the skills could be considered as ASAs are renewed and reinstated but also assess needed skills due to the impacts of COVID-19. The assessment should be conducted in tandem with the TSSP2 Capacity Development Framework identified activities to </w:t>
      </w:r>
      <w:r w:rsidR="00035C0E">
        <w:t xml:space="preserve">help </w:t>
      </w:r>
      <w:r w:rsidRPr="002110BA">
        <w:t xml:space="preserve">ensure that the activities and areas of support provided meet the identified skills gap. </w:t>
      </w:r>
    </w:p>
    <w:p w14:paraId="5891DE5D" w14:textId="1F5F0F85" w:rsidR="00301880" w:rsidRPr="00DD624F" w:rsidRDefault="006A0366" w:rsidP="006A0366">
      <w:pPr>
        <w:pStyle w:val="Heading1"/>
        <w:spacing w:before="120" w:after="120" w:line="240" w:lineRule="auto"/>
        <w:rPr>
          <w:color w:val="C00000"/>
        </w:rPr>
      </w:pPr>
      <w:r>
        <w:rPr>
          <w:b w:val="0"/>
        </w:rPr>
        <w:br w:type="column"/>
      </w:r>
      <w:bookmarkStart w:id="70" w:name="_Toc93912285"/>
      <w:bookmarkStart w:id="71" w:name="_Toc96441108"/>
      <w:bookmarkStart w:id="72" w:name="_Toc98526272"/>
      <w:r w:rsidR="00301880">
        <w:t>Chapter 5: Overall conclusions</w:t>
      </w:r>
      <w:bookmarkEnd w:id="70"/>
      <w:bookmarkEnd w:id="71"/>
      <w:bookmarkEnd w:id="72"/>
    </w:p>
    <w:p w14:paraId="4F89EC1A" w14:textId="30682B5B" w:rsidR="00301880" w:rsidRPr="002110BA" w:rsidRDefault="00301880" w:rsidP="006A0366">
      <w:pPr>
        <w:pStyle w:val="BodyText"/>
        <w:spacing w:line="240" w:lineRule="auto"/>
      </w:pPr>
      <w:r w:rsidRPr="003A7730">
        <w:t>The Partnership b</w:t>
      </w:r>
      <w:r w:rsidRPr="007F57E4">
        <w:t xml:space="preserve">etween Australia and PNG </w:t>
      </w:r>
      <w:r w:rsidRPr="002110BA">
        <w:t>implemented through the MoU, IPP, ASAs and TSSP is highly regarded in the two countries. There is a high level of support for the Partnership to continue</w:t>
      </w:r>
      <w:r w:rsidR="00BF0919">
        <w:t>,</w:t>
      </w:r>
      <w:r w:rsidRPr="002110BA">
        <w:t xml:space="preserve"> subject to revisions and adaptations. </w:t>
      </w:r>
    </w:p>
    <w:p w14:paraId="793376C9" w14:textId="41A24077" w:rsidR="00301880" w:rsidRPr="002110BA" w:rsidRDefault="00301880" w:rsidP="006A0366">
      <w:pPr>
        <w:pStyle w:val="BodyText"/>
        <w:spacing w:line="240" w:lineRule="auto"/>
      </w:pPr>
      <w:r w:rsidRPr="002110BA">
        <w:t xml:space="preserve">In examining the extent to which the Partnership worked in practice, the </w:t>
      </w:r>
      <w:r w:rsidR="008972D3">
        <w:t>R</w:t>
      </w:r>
      <w:r w:rsidRPr="002110BA">
        <w:t xml:space="preserve">eview notes that the Partnership is highly regarded because of its good technical assistance support and the capacity </w:t>
      </w:r>
      <w:r w:rsidR="008972D3">
        <w:t>strengthening</w:t>
      </w:r>
      <w:r w:rsidRPr="002110BA">
        <w:t xml:space="preserve"> elements from Australian agencies to their counterparts in PNG. The ability of the Australian agencies to listen and adapt to the changing needs, </w:t>
      </w:r>
      <w:r w:rsidR="00394AE3" w:rsidRPr="002110BA">
        <w:t>priorities,</w:t>
      </w:r>
      <w:r w:rsidRPr="002110BA">
        <w:t xml:space="preserve"> and contexts of the GoPNG agencies has improved over time and is appreciated in PNG. </w:t>
      </w:r>
    </w:p>
    <w:p w14:paraId="4660F8F3" w14:textId="200D5B94" w:rsidR="00301880" w:rsidRPr="002110BA" w:rsidRDefault="00301880" w:rsidP="006A0366">
      <w:pPr>
        <w:pStyle w:val="BodyText"/>
        <w:spacing w:line="240" w:lineRule="auto"/>
      </w:pPr>
      <w:r w:rsidRPr="002110BA">
        <w:t xml:space="preserve">The absence of </w:t>
      </w:r>
      <w:r w:rsidR="008972D3">
        <w:t>an overarching</w:t>
      </w:r>
      <w:r w:rsidRPr="002110BA">
        <w:t xml:space="preserve"> </w:t>
      </w:r>
      <w:r w:rsidR="00DF628D">
        <w:t xml:space="preserve">Australian </w:t>
      </w:r>
      <w:r w:rsidRPr="002110BA">
        <w:t xml:space="preserve">transport sector strategy for </w:t>
      </w:r>
      <w:r w:rsidR="008177A5">
        <w:t xml:space="preserve">PNG </w:t>
      </w:r>
      <w:r w:rsidRPr="002110BA">
        <w:t xml:space="preserve">is noted as a gap by GoPNG stakeholders. The lack of the strategy has limited communication and socialisation of the Partnership across transport sector agencies and the whole of GoPNG. </w:t>
      </w:r>
      <w:r w:rsidR="008972D3">
        <w:t>S</w:t>
      </w:r>
      <w:r w:rsidRPr="002110BA">
        <w:t>takeholders</w:t>
      </w:r>
      <w:r w:rsidR="008972D3">
        <w:t xml:space="preserve"> consulted</w:t>
      </w:r>
      <w:r w:rsidRPr="002110BA">
        <w:t xml:space="preserve"> from GoPNG noted that a strategy that brings together elements of the MoU, IPP and TSSP will enhance communication and visibility of the Partnership in PNG. </w:t>
      </w:r>
    </w:p>
    <w:p w14:paraId="113B6CE7" w14:textId="7682DFEB" w:rsidR="00301880" w:rsidRPr="002110BA" w:rsidRDefault="00301880" w:rsidP="006A0366">
      <w:pPr>
        <w:pStyle w:val="BodyText"/>
        <w:spacing w:line="240" w:lineRule="auto"/>
      </w:pPr>
      <w:r w:rsidRPr="002110BA">
        <w:t>Governance and implementing arrangements for some elements of the Partnership are noted as an area that can be improved. For instance, the ASAs</w:t>
      </w:r>
      <w:r w:rsidR="00F055DB">
        <w:t>’</w:t>
      </w:r>
      <w:r w:rsidRPr="002110BA">
        <w:t xml:space="preserve"> implementation and reporting requirements are seen as burdensome and excessively bureaucratic for the GoPNG agencies</w:t>
      </w:r>
      <w:r w:rsidR="00445240">
        <w:t xml:space="preserve">. </w:t>
      </w:r>
      <w:r w:rsidRPr="002110BA">
        <w:t>The ASAs</w:t>
      </w:r>
      <w:r w:rsidR="00F055DB">
        <w:t>’</w:t>
      </w:r>
      <w:r w:rsidRPr="002110BA">
        <w:t xml:space="preserve"> reimbursable funding model was noted as a challenge to </w:t>
      </w:r>
      <w:r w:rsidR="00E37142" w:rsidRPr="002110BA">
        <w:t>cash</w:t>
      </w:r>
      <w:r w:rsidR="00E37142">
        <w:t xml:space="preserve"> constrained</w:t>
      </w:r>
      <w:r w:rsidRPr="002110BA">
        <w:t xml:space="preserve"> GoPNG agencies.</w:t>
      </w:r>
    </w:p>
    <w:p w14:paraId="2FCD9F9A" w14:textId="65A62083" w:rsidR="00301880" w:rsidRPr="002110BA" w:rsidRDefault="00301880" w:rsidP="006A0366">
      <w:pPr>
        <w:pStyle w:val="BodyText"/>
        <w:spacing w:line="240" w:lineRule="auto"/>
      </w:pPr>
      <w:r w:rsidRPr="002110BA">
        <w:t>There is consensus that COVID-19 travel restrictions have undermined the Partnership in-country technical assistance and collaborations between agencies in the two countries</w:t>
      </w:r>
      <w:r w:rsidR="009153E0">
        <w:t>, while also providing</w:t>
      </w:r>
      <w:r w:rsidRPr="002110BA">
        <w:t xml:space="preserve"> an opportunity to reimagine capacity development strategies now and during peace times. GoPNG stakeholders note</w:t>
      </w:r>
      <w:r w:rsidR="008972D3">
        <w:t>d</w:t>
      </w:r>
      <w:r w:rsidRPr="002110BA">
        <w:t xml:space="preserve"> that in-country presence is still required for the collaborations to be meaningful </w:t>
      </w:r>
      <w:r w:rsidR="00D91CE8">
        <w:t xml:space="preserve">and </w:t>
      </w:r>
      <w:r w:rsidRPr="002110BA">
        <w:t>to sustain the relationships buil</w:t>
      </w:r>
      <w:r w:rsidR="00D91CE8">
        <w:t>t</w:t>
      </w:r>
      <w:r w:rsidRPr="002110BA">
        <w:t xml:space="preserve"> over time. </w:t>
      </w:r>
    </w:p>
    <w:p w14:paraId="7E70ADEF" w14:textId="73CAC389" w:rsidR="00301880" w:rsidRPr="002110BA" w:rsidRDefault="00301880" w:rsidP="006A0366">
      <w:pPr>
        <w:pStyle w:val="BodyText"/>
        <w:spacing w:line="240" w:lineRule="auto"/>
      </w:pPr>
      <w:r w:rsidRPr="002110BA">
        <w:t>Stakeholders note</w:t>
      </w:r>
      <w:r w:rsidR="00A21168">
        <w:t>d</w:t>
      </w:r>
      <w:r w:rsidRPr="002110BA">
        <w:t xml:space="preserve"> that future investments for the transport sector should prioritise investments in the maritime sector, support for the operationalisation of the aviation policy, the inclusion of National Weather Service</w:t>
      </w:r>
      <w:r w:rsidR="00842C48">
        <w:t>,</w:t>
      </w:r>
      <w:r w:rsidRPr="002110BA">
        <w:t xml:space="preserve"> and should expand support for the transport safety and security</w:t>
      </w:r>
      <w:r w:rsidR="00842C48">
        <w:t>.</w:t>
      </w:r>
    </w:p>
    <w:bookmarkEnd w:id="20"/>
    <w:bookmarkEnd w:id="21"/>
    <w:bookmarkEnd w:id="22"/>
    <w:bookmarkEnd w:id="23"/>
    <w:bookmarkEnd w:id="24"/>
    <w:bookmarkEnd w:id="25"/>
    <w:bookmarkEnd w:id="26"/>
    <w:bookmarkEnd w:id="27"/>
    <w:bookmarkEnd w:id="28"/>
    <w:p w14:paraId="61F20C41" w14:textId="48594C55" w:rsidR="00744BBE" w:rsidRDefault="00744BBE" w:rsidP="00744BBE">
      <w:pPr>
        <w:pStyle w:val="Heading1"/>
        <w:sectPr w:rsidR="00744BBE" w:rsidSect="003720FA">
          <w:type w:val="continuous"/>
          <w:pgSz w:w="11906" w:h="16838"/>
          <w:pgMar w:top="1134" w:right="1134" w:bottom="1134" w:left="1134" w:header="567" w:footer="567" w:gutter="0"/>
          <w:cols w:num="2" w:space="708"/>
          <w:titlePg/>
          <w:docGrid w:linePitch="360"/>
        </w:sectPr>
      </w:pPr>
    </w:p>
    <w:p w14:paraId="39EC9856" w14:textId="7BD2A60F" w:rsidR="00744BBE" w:rsidRPr="00177EEC" w:rsidRDefault="00301880" w:rsidP="00301880">
      <w:pPr>
        <w:pStyle w:val="Default"/>
        <w:rPr>
          <w:rFonts w:asciiTheme="minorHAnsi" w:hAnsiTheme="minorHAnsi" w:cstheme="minorHAnsi"/>
          <w:b/>
          <w:bCs/>
          <w:color w:val="007C89" w:themeColor="accent1"/>
          <w:sz w:val="28"/>
          <w:szCs w:val="28"/>
        </w:rPr>
      </w:pPr>
      <w:bookmarkStart w:id="73" w:name="Annex1"/>
      <w:r w:rsidRPr="00177EEC">
        <w:rPr>
          <w:rFonts w:asciiTheme="minorHAnsi" w:hAnsiTheme="minorHAnsi" w:cstheme="minorHAnsi"/>
          <w:b/>
          <w:bCs/>
          <w:color w:val="007C89" w:themeColor="accent1"/>
          <w:sz w:val="28"/>
          <w:szCs w:val="28"/>
        </w:rPr>
        <w:lastRenderedPageBreak/>
        <w:t xml:space="preserve">Annex 1: Stakeholder Consultation List </w:t>
      </w:r>
      <w:bookmarkEnd w:id="73"/>
    </w:p>
    <w:tbl>
      <w:tblPr>
        <w:tblStyle w:val="GridTable5Dark-Accent3"/>
        <w:tblW w:w="4782" w:type="pct"/>
        <w:tblLook w:val="04A0" w:firstRow="1" w:lastRow="0" w:firstColumn="1" w:lastColumn="0" w:noHBand="0" w:noVBand="1"/>
      </w:tblPr>
      <w:tblGrid>
        <w:gridCol w:w="4249"/>
        <w:gridCol w:w="4959"/>
      </w:tblGrid>
      <w:tr w:rsidR="00020FAD" w:rsidRPr="00D814E4" w14:paraId="200F5911" w14:textId="77777777" w:rsidTr="008139D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07" w:type="pct"/>
            <w:shd w:val="clear" w:color="auto" w:fill="007C89" w:themeFill="accent1"/>
            <w:vAlign w:val="center"/>
            <w:hideMark/>
          </w:tcPr>
          <w:p w14:paraId="4DC9A4F3" w14:textId="32ECD8CE" w:rsidR="00020FAD" w:rsidRPr="00C564ED" w:rsidRDefault="00020FAD" w:rsidP="008139D1">
            <w:pPr>
              <w:pStyle w:val="BodyText"/>
              <w:spacing w:before="50" w:after="50"/>
              <w:rPr>
                <w:sz w:val="18"/>
                <w:szCs w:val="18"/>
              </w:rPr>
            </w:pPr>
            <w:r w:rsidRPr="004F0121">
              <w:rPr>
                <w:rFonts w:eastAsia="Times New Roman"/>
                <w:color w:val="002060"/>
                <w:sz w:val="17"/>
                <w:szCs w:val="17"/>
                <w:bdr w:val="none" w:sz="0" w:space="0" w:color="auto" w:frame="1"/>
              </w:rPr>
              <w:t> </w:t>
            </w:r>
            <w:r w:rsidRPr="00C564ED">
              <w:rPr>
                <w:sz w:val="18"/>
                <w:szCs w:val="18"/>
                <w:bdr w:val="none" w:sz="0" w:space="0" w:color="auto" w:frame="1"/>
              </w:rPr>
              <w:t>Agency</w:t>
            </w:r>
          </w:p>
        </w:tc>
        <w:tc>
          <w:tcPr>
            <w:tcW w:w="2693" w:type="pct"/>
            <w:shd w:val="clear" w:color="auto" w:fill="007C89" w:themeFill="accent1"/>
            <w:vAlign w:val="center"/>
            <w:hideMark/>
          </w:tcPr>
          <w:p w14:paraId="1C0FAA92" w14:textId="76DE01A4" w:rsidR="00020FAD" w:rsidRPr="00EA243F" w:rsidRDefault="00020FAD" w:rsidP="008139D1">
            <w:pPr>
              <w:pStyle w:val="BodyText"/>
              <w:spacing w:before="50" w:after="5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Division / Area</w:t>
            </w:r>
            <w:r w:rsidR="00D45C02">
              <w:rPr>
                <w:sz w:val="18"/>
                <w:szCs w:val="18"/>
              </w:rPr>
              <w:t xml:space="preserve"> / Branch </w:t>
            </w:r>
          </w:p>
        </w:tc>
      </w:tr>
      <w:tr w:rsidR="00020FAD" w:rsidRPr="00D814E4" w14:paraId="3EF34063"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val="restart"/>
            <w:shd w:val="clear" w:color="auto" w:fill="F2F2F2" w:themeFill="background1" w:themeFillShade="F2"/>
            <w:vAlign w:val="center"/>
            <w:hideMark/>
          </w:tcPr>
          <w:p w14:paraId="60FFB312" w14:textId="77777777" w:rsidR="00020FAD" w:rsidRPr="002B41AC" w:rsidRDefault="00020FAD" w:rsidP="008139D1">
            <w:pPr>
              <w:pStyle w:val="BodyText"/>
              <w:spacing w:before="50" w:after="50"/>
              <w:rPr>
                <w:b w:val="0"/>
                <w:color w:val="auto"/>
                <w:sz w:val="18"/>
                <w:szCs w:val="18"/>
              </w:rPr>
            </w:pPr>
            <w:r w:rsidRPr="002B41AC">
              <w:rPr>
                <w:rFonts w:eastAsia="Calibri"/>
                <w:color w:val="auto"/>
                <w:sz w:val="18"/>
                <w:szCs w:val="18"/>
                <w:lang w:eastAsia="en-GB"/>
              </w:rPr>
              <w:t>Department of Infrastructure, Transport, Regional Development and Communications </w:t>
            </w:r>
          </w:p>
        </w:tc>
        <w:tc>
          <w:tcPr>
            <w:tcW w:w="1" w:type="pct"/>
            <w:shd w:val="clear" w:color="auto" w:fill="F2F2F2" w:themeFill="background1" w:themeFillShade="F2"/>
            <w:vAlign w:val="center"/>
            <w:hideMark/>
          </w:tcPr>
          <w:p w14:paraId="3E64E007" w14:textId="655AD4FD"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sz w:val="18"/>
                <w:szCs w:val="18"/>
              </w:rPr>
            </w:pPr>
            <w:r w:rsidRPr="00EA243F">
              <w:rPr>
                <w:sz w:val="18"/>
                <w:szCs w:val="18"/>
              </w:rPr>
              <w:t xml:space="preserve">Aviation Technology and Services Division </w:t>
            </w:r>
          </w:p>
        </w:tc>
      </w:tr>
      <w:tr w:rsidR="00020FAD" w:rsidRPr="00D814E4" w14:paraId="64EB2D37"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14F9F99F" w14:textId="77777777" w:rsidR="00020FAD" w:rsidRPr="002B41AC" w:rsidRDefault="00020FAD" w:rsidP="008139D1">
            <w:pPr>
              <w:pStyle w:val="BodyText"/>
              <w:spacing w:before="50" w:after="50"/>
              <w:rPr>
                <w:rFonts w:eastAsia="Calibri"/>
                <w:b w:val="0"/>
                <w:color w:val="auto"/>
                <w:sz w:val="18"/>
                <w:szCs w:val="18"/>
                <w:lang w:eastAsia="en-GB"/>
              </w:rPr>
            </w:pPr>
          </w:p>
        </w:tc>
        <w:tc>
          <w:tcPr>
            <w:tcW w:w="1" w:type="pct"/>
            <w:shd w:val="clear" w:color="auto" w:fill="auto"/>
            <w:vAlign w:val="center"/>
          </w:tcPr>
          <w:p w14:paraId="013EE531" w14:textId="410BCDE6" w:rsidR="00020FAD" w:rsidRPr="00EA243F" w:rsidRDefault="00020FAD"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sz w:val="18"/>
                <w:szCs w:val="18"/>
              </w:rPr>
            </w:pPr>
            <w:r w:rsidRPr="00EA243F">
              <w:rPr>
                <w:sz w:val="18"/>
                <w:szCs w:val="18"/>
              </w:rPr>
              <w:t>Senior Policy Adviser to PNG - Department of Transport (IPP/MOU Program)</w:t>
            </w:r>
          </w:p>
        </w:tc>
      </w:tr>
      <w:tr w:rsidR="00020FAD" w:rsidRPr="00D814E4" w14:paraId="31CD45C4"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shd w:val="clear" w:color="auto" w:fill="F2F2F2" w:themeFill="background1" w:themeFillShade="F2"/>
            <w:vAlign w:val="center"/>
            <w:hideMark/>
          </w:tcPr>
          <w:p w14:paraId="2D327B76" w14:textId="77777777" w:rsidR="00020FAD" w:rsidRPr="002B41AC" w:rsidRDefault="00020FAD" w:rsidP="008139D1">
            <w:pPr>
              <w:pStyle w:val="BodyText"/>
              <w:spacing w:before="50" w:after="50"/>
              <w:rPr>
                <w:rFonts w:eastAsia="Calibri"/>
                <w:b w:val="0"/>
                <w:color w:val="auto"/>
                <w:sz w:val="18"/>
                <w:szCs w:val="18"/>
                <w:lang w:eastAsia="en-GB"/>
              </w:rPr>
            </w:pPr>
            <w:r w:rsidRPr="002B41AC">
              <w:rPr>
                <w:rFonts w:eastAsia="Calibri"/>
                <w:color w:val="auto"/>
                <w:sz w:val="18"/>
                <w:szCs w:val="18"/>
                <w:lang w:eastAsia="en-GB"/>
              </w:rPr>
              <w:t>Australian Maritime Safety Authority</w:t>
            </w:r>
          </w:p>
        </w:tc>
        <w:tc>
          <w:tcPr>
            <w:tcW w:w="1" w:type="pct"/>
            <w:shd w:val="clear" w:color="auto" w:fill="F2F2F2" w:themeFill="background1" w:themeFillShade="F2"/>
            <w:vAlign w:val="center"/>
            <w:hideMark/>
          </w:tcPr>
          <w:p w14:paraId="032EB473" w14:textId="65897866"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sz w:val="18"/>
                <w:szCs w:val="18"/>
              </w:rPr>
            </w:pPr>
            <w:r w:rsidRPr="00EA243F">
              <w:rPr>
                <w:sz w:val="18"/>
                <w:szCs w:val="18"/>
              </w:rPr>
              <w:t>International Engagement and Standards</w:t>
            </w:r>
          </w:p>
        </w:tc>
      </w:tr>
      <w:tr w:rsidR="00020FAD" w:rsidRPr="00D814E4" w14:paraId="4794D41D"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shd w:val="clear" w:color="auto" w:fill="F2F2F2" w:themeFill="background1" w:themeFillShade="F2"/>
            <w:vAlign w:val="center"/>
            <w:hideMark/>
          </w:tcPr>
          <w:p w14:paraId="6560E745" w14:textId="77777777" w:rsidR="00020FAD" w:rsidRPr="002B41AC" w:rsidRDefault="00020FAD" w:rsidP="008139D1">
            <w:pPr>
              <w:pStyle w:val="BodyText"/>
              <w:spacing w:before="50" w:after="50"/>
              <w:rPr>
                <w:rFonts w:eastAsia="Calibri"/>
                <w:b w:val="0"/>
                <w:color w:val="auto"/>
                <w:sz w:val="18"/>
                <w:szCs w:val="18"/>
                <w:lang w:eastAsia="en-GB"/>
              </w:rPr>
            </w:pPr>
            <w:r w:rsidRPr="002B41AC">
              <w:rPr>
                <w:rFonts w:eastAsia="Calibri"/>
                <w:color w:val="auto"/>
                <w:sz w:val="18"/>
                <w:szCs w:val="18"/>
                <w:lang w:eastAsia="en-GB"/>
              </w:rPr>
              <w:t xml:space="preserve">Civil Aviation Safety Authority </w:t>
            </w:r>
          </w:p>
        </w:tc>
        <w:tc>
          <w:tcPr>
            <w:tcW w:w="1" w:type="pct"/>
            <w:shd w:val="clear" w:color="auto" w:fill="auto"/>
            <w:vAlign w:val="center"/>
            <w:hideMark/>
          </w:tcPr>
          <w:p w14:paraId="6195B6DB" w14:textId="599C573D" w:rsidR="00020FAD" w:rsidRPr="00EA243F" w:rsidRDefault="00020FAD"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sz w:val="18"/>
                <w:szCs w:val="18"/>
              </w:rPr>
            </w:pPr>
            <w:r w:rsidRPr="00EA243F">
              <w:rPr>
                <w:sz w:val="18"/>
                <w:szCs w:val="18"/>
              </w:rPr>
              <w:t xml:space="preserve">International Relations </w:t>
            </w:r>
          </w:p>
        </w:tc>
      </w:tr>
      <w:tr w:rsidR="00020FAD" w:rsidRPr="00D814E4" w14:paraId="76E5DAA9"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val="restart"/>
            <w:shd w:val="clear" w:color="auto" w:fill="F2F2F2" w:themeFill="background1" w:themeFillShade="F2"/>
            <w:vAlign w:val="center"/>
          </w:tcPr>
          <w:p w14:paraId="2074B00F" w14:textId="77777777" w:rsidR="00020FAD" w:rsidRPr="002B41AC" w:rsidRDefault="00020FAD" w:rsidP="008139D1">
            <w:pPr>
              <w:pStyle w:val="BodyText"/>
              <w:spacing w:before="50" w:after="50"/>
              <w:rPr>
                <w:rFonts w:eastAsia="Calibri"/>
                <w:b w:val="0"/>
                <w:color w:val="auto"/>
                <w:sz w:val="18"/>
                <w:szCs w:val="18"/>
                <w:lang w:eastAsia="en-GB"/>
              </w:rPr>
            </w:pPr>
            <w:r w:rsidRPr="002B41AC">
              <w:rPr>
                <w:rFonts w:eastAsia="Calibri"/>
                <w:color w:val="auto"/>
                <w:sz w:val="18"/>
                <w:szCs w:val="18"/>
                <w:lang w:eastAsia="en-GB"/>
              </w:rPr>
              <w:t>Airservices Australia </w:t>
            </w:r>
          </w:p>
        </w:tc>
        <w:tc>
          <w:tcPr>
            <w:tcW w:w="1" w:type="pct"/>
            <w:shd w:val="clear" w:color="auto" w:fill="F2F2F2" w:themeFill="background1" w:themeFillShade="F2"/>
            <w:vAlign w:val="center"/>
          </w:tcPr>
          <w:p w14:paraId="1A0CC4C8" w14:textId="2A313611"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sz w:val="18"/>
                <w:szCs w:val="18"/>
              </w:rPr>
            </w:pPr>
            <w:r w:rsidRPr="00EA243F">
              <w:rPr>
                <w:sz w:val="18"/>
                <w:szCs w:val="18"/>
              </w:rPr>
              <w:t xml:space="preserve">International and Regulatory Engagement </w:t>
            </w:r>
          </w:p>
        </w:tc>
      </w:tr>
      <w:tr w:rsidR="00020FAD" w:rsidRPr="00D814E4" w14:paraId="72CF4F84"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064B1269" w14:textId="77777777" w:rsidR="00020FAD" w:rsidRPr="002B41AC" w:rsidRDefault="00020FAD" w:rsidP="008139D1">
            <w:pPr>
              <w:pStyle w:val="BodyText"/>
              <w:spacing w:before="50" w:after="50"/>
              <w:rPr>
                <w:rFonts w:eastAsia="Calibri"/>
                <w:b w:val="0"/>
                <w:color w:val="auto"/>
                <w:sz w:val="18"/>
                <w:szCs w:val="18"/>
                <w:lang w:eastAsia="en-GB"/>
              </w:rPr>
            </w:pPr>
          </w:p>
        </w:tc>
        <w:tc>
          <w:tcPr>
            <w:tcW w:w="1" w:type="pct"/>
            <w:shd w:val="clear" w:color="auto" w:fill="auto"/>
            <w:vAlign w:val="center"/>
          </w:tcPr>
          <w:p w14:paraId="7587B8F4" w14:textId="77777777" w:rsidR="00020FAD" w:rsidRPr="00EA243F" w:rsidRDefault="00020FAD"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sz w:val="18"/>
                <w:szCs w:val="18"/>
              </w:rPr>
            </w:pPr>
            <w:r w:rsidRPr="00EA243F">
              <w:rPr>
                <w:sz w:val="18"/>
                <w:szCs w:val="18"/>
              </w:rPr>
              <w:t>International Programs Specialist</w:t>
            </w:r>
          </w:p>
        </w:tc>
      </w:tr>
      <w:tr w:rsidR="00020FAD" w:rsidRPr="00D814E4" w14:paraId="470E2E6A"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val="restart"/>
            <w:shd w:val="clear" w:color="auto" w:fill="F2F2F2" w:themeFill="background1" w:themeFillShade="F2"/>
            <w:vAlign w:val="center"/>
          </w:tcPr>
          <w:p w14:paraId="162A63EE" w14:textId="77777777" w:rsidR="00020FAD" w:rsidRPr="002B41AC" w:rsidRDefault="00020FAD" w:rsidP="008139D1">
            <w:pPr>
              <w:pStyle w:val="BodyText"/>
              <w:spacing w:before="50" w:after="50"/>
              <w:rPr>
                <w:rFonts w:eastAsia="Calibri"/>
                <w:b w:val="0"/>
                <w:color w:val="auto"/>
                <w:sz w:val="18"/>
                <w:szCs w:val="18"/>
                <w:lang w:eastAsia="en-GB"/>
              </w:rPr>
            </w:pPr>
            <w:r w:rsidRPr="002B41AC">
              <w:rPr>
                <w:rFonts w:eastAsia="Calibri"/>
                <w:color w:val="auto"/>
                <w:sz w:val="18"/>
                <w:szCs w:val="18"/>
                <w:lang w:eastAsia="en-GB"/>
              </w:rPr>
              <w:t xml:space="preserve">Australian Transport Safety Bureau </w:t>
            </w:r>
          </w:p>
        </w:tc>
        <w:tc>
          <w:tcPr>
            <w:tcW w:w="1" w:type="pct"/>
            <w:shd w:val="clear" w:color="auto" w:fill="F2F2F2" w:themeFill="background1" w:themeFillShade="F2"/>
            <w:vAlign w:val="center"/>
          </w:tcPr>
          <w:p w14:paraId="3BB26D0C" w14:textId="43EAA059" w:rsidR="00020FAD" w:rsidRPr="00EA243F" w:rsidRDefault="002A1D68"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Chief Operating Officer</w:t>
            </w:r>
          </w:p>
        </w:tc>
      </w:tr>
      <w:tr w:rsidR="00020FAD" w:rsidRPr="00D814E4" w14:paraId="5986F9AE"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0617762C" w14:textId="77777777" w:rsidR="00020FAD" w:rsidRPr="002B41AC" w:rsidRDefault="00020FAD" w:rsidP="008139D1">
            <w:pPr>
              <w:pStyle w:val="BodyText"/>
              <w:spacing w:before="50" w:after="50"/>
              <w:rPr>
                <w:rFonts w:eastAsia="Calibri"/>
                <w:b w:val="0"/>
                <w:color w:val="auto"/>
                <w:sz w:val="18"/>
                <w:szCs w:val="18"/>
                <w:lang w:eastAsia="en-GB"/>
              </w:rPr>
            </w:pPr>
          </w:p>
        </w:tc>
        <w:tc>
          <w:tcPr>
            <w:tcW w:w="1" w:type="pct"/>
            <w:shd w:val="clear" w:color="auto" w:fill="FFFFFF" w:themeFill="background1"/>
            <w:vAlign w:val="center"/>
          </w:tcPr>
          <w:p w14:paraId="7317222C" w14:textId="336B3A81" w:rsidR="00020FAD" w:rsidRPr="00EA243F" w:rsidRDefault="00020FAD"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sz w:val="18"/>
                <w:szCs w:val="18"/>
              </w:rPr>
            </w:pPr>
            <w:r w:rsidRPr="00EA243F">
              <w:rPr>
                <w:sz w:val="18"/>
                <w:szCs w:val="18"/>
              </w:rPr>
              <w:t>International Programs</w:t>
            </w:r>
          </w:p>
        </w:tc>
      </w:tr>
      <w:tr w:rsidR="00020FAD" w:rsidRPr="00D814E4" w14:paraId="7B11C90F"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val="restart"/>
            <w:shd w:val="clear" w:color="auto" w:fill="F2F2F2" w:themeFill="background1" w:themeFillShade="F2"/>
            <w:vAlign w:val="center"/>
          </w:tcPr>
          <w:p w14:paraId="2A256041" w14:textId="77777777" w:rsidR="00020FAD" w:rsidRPr="002B41AC" w:rsidRDefault="00020FAD" w:rsidP="008139D1">
            <w:pPr>
              <w:pStyle w:val="BodyText"/>
              <w:spacing w:before="50" w:after="50"/>
              <w:rPr>
                <w:rFonts w:eastAsia="Calibri"/>
                <w:b w:val="0"/>
                <w:color w:val="auto"/>
                <w:sz w:val="18"/>
                <w:szCs w:val="18"/>
                <w:lang w:eastAsia="en-GB"/>
              </w:rPr>
            </w:pPr>
            <w:r w:rsidRPr="002B41AC">
              <w:rPr>
                <w:rFonts w:eastAsia="Calibri"/>
                <w:color w:val="auto"/>
                <w:sz w:val="18"/>
                <w:szCs w:val="18"/>
                <w:lang w:eastAsia="en-GB"/>
              </w:rPr>
              <w:t>Bureau of Meteorology </w:t>
            </w:r>
          </w:p>
        </w:tc>
        <w:tc>
          <w:tcPr>
            <w:tcW w:w="1" w:type="pct"/>
            <w:shd w:val="clear" w:color="auto" w:fill="auto"/>
            <w:vAlign w:val="center"/>
          </w:tcPr>
          <w:p w14:paraId="18AB34B5" w14:textId="77777777"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sz w:val="18"/>
                <w:szCs w:val="18"/>
              </w:rPr>
            </w:pPr>
            <w:r w:rsidRPr="00EA243F">
              <w:rPr>
                <w:sz w:val="18"/>
                <w:szCs w:val="18"/>
              </w:rPr>
              <w:t>Program Sponsor</w:t>
            </w:r>
          </w:p>
        </w:tc>
      </w:tr>
      <w:tr w:rsidR="00020FAD" w:rsidRPr="00D814E4" w14:paraId="70EEBCA1"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745B4553" w14:textId="77777777" w:rsidR="00020FAD" w:rsidRPr="002B41AC" w:rsidRDefault="00020FAD" w:rsidP="008139D1">
            <w:pPr>
              <w:pStyle w:val="BodyText"/>
              <w:spacing w:before="50" w:after="50"/>
              <w:rPr>
                <w:rFonts w:eastAsia="Calibri"/>
                <w:b w:val="0"/>
                <w:color w:val="auto"/>
                <w:sz w:val="18"/>
                <w:szCs w:val="18"/>
                <w:lang w:eastAsia="en-GB"/>
              </w:rPr>
            </w:pPr>
          </w:p>
        </w:tc>
        <w:tc>
          <w:tcPr>
            <w:tcW w:w="1" w:type="pct"/>
            <w:shd w:val="clear" w:color="auto" w:fill="F2F2F2" w:themeFill="background1" w:themeFillShade="F2"/>
            <w:vAlign w:val="center"/>
          </w:tcPr>
          <w:p w14:paraId="6F3F7815" w14:textId="18D51A01" w:rsidR="00020FAD" w:rsidRPr="00EA243F" w:rsidRDefault="00020FAD"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sz w:val="18"/>
                <w:szCs w:val="18"/>
              </w:rPr>
            </w:pPr>
            <w:r w:rsidRPr="00EA243F">
              <w:rPr>
                <w:sz w:val="18"/>
                <w:szCs w:val="18"/>
              </w:rPr>
              <w:t>Aviation, Land &amp; Maritime Transport</w:t>
            </w:r>
          </w:p>
        </w:tc>
      </w:tr>
      <w:tr w:rsidR="00020FAD" w:rsidRPr="00D814E4" w14:paraId="6EBEEFB1"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5D191843" w14:textId="77777777" w:rsidR="00020FAD" w:rsidRPr="002B41AC" w:rsidRDefault="00020FAD" w:rsidP="008139D1">
            <w:pPr>
              <w:pStyle w:val="BodyText"/>
              <w:spacing w:before="50" w:after="50"/>
              <w:rPr>
                <w:rFonts w:eastAsia="Calibri"/>
                <w:b w:val="0"/>
                <w:color w:val="auto"/>
                <w:sz w:val="18"/>
                <w:szCs w:val="18"/>
                <w:lang w:eastAsia="en-GB"/>
              </w:rPr>
            </w:pPr>
          </w:p>
        </w:tc>
        <w:tc>
          <w:tcPr>
            <w:tcW w:w="1" w:type="pct"/>
            <w:shd w:val="clear" w:color="auto" w:fill="FFFFFF" w:themeFill="background1"/>
            <w:vAlign w:val="center"/>
          </w:tcPr>
          <w:p w14:paraId="641AAF2B" w14:textId="308833A9"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sz w:val="18"/>
                <w:szCs w:val="18"/>
              </w:rPr>
            </w:pPr>
            <w:r w:rsidRPr="00EA243F">
              <w:rPr>
                <w:sz w:val="18"/>
                <w:szCs w:val="18"/>
              </w:rPr>
              <w:t>Transport Customer Engagement</w:t>
            </w:r>
          </w:p>
        </w:tc>
      </w:tr>
      <w:tr w:rsidR="00020FAD" w:rsidRPr="00D814E4" w14:paraId="63EAE5E7"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shd w:val="clear" w:color="auto" w:fill="F2F2F2" w:themeFill="background1" w:themeFillShade="F2"/>
            <w:vAlign w:val="center"/>
          </w:tcPr>
          <w:p w14:paraId="2DFE48CC" w14:textId="77777777" w:rsidR="00020FAD" w:rsidRPr="002B41AC" w:rsidRDefault="00020FAD" w:rsidP="008139D1">
            <w:pPr>
              <w:pStyle w:val="BodyText"/>
              <w:spacing w:before="50" w:after="50"/>
              <w:rPr>
                <w:rFonts w:eastAsia="Calibri"/>
                <w:b w:val="0"/>
                <w:color w:val="auto"/>
                <w:sz w:val="18"/>
                <w:szCs w:val="18"/>
                <w:lang w:eastAsia="en-GB"/>
              </w:rPr>
            </w:pPr>
            <w:r w:rsidRPr="002B41AC">
              <w:rPr>
                <w:rFonts w:eastAsia="Calibri"/>
                <w:color w:val="auto"/>
                <w:sz w:val="18"/>
                <w:szCs w:val="18"/>
                <w:lang w:eastAsia="en-GB"/>
              </w:rPr>
              <w:t>DFAT </w:t>
            </w:r>
          </w:p>
        </w:tc>
        <w:tc>
          <w:tcPr>
            <w:tcW w:w="1" w:type="pct"/>
            <w:shd w:val="clear" w:color="auto" w:fill="F2F2F2" w:themeFill="background1" w:themeFillShade="F2"/>
            <w:vAlign w:val="center"/>
          </w:tcPr>
          <w:p w14:paraId="7785D28A" w14:textId="496067C7" w:rsidR="00020FAD" w:rsidRPr="00EA243F" w:rsidRDefault="00020FAD"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sz w:val="18"/>
                <w:szCs w:val="18"/>
              </w:rPr>
            </w:pPr>
            <w:r w:rsidRPr="00EA243F">
              <w:rPr>
                <w:sz w:val="18"/>
                <w:szCs w:val="18"/>
              </w:rPr>
              <w:t>Infrastructure Advisor</w:t>
            </w:r>
            <w:r w:rsidR="00A2255A">
              <w:rPr>
                <w:sz w:val="18"/>
                <w:szCs w:val="18"/>
              </w:rPr>
              <w:t xml:space="preserve"> – PNG Branch </w:t>
            </w:r>
          </w:p>
        </w:tc>
      </w:tr>
      <w:tr w:rsidR="00020FAD" w:rsidRPr="00D814E4" w14:paraId="27910257"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shd w:val="clear" w:color="auto" w:fill="F2F2F2" w:themeFill="background1" w:themeFillShade="F2"/>
            <w:vAlign w:val="center"/>
          </w:tcPr>
          <w:p w14:paraId="4582ACCE" w14:textId="77777777" w:rsidR="00020FAD" w:rsidRPr="002B41AC" w:rsidRDefault="00020FAD" w:rsidP="008139D1">
            <w:pPr>
              <w:pStyle w:val="BodyText"/>
              <w:spacing w:before="50" w:after="50"/>
              <w:rPr>
                <w:rFonts w:eastAsia="Calibri"/>
                <w:color w:val="auto"/>
                <w:sz w:val="18"/>
                <w:szCs w:val="18"/>
                <w:lang w:eastAsia="en-GB"/>
              </w:rPr>
            </w:pPr>
            <w:r w:rsidRPr="002B41AC">
              <w:rPr>
                <w:rFonts w:eastAsia="Calibri"/>
                <w:color w:val="auto"/>
                <w:sz w:val="18"/>
                <w:szCs w:val="18"/>
                <w:lang w:eastAsia="en-GB"/>
              </w:rPr>
              <w:t xml:space="preserve">GHD/TSSP </w:t>
            </w:r>
          </w:p>
        </w:tc>
        <w:tc>
          <w:tcPr>
            <w:tcW w:w="1" w:type="pct"/>
            <w:shd w:val="clear" w:color="auto" w:fill="auto"/>
            <w:vAlign w:val="center"/>
          </w:tcPr>
          <w:p w14:paraId="559A9D4A" w14:textId="208A39AF"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 xml:space="preserve">Capacity Development </w:t>
            </w:r>
          </w:p>
        </w:tc>
      </w:tr>
      <w:tr w:rsidR="00020FAD" w:rsidRPr="00D814E4" w14:paraId="280A68A2"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val="restart"/>
            <w:shd w:val="clear" w:color="auto" w:fill="F2F2F2" w:themeFill="background1" w:themeFillShade="F2"/>
            <w:vAlign w:val="center"/>
          </w:tcPr>
          <w:p w14:paraId="01139103" w14:textId="77777777" w:rsidR="00020FAD" w:rsidRPr="002B41AC" w:rsidRDefault="00020FAD" w:rsidP="008139D1">
            <w:pPr>
              <w:pStyle w:val="BodyText"/>
              <w:spacing w:before="50" w:after="50"/>
              <w:rPr>
                <w:rFonts w:eastAsia="Calibri"/>
                <w:b w:val="0"/>
                <w:color w:val="auto"/>
                <w:sz w:val="18"/>
                <w:szCs w:val="18"/>
                <w:lang w:eastAsia="en-GB"/>
              </w:rPr>
            </w:pPr>
            <w:r w:rsidRPr="002B41AC">
              <w:rPr>
                <w:rFonts w:eastAsia="Calibri"/>
                <w:color w:val="auto"/>
                <w:sz w:val="18"/>
                <w:szCs w:val="18"/>
                <w:lang w:eastAsia="en-GB"/>
              </w:rPr>
              <w:t xml:space="preserve">Australian High Commission Port Moresby </w:t>
            </w:r>
          </w:p>
        </w:tc>
        <w:tc>
          <w:tcPr>
            <w:tcW w:w="1" w:type="pct"/>
            <w:shd w:val="clear" w:color="auto" w:fill="F2F2F2" w:themeFill="background1" w:themeFillShade="F2"/>
            <w:vAlign w:val="center"/>
          </w:tcPr>
          <w:p w14:paraId="59DDAB88" w14:textId="158C48C4" w:rsidR="00020FAD" w:rsidRPr="00EA243F" w:rsidRDefault="00020FAD"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Minister Counsellor</w:t>
            </w:r>
            <w:r w:rsidR="0042587B">
              <w:rPr>
                <w:rFonts w:eastAsia="Calibri"/>
                <w:sz w:val="18"/>
                <w:szCs w:val="18"/>
                <w:lang w:eastAsia="en-GB"/>
              </w:rPr>
              <w:t xml:space="preserve"> &amp; </w:t>
            </w:r>
            <w:r w:rsidR="0042587B" w:rsidRPr="00EA243F">
              <w:rPr>
                <w:rFonts w:eastAsia="Calibri"/>
                <w:sz w:val="18"/>
                <w:szCs w:val="18"/>
                <w:lang w:eastAsia="en-GB"/>
              </w:rPr>
              <w:t xml:space="preserve">Former </w:t>
            </w:r>
            <w:r w:rsidRPr="00EA243F">
              <w:rPr>
                <w:rFonts w:eastAsia="Calibri"/>
                <w:sz w:val="18"/>
                <w:szCs w:val="18"/>
                <w:lang w:eastAsia="en-GB"/>
              </w:rPr>
              <w:t>Minister Counsellor</w:t>
            </w:r>
          </w:p>
        </w:tc>
      </w:tr>
      <w:tr w:rsidR="00020FAD" w:rsidRPr="00D814E4" w14:paraId="4318DBFB"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325CDBBB" w14:textId="77777777" w:rsidR="00020FAD" w:rsidRPr="000C2361" w:rsidRDefault="00020FAD" w:rsidP="008139D1">
            <w:pPr>
              <w:pStyle w:val="BodyText"/>
              <w:spacing w:before="50" w:after="50"/>
              <w:rPr>
                <w:rFonts w:eastAsia="Calibri"/>
                <w:b w:val="0"/>
                <w:sz w:val="18"/>
                <w:szCs w:val="18"/>
                <w:lang w:eastAsia="en-GB"/>
              </w:rPr>
            </w:pPr>
          </w:p>
        </w:tc>
        <w:tc>
          <w:tcPr>
            <w:tcW w:w="1" w:type="pct"/>
            <w:shd w:val="clear" w:color="auto" w:fill="F2F2F2" w:themeFill="background1" w:themeFillShade="F2"/>
            <w:vAlign w:val="center"/>
          </w:tcPr>
          <w:p w14:paraId="040B5DC4" w14:textId="77777777"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First Secretary</w:t>
            </w:r>
          </w:p>
        </w:tc>
      </w:tr>
      <w:tr w:rsidR="00020FAD" w:rsidRPr="00D814E4" w14:paraId="1F46073B"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2BBBF35E" w14:textId="77777777" w:rsidR="00020FAD" w:rsidRPr="000C2361" w:rsidRDefault="00020FAD" w:rsidP="008139D1">
            <w:pPr>
              <w:pStyle w:val="BodyText"/>
              <w:spacing w:before="50" w:after="50"/>
              <w:rPr>
                <w:rFonts w:eastAsia="Calibri"/>
                <w:b w:val="0"/>
                <w:sz w:val="18"/>
                <w:szCs w:val="18"/>
                <w:lang w:eastAsia="en-GB"/>
              </w:rPr>
            </w:pPr>
          </w:p>
        </w:tc>
        <w:tc>
          <w:tcPr>
            <w:tcW w:w="1" w:type="pct"/>
            <w:shd w:val="clear" w:color="auto" w:fill="auto"/>
            <w:vAlign w:val="center"/>
          </w:tcPr>
          <w:p w14:paraId="56E4B6CF" w14:textId="77777777" w:rsidR="00020FAD" w:rsidRPr="00EA243F" w:rsidRDefault="00020FAD"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Program Manager</w:t>
            </w:r>
          </w:p>
        </w:tc>
      </w:tr>
      <w:tr w:rsidR="00020FAD" w:rsidRPr="00D814E4" w14:paraId="276989A8"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222E16A2" w14:textId="77777777" w:rsidR="00020FAD" w:rsidRPr="000C2361" w:rsidRDefault="00020FAD" w:rsidP="008139D1">
            <w:pPr>
              <w:pStyle w:val="BodyText"/>
              <w:spacing w:before="50" w:after="50"/>
              <w:rPr>
                <w:rFonts w:eastAsia="Calibri"/>
                <w:b w:val="0"/>
                <w:sz w:val="18"/>
                <w:szCs w:val="18"/>
                <w:lang w:eastAsia="en-GB"/>
              </w:rPr>
            </w:pPr>
          </w:p>
        </w:tc>
        <w:tc>
          <w:tcPr>
            <w:tcW w:w="1" w:type="pct"/>
            <w:shd w:val="clear" w:color="auto" w:fill="auto"/>
            <w:vAlign w:val="center"/>
          </w:tcPr>
          <w:p w14:paraId="3B64DC70" w14:textId="6E9D9EA2" w:rsidR="00020FAD" w:rsidRPr="00EA243F" w:rsidRDefault="002A1D68"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High Commissioner</w:t>
            </w:r>
          </w:p>
        </w:tc>
      </w:tr>
      <w:tr w:rsidR="00020FAD" w:rsidRPr="00D814E4" w14:paraId="53634CED"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16D2CB20" w14:textId="77777777" w:rsidR="00020FAD" w:rsidRPr="000C2361" w:rsidRDefault="00020FAD" w:rsidP="008139D1">
            <w:pPr>
              <w:pStyle w:val="BodyText"/>
              <w:spacing w:before="50" w:after="50"/>
              <w:rPr>
                <w:rFonts w:eastAsia="Calibri"/>
                <w:b w:val="0"/>
                <w:sz w:val="18"/>
                <w:szCs w:val="18"/>
                <w:lang w:eastAsia="en-GB"/>
              </w:rPr>
            </w:pPr>
          </w:p>
        </w:tc>
        <w:tc>
          <w:tcPr>
            <w:tcW w:w="1" w:type="pct"/>
            <w:shd w:val="clear" w:color="auto" w:fill="F2F2F2" w:themeFill="background1" w:themeFillShade="F2"/>
            <w:vAlign w:val="center"/>
          </w:tcPr>
          <w:p w14:paraId="097B1F10" w14:textId="1A2BBC98" w:rsidR="00020FAD" w:rsidRPr="00EA243F" w:rsidRDefault="002A1D68"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Economic Program</w:t>
            </w:r>
          </w:p>
        </w:tc>
      </w:tr>
      <w:tr w:rsidR="00020FAD" w:rsidRPr="00D814E4" w14:paraId="7E07F677"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238B0F12" w14:textId="77777777" w:rsidR="00020FAD" w:rsidRPr="000C2361" w:rsidRDefault="00020FAD" w:rsidP="008139D1">
            <w:pPr>
              <w:pStyle w:val="BodyText"/>
              <w:spacing w:before="50" w:after="50"/>
              <w:rPr>
                <w:rFonts w:eastAsia="Calibri"/>
                <w:b w:val="0"/>
                <w:sz w:val="18"/>
                <w:szCs w:val="18"/>
                <w:lang w:eastAsia="en-GB"/>
              </w:rPr>
            </w:pPr>
          </w:p>
        </w:tc>
        <w:tc>
          <w:tcPr>
            <w:tcW w:w="1" w:type="pct"/>
            <w:shd w:val="clear" w:color="auto" w:fill="auto"/>
            <w:vAlign w:val="center"/>
          </w:tcPr>
          <w:p w14:paraId="7C199F7A" w14:textId="0A1151C9" w:rsidR="00020FAD" w:rsidRPr="00EA243F" w:rsidRDefault="002A1D68"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Civil Society cooperation</w:t>
            </w:r>
          </w:p>
        </w:tc>
      </w:tr>
      <w:tr w:rsidR="00020FAD" w:rsidRPr="00D814E4" w14:paraId="2B2802D2"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val="restart"/>
            <w:shd w:val="clear" w:color="auto" w:fill="F2F2F2" w:themeFill="background1" w:themeFillShade="F2"/>
            <w:vAlign w:val="center"/>
          </w:tcPr>
          <w:p w14:paraId="3F826D39" w14:textId="77777777" w:rsidR="00020FAD" w:rsidRPr="008076B2" w:rsidRDefault="00020FAD" w:rsidP="008139D1">
            <w:pPr>
              <w:pStyle w:val="BodyText"/>
              <w:keepNext/>
              <w:keepLines/>
              <w:spacing w:before="50" w:after="50"/>
              <w:rPr>
                <w:rFonts w:eastAsia="Calibri"/>
                <w:b w:val="0"/>
                <w:color w:val="auto"/>
                <w:sz w:val="18"/>
                <w:szCs w:val="18"/>
                <w:lang w:eastAsia="en-GB"/>
              </w:rPr>
            </w:pPr>
            <w:r w:rsidRPr="008076B2">
              <w:rPr>
                <w:rFonts w:eastAsia="Calibri"/>
                <w:color w:val="auto"/>
                <w:sz w:val="18"/>
                <w:szCs w:val="18"/>
                <w:lang w:eastAsia="en-GB"/>
              </w:rPr>
              <w:t>Department of Transport</w:t>
            </w:r>
          </w:p>
        </w:tc>
        <w:tc>
          <w:tcPr>
            <w:tcW w:w="1" w:type="pct"/>
            <w:shd w:val="clear" w:color="auto" w:fill="F2F2F2" w:themeFill="background1" w:themeFillShade="F2"/>
            <w:vAlign w:val="center"/>
          </w:tcPr>
          <w:p w14:paraId="17AB8C09" w14:textId="77777777" w:rsidR="00020FAD" w:rsidRPr="00EA243F" w:rsidRDefault="00020FAD" w:rsidP="008139D1">
            <w:pPr>
              <w:pStyle w:val="BodyText"/>
              <w:keepNext/>
              <w:keepLines/>
              <w:spacing w:before="50" w:after="5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Secretary</w:t>
            </w:r>
          </w:p>
        </w:tc>
      </w:tr>
      <w:tr w:rsidR="00020FAD" w:rsidRPr="00D814E4" w14:paraId="4C92F00B"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39010C0E" w14:textId="77777777" w:rsidR="00020FAD" w:rsidRPr="008076B2" w:rsidRDefault="00020FAD" w:rsidP="008139D1">
            <w:pPr>
              <w:pStyle w:val="BodyText"/>
              <w:spacing w:before="50" w:after="50"/>
              <w:rPr>
                <w:rFonts w:eastAsia="Calibri"/>
                <w:b w:val="0"/>
                <w:color w:val="auto"/>
                <w:sz w:val="18"/>
                <w:szCs w:val="18"/>
                <w:lang w:eastAsia="en-GB"/>
              </w:rPr>
            </w:pPr>
          </w:p>
        </w:tc>
        <w:tc>
          <w:tcPr>
            <w:tcW w:w="1" w:type="pct"/>
            <w:shd w:val="clear" w:color="auto" w:fill="auto"/>
            <w:vAlign w:val="center"/>
          </w:tcPr>
          <w:p w14:paraId="20F405E5" w14:textId="77777777"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First Assistant Secretary – Monitoring, Reporting and Evaluation</w:t>
            </w:r>
          </w:p>
        </w:tc>
      </w:tr>
      <w:tr w:rsidR="00020FAD" w:rsidRPr="00D814E4" w14:paraId="6834AE30"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val="restart"/>
            <w:shd w:val="clear" w:color="auto" w:fill="F2F2F2" w:themeFill="background1" w:themeFillShade="F2"/>
            <w:vAlign w:val="center"/>
          </w:tcPr>
          <w:p w14:paraId="3C0FA545" w14:textId="77777777" w:rsidR="00020FAD" w:rsidRPr="008076B2" w:rsidRDefault="00020FAD" w:rsidP="008139D1">
            <w:pPr>
              <w:pStyle w:val="BodyText"/>
              <w:spacing w:before="50" w:after="50"/>
              <w:rPr>
                <w:rFonts w:eastAsia="Calibri"/>
                <w:b w:val="0"/>
                <w:color w:val="auto"/>
                <w:sz w:val="18"/>
                <w:szCs w:val="18"/>
                <w:lang w:eastAsia="en-GB"/>
              </w:rPr>
            </w:pPr>
            <w:r w:rsidRPr="008076B2">
              <w:rPr>
                <w:rFonts w:eastAsia="Calibri"/>
                <w:color w:val="auto"/>
                <w:sz w:val="18"/>
                <w:szCs w:val="18"/>
                <w:lang w:eastAsia="en-GB"/>
              </w:rPr>
              <w:t>PNG Accident Investigation Commission</w:t>
            </w:r>
          </w:p>
        </w:tc>
        <w:tc>
          <w:tcPr>
            <w:tcW w:w="1" w:type="pct"/>
            <w:shd w:val="clear" w:color="auto" w:fill="auto"/>
            <w:vAlign w:val="center"/>
          </w:tcPr>
          <w:p w14:paraId="34D84751" w14:textId="77777777" w:rsidR="00020FAD" w:rsidRPr="00EA243F" w:rsidRDefault="00020FAD"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Chief Executive Officer</w:t>
            </w:r>
          </w:p>
        </w:tc>
      </w:tr>
      <w:tr w:rsidR="00020FAD" w:rsidRPr="00D814E4" w14:paraId="77DA65CD"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480B5761" w14:textId="77777777" w:rsidR="00020FAD" w:rsidRPr="008076B2" w:rsidRDefault="00020FAD" w:rsidP="008139D1">
            <w:pPr>
              <w:pStyle w:val="BodyText"/>
              <w:spacing w:before="50" w:after="50"/>
              <w:rPr>
                <w:rFonts w:eastAsia="Calibri"/>
                <w:b w:val="0"/>
                <w:color w:val="auto"/>
                <w:sz w:val="18"/>
                <w:szCs w:val="18"/>
                <w:lang w:eastAsia="en-GB"/>
              </w:rPr>
            </w:pPr>
          </w:p>
        </w:tc>
        <w:tc>
          <w:tcPr>
            <w:tcW w:w="1" w:type="pct"/>
            <w:shd w:val="clear" w:color="auto" w:fill="F2F2F2" w:themeFill="background1" w:themeFillShade="F2"/>
            <w:vAlign w:val="center"/>
          </w:tcPr>
          <w:p w14:paraId="5FF93E5D" w14:textId="77777777"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Operations Investigation</w:t>
            </w:r>
          </w:p>
        </w:tc>
      </w:tr>
      <w:tr w:rsidR="00020FAD" w:rsidRPr="00D814E4" w14:paraId="1A1E8954"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val="restart"/>
            <w:shd w:val="clear" w:color="auto" w:fill="F2F2F2" w:themeFill="background1" w:themeFillShade="F2"/>
            <w:vAlign w:val="center"/>
          </w:tcPr>
          <w:p w14:paraId="10805885" w14:textId="77777777" w:rsidR="00020FAD" w:rsidRPr="008076B2" w:rsidRDefault="00020FAD" w:rsidP="008139D1">
            <w:pPr>
              <w:pStyle w:val="BodyText"/>
              <w:spacing w:before="50" w:after="50"/>
              <w:rPr>
                <w:rFonts w:eastAsia="Calibri"/>
                <w:b w:val="0"/>
                <w:color w:val="auto"/>
                <w:sz w:val="18"/>
                <w:szCs w:val="18"/>
                <w:lang w:eastAsia="en-GB"/>
              </w:rPr>
            </w:pPr>
            <w:r w:rsidRPr="008076B2">
              <w:rPr>
                <w:rFonts w:eastAsia="Calibri"/>
                <w:color w:val="auto"/>
                <w:sz w:val="18"/>
                <w:szCs w:val="18"/>
                <w:lang w:eastAsia="en-GB"/>
              </w:rPr>
              <w:t>Civil Aviation Safety Authority</w:t>
            </w:r>
          </w:p>
        </w:tc>
        <w:tc>
          <w:tcPr>
            <w:tcW w:w="1" w:type="pct"/>
            <w:shd w:val="clear" w:color="auto" w:fill="auto"/>
            <w:vAlign w:val="center"/>
          </w:tcPr>
          <w:p w14:paraId="2CC8457D" w14:textId="77777777" w:rsidR="00020FAD" w:rsidRPr="00EA243F" w:rsidRDefault="00020FAD"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Chief Executive Officer and Director</w:t>
            </w:r>
          </w:p>
        </w:tc>
      </w:tr>
      <w:tr w:rsidR="00020FAD" w:rsidRPr="00D814E4" w14:paraId="31B90CAB"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208728D8" w14:textId="77777777" w:rsidR="00020FAD" w:rsidRPr="000C2361" w:rsidRDefault="00020FAD" w:rsidP="008139D1">
            <w:pPr>
              <w:pStyle w:val="BodyText"/>
              <w:spacing w:before="50" w:after="50"/>
              <w:rPr>
                <w:rFonts w:eastAsia="Calibri"/>
                <w:b w:val="0"/>
                <w:sz w:val="18"/>
                <w:szCs w:val="18"/>
                <w:lang w:eastAsia="en-GB"/>
              </w:rPr>
            </w:pPr>
          </w:p>
        </w:tc>
        <w:tc>
          <w:tcPr>
            <w:tcW w:w="1" w:type="pct"/>
            <w:shd w:val="clear" w:color="auto" w:fill="F2F2F2" w:themeFill="background1" w:themeFillShade="F2"/>
            <w:vAlign w:val="center"/>
          </w:tcPr>
          <w:p w14:paraId="58578C95" w14:textId="6D5A096B"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Safety Regulation</w:t>
            </w:r>
          </w:p>
        </w:tc>
      </w:tr>
      <w:tr w:rsidR="00020FAD" w:rsidRPr="00D814E4" w14:paraId="15068374"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2327BC1D" w14:textId="77777777" w:rsidR="00020FAD" w:rsidRPr="000C2361" w:rsidRDefault="00020FAD" w:rsidP="008139D1">
            <w:pPr>
              <w:pStyle w:val="BodyText"/>
              <w:spacing w:before="50" w:after="50"/>
              <w:rPr>
                <w:rFonts w:eastAsia="Calibri"/>
                <w:b w:val="0"/>
                <w:sz w:val="18"/>
                <w:szCs w:val="18"/>
                <w:lang w:eastAsia="en-GB"/>
              </w:rPr>
            </w:pPr>
          </w:p>
        </w:tc>
        <w:tc>
          <w:tcPr>
            <w:tcW w:w="1" w:type="pct"/>
            <w:shd w:val="clear" w:color="auto" w:fill="auto"/>
            <w:vAlign w:val="center"/>
          </w:tcPr>
          <w:p w14:paraId="2CB774BF" w14:textId="6F09FDC9" w:rsidR="00020FAD" w:rsidRPr="00EA243F" w:rsidRDefault="00020FAD"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Learning &amp; Development</w:t>
            </w:r>
          </w:p>
        </w:tc>
      </w:tr>
      <w:tr w:rsidR="00020FAD" w:rsidRPr="00D814E4" w14:paraId="401B9A1D"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35EDB83B" w14:textId="77777777" w:rsidR="00020FAD" w:rsidRPr="000C2361" w:rsidRDefault="00020FAD" w:rsidP="008139D1">
            <w:pPr>
              <w:pStyle w:val="BodyText"/>
              <w:spacing w:before="50" w:after="50"/>
              <w:rPr>
                <w:rFonts w:eastAsia="Calibri"/>
                <w:b w:val="0"/>
                <w:sz w:val="18"/>
                <w:szCs w:val="18"/>
                <w:lang w:eastAsia="en-GB"/>
              </w:rPr>
            </w:pPr>
          </w:p>
        </w:tc>
        <w:tc>
          <w:tcPr>
            <w:tcW w:w="1" w:type="pct"/>
            <w:shd w:val="clear" w:color="auto" w:fill="F2F2F2" w:themeFill="background1" w:themeFillShade="F2"/>
            <w:vAlign w:val="center"/>
          </w:tcPr>
          <w:p w14:paraId="4A65D7FB" w14:textId="4269B0D2"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Information &amp; Communication Technology</w:t>
            </w:r>
          </w:p>
        </w:tc>
      </w:tr>
      <w:tr w:rsidR="00020FAD" w:rsidRPr="00D814E4" w14:paraId="2E34AB52"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7DF433E2" w14:textId="77777777" w:rsidR="00020FAD" w:rsidRPr="000C2361" w:rsidRDefault="00020FAD" w:rsidP="008139D1">
            <w:pPr>
              <w:pStyle w:val="BodyText"/>
              <w:spacing w:before="50" w:after="50"/>
              <w:rPr>
                <w:rFonts w:eastAsia="Calibri"/>
                <w:b w:val="0"/>
                <w:sz w:val="18"/>
                <w:szCs w:val="18"/>
                <w:lang w:eastAsia="en-GB"/>
              </w:rPr>
            </w:pPr>
          </w:p>
        </w:tc>
        <w:tc>
          <w:tcPr>
            <w:tcW w:w="1" w:type="pct"/>
            <w:shd w:val="clear" w:color="auto" w:fill="auto"/>
            <w:vAlign w:val="center"/>
          </w:tcPr>
          <w:p w14:paraId="27EF9BB1" w14:textId="7659D33F" w:rsidR="00020FAD" w:rsidRPr="00EA243F" w:rsidRDefault="002A1D68"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Human Resource</w:t>
            </w:r>
            <w:r>
              <w:rPr>
                <w:rFonts w:eastAsia="Calibri"/>
                <w:sz w:val="18"/>
                <w:szCs w:val="18"/>
                <w:lang w:eastAsia="en-GB"/>
              </w:rPr>
              <w:t>s</w:t>
            </w:r>
          </w:p>
        </w:tc>
      </w:tr>
      <w:tr w:rsidR="00020FAD" w:rsidRPr="00D814E4" w14:paraId="55F58260"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val="restart"/>
            <w:shd w:val="clear" w:color="auto" w:fill="F2F2F2" w:themeFill="background1" w:themeFillShade="F2"/>
            <w:vAlign w:val="center"/>
          </w:tcPr>
          <w:p w14:paraId="16D9351B" w14:textId="36E2DF69" w:rsidR="00020FAD" w:rsidRPr="002B41AC" w:rsidRDefault="002B41AC" w:rsidP="008139D1">
            <w:pPr>
              <w:pStyle w:val="BodyText"/>
              <w:spacing w:before="50" w:after="50"/>
              <w:rPr>
                <w:rFonts w:eastAsia="Calibri"/>
                <w:b w:val="0"/>
                <w:color w:val="auto"/>
                <w:sz w:val="18"/>
                <w:szCs w:val="18"/>
                <w:lang w:eastAsia="en-GB"/>
              </w:rPr>
            </w:pPr>
            <w:r w:rsidRPr="002B41AC">
              <w:rPr>
                <w:color w:val="auto"/>
              </w:rPr>
              <w:t>NiuSky Pacific Limited</w:t>
            </w:r>
          </w:p>
        </w:tc>
        <w:tc>
          <w:tcPr>
            <w:tcW w:w="1" w:type="pct"/>
            <w:shd w:val="clear" w:color="auto" w:fill="auto"/>
            <w:vAlign w:val="center"/>
          </w:tcPr>
          <w:p w14:paraId="482F3448" w14:textId="77777777"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Chief Executive Officer</w:t>
            </w:r>
          </w:p>
        </w:tc>
      </w:tr>
      <w:tr w:rsidR="00020FAD" w:rsidRPr="00D814E4" w14:paraId="0DC0D636"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46977D02" w14:textId="77777777" w:rsidR="00020FAD" w:rsidRPr="002B41AC" w:rsidRDefault="00020FAD" w:rsidP="008139D1">
            <w:pPr>
              <w:pStyle w:val="BodyText"/>
              <w:spacing w:before="50" w:after="50"/>
              <w:rPr>
                <w:rFonts w:eastAsia="Calibri"/>
                <w:b w:val="0"/>
                <w:color w:val="auto"/>
                <w:sz w:val="18"/>
                <w:szCs w:val="18"/>
                <w:lang w:eastAsia="en-GB"/>
              </w:rPr>
            </w:pPr>
          </w:p>
        </w:tc>
        <w:tc>
          <w:tcPr>
            <w:tcW w:w="1" w:type="pct"/>
            <w:shd w:val="clear" w:color="auto" w:fill="F2F2F2" w:themeFill="background1" w:themeFillShade="F2"/>
            <w:vAlign w:val="center"/>
          </w:tcPr>
          <w:p w14:paraId="6A099C5F" w14:textId="4611C1AB" w:rsidR="00020FAD" w:rsidRPr="00EA243F" w:rsidRDefault="00020FAD"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Executive Support &amp; Corporate Services</w:t>
            </w:r>
          </w:p>
        </w:tc>
      </w:tr>
      <w:tr w:rsidR="00020FAD" w:rsidRPr="00D814E4" w14:paraId="2DA420F6"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39E68619" w14:textId="77777777" w:rsidR="00020FAD" w:rsidRPr="002B41AC" w:rsidRDefault="00020FAD" w:rsidP="008139D1">
            <w:pPr>
              <w:pStyle w:val="BodyText"/>
              <w:spacing w:before="50" w:after="50"/>
              <w:rPr>
                <w:rFonts w:eastAsia="Calibri"/>
                <w:b w:val="0"/>
                <w:color w:val="auto"/>
                <w:sz w:val="18"/>
                <w:szCs w:val="18"/>
                <w:lang w:eastAsia="en-GB"/>
              </w:rPr>
            </w:pPr>
          </w:p>
        </w:tc>
        <w:tc>
          <w:tcPr>
            <w:tcW w:w="1" w:type="pct"/>
            <w:shd w:val="clear" w:color="auto" w:fill="auto"/>
            <w:vAlign w:val="center"/>
          </w:tcPr>
          <w:p w14:paraId="04F45D18" w14:textId="77777777"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Senior Business Development Officer</w:t>
            </w:r>
          </w:p>
        </w:tc>
      </w:tr>
      <w:tr w:rsidR="00020FAD" w:rsidRPr="00D814E4" w14:paraId="67B4CF73"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0C913C89" w14:textId="77777777" w:rsidR="00020FAD" w:rsidRPr="002B41AC" w:rsidRDefault="00020FAD" w:rsidP="008139D1">
            <w:pPr>
              <w:pStyle w:val="BodyText"/>
              <w:spacing w:before="50" w:after="50"/>
              <w:rPr>
                <w:rFonts w:eastAsia="Calibri"/>
                <w:b w:val="0"/>
                <w:color w:val="auto"/>
                <w:sz w:val="18"/>
                <w:szCs w:val="18"/>
                <w:lang w:eastAsia="en-GB"/>
              </w:rPr>
            </w:pPr>
          </w:p>
        </w:tc>
        <w:tc>
          <w:tcPr>
            <w:tcW w:w="1" w:type="pct"/>
            <w:shd w:val="clear" w:color="auto" w:fill="F2F2F2" w:themeFill="background1" w:themeFillShade="F2"/>
            <w:vAlign w:val="center"/>
          </w:tcPr>
          <w:p w14:paraId="40F3E569" w14:textId="1F788DB9" w:rsidR="00020FAD" w:rsidRPr="00EA243F" w:rsidRDefault="00020FAD"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Engineering Services</w:t>
            </w:r>
          </w:p>
        </w:tc>
      </w:tr>
      <w:tr w:rsidR="00020FAD" w:rsidRPr="00D814E4" w14:paraId="71793720"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val="restart"/>
            <w:shd w:val="clear" w:color="auto" w:fill="F2F2F2" w:themeFill="background1" w:themeFillShade="F2"/>
            <w:vAlign w:val="center"/>
          </w:tcPr>
          <w:p w14:paraId="1E87549B" w14:textId="77777777" w:rsidR="00020FAD" w:rsidRPr="002B41AC" w:rsidRDefault="00020FAD" w:rsidP="008139D1">
            <w:pPr>
              <w:pStyle w:val="BodyText"/>
              <w:spacing w:before="50" w:after="50"/>
              <w:rPr>
                <w:rFonts w:eastAsia="Calibri"/>
                <w:b w:val="0"/>
                <w:color w:val="auto"/>
                <w:sz w:val="18"/>
                <w:szCs w:val="18"/>
                <w:lang w:eastAsia="en-GB"/>
              </w:rPr>
            </w:pPr>
            <w:r w:rsidRPr="002B41AC">
              <w:rPr>
                <w:rFonts w:eastAsia="Calibri"/>
                <w:color w:val="auto"/>
                <w:sz w:val="18"/>
                <w:szCs w:val="18"/>
                <w:lang w:eastAsia="en-GB"/>
              </w:rPr>
              <w:t>National Maritime Safety Authority</w:t>
            </w:r>
          </w:p>
        </w:tc>
        <w:tc>
          <w:tcPr>
            <w:tcW w:w="1" w:type="pct"/>
            <w:shd w:val="clear" w:color="auto" w:fill="auto"/>
            <w:vAlign w:val="center"/>
          </w:tcPr>
          <w:p w14:paraId="5E8D656F" w14:textId="77777777"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Chief Executive Officer</w:t>
            </w:r>
          </w:p>
        </w:tc>
      </w:tr>
      <w:tr w:rsidR="00020FAD" w:rsidRPr="00D814E4" w14:paraId="0F8461F5"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5244C4BB" w14:textId="77777777" w:rsidR="00020FAD" w:rsidRPr="002B41AC" w:rsidRDefault="00020FAD" w:rsidP="008139D1">
            <w:pPr>
              <w:pStyle w:val="BodyText"/>
              <w:spacing w:before="50" w:after="50"/>
              <w:rPr>
                <w:rFonts w:eastAsia="Calibri"/>
                <w:b w:val="0"/>
                <w:color w:val="auto"/>
                <w:sz w:val="18"/>
                <w:szCs w:val="18"/>
                <w:lang w:eastAsia="en-GB"/>
              </w:rPr>
            </w:pPr>
          </w:p>
        </w:tc>
        <w:tc>
          <w:tcPr>
            <w:tcW w:w="1" w:type="pct"/>
            <w:shd w:val="clear" w:color="auto" w:fill="F2F2F2" w:themeFill="background1" w:themeFillShade="F2"/>
            <w:vAlign w:val="center"/>
          </w:tcPr>
          <w:p w14:paraId="211A7843" w14:textId="6EE1B21E" w:rsidR="00020FAD" w:rsidRPr="00EA243F" w:rsidRDefault="00020FAD"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Maritime Administration</w:t>
            </w:r>
          </w:p>
        </w:tc>
      </w:tr>
      <w:tr w:rsidR="00020FAD" w:rsidRPr="00D814E4" w14:paraId="764DBF1A"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64AEAFA5" w14:textId="77777777" w:rsidR="00020FAD" w:rsidRPr="002B41AC" w:rsidRDefault="00020FAD" w:rsidP="008139D1">
            <w:pPr>
              <w:pStyle w:val="BodyText"/>
              <w:spacing w:before="50" w:after="50"/>
              <w:rPr>
                <w:rFonts w:eastAsia="Calibri"/>
                <w:b w:val="0"/>
                <w:color w:val="auto"/>
                <w:sz w:val="18"/>
                <w:szCs w:val="18"/>
                <w:lang w:eastAsia="en-GB"/>
              </w:rPr>
            </w:pPr>
          </w:p>
        </w:tc>
        <w:tc>
          <w:tcPr>
            <w:tcW w:w="1" w:type="pct"/>
            <w:shd w:val="clear" w:color="auto" w:fill="auto"/>
            <w:vAlign w:val="center"/>
          </w:tcPr>
          <w:p w14:paraId="245BF188" w14:textId="637B26C7"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Maritime Operations</w:t>
            </w:r>
          </w:p>
        </w:tc>
      </w:tr>
      <w:tr w:rsidR="00020FAD" w:rsidRPr="00D814E4" w14:paraId="681F801D" w14:textId="77777777" w:rsidTr="008139D1">
        <w:trPr>
          <w:trHeight w:val="20"/>
        </w:trPr>
        <w:tc>
          <w:tcPr>
            <w:cnfStyle w:val="001000000000" w:firstRow="0" w:lastRow="0" w:firstColumn="1" w:lastColumn="0" w:oddVBand="0" w:evenVBand="0" w:oddHBand="0" w:evenHBand="0" w:firstRowFirstColumn="0" w:firstRowLastColumn="0" w:lastRowFirstColumn="0" w:lastRowLastColumn="0"/>
            <w:tcW w:w="1" w:type="pct"/>
            <w:vMerge/>
            <w:shd w:val="clear" w:color="auto" w:fill="F2F2F2" w:themeFill="background1" w:themeFillShade="F2"/>
            <w:vAlign w:val="center"/>
          </w:tcPr>
          <w:p w14:paraId="1FA93A57" w14:textId="77777777" w:rsidR="00020FAD" w:rsidRPr="002B41AC" w:rsidRDefault="00020FAD" w:rsidP="008139D1">
            <w:pPr>
              <w:pStyle w:val="BodyText"/>
              <w:spacing w:before="50" w:after="50"/>
              <w:rPr>
                <w:rFonts w:eastAsia="Calibri"/>
                <w:b w:val="0"/>
                <w:color w:val="auto"/>
                <w:sz w:val="18"/>
                <w:szCs w:val="18"/>
                <w:lang w:eastAsia="en-GB"/>
              </w:rPr>
            </w:pPr>
          </w:p>
        </w:tc>
        <w:tc>
          <w:tcPr>
            <w:tcW w:w="1" w:type="pct"/>
            <w:shd w:val="clear" w:color="auto" w:fill="F2F2F2" w:themeFill="background1" w:themeFillShade="F2"/>
            <w:vAlign w:val="center"/>
          </w:tcPr>
          <w:p w14:paraId="57B22418" w14:textId="2DD9FFFA" w:rsidR="00020FAD" w:rsidRPr="00EA243F" w:rsidRDefault="00020FAD" w:rsidP="008139D1">
            <w:pPr>
              <w:pStyle w:val="BodyText"/>
              <w:spacing w:before="50" w:after="50"/>
              <w:cnfStyle w:val="000000000000" w:firstRow="0" w:lastRow="0" w:firstColumn="0" w:lastColumn="0" w:oddVBand="0" w:evenVBand="0" w:oddHBand="0"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Maritime Standards &amp; Compliance (Agency Support Arrangement Lead)</w:t>
            </w:r>
          </w:p>
        </w:tc>
      </w:tr>
      <w:tr w:rsidR="00020FAD" w:rsidRPr="00D814E4" w14:paraId="188C58B7" w14:textId="77777777" w:rsidTr="008139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 w:type="pct"/>
            <w:shd w:val="clear" w:color="auto" w:fill="F2F2F2" w:themeFill="background1" w:themeFillShade="F2"/>
            <w:vAlign w:val="center"/>
          </w:tcPr>
          <w:p w14:paraId="1B82B8BF" w14:textId="77777777" w:rsidR="00020FAD" w:rsidRPr="002B41AC" w:rsidRDefault="00020FAD" w:rsidP="008139D1">
            <w:pPr>
              <w:pStyle w:val="BodyText"/>
              <w:spacing w:before="50" w:after="50"/>
              <w:rPr>
                <w:rFonts w:eastAsia="Calibri"/>
                <w:b w:val="0"/>
                <w:color w:val="auto"/>
                <w:sz w:val="18"/>
                <w:szCs w:val="18"/>
                <w:lang w:eastAsia="en-GB"/>
              </w:rPr>
            </w:pPr>
            <w:r w:rsidRPr="002B41AC">
              <w:rPr>
                <w:rFonts w:eastAsia="Calibri"/>
                <w:color w:val="auto"/>
                <w:sz w:val="18"/>
                <w:szCs w:val="18"/>
                <w:lang w:eastAsia="en-GB"/>
              </w:rPr>
              <w:t>Department of Works &amp; Implementation</w:t>
            </w:r>
          </w:p>
        </w:tc>
        <w:tc>
          <w:tcPr>
            <w:tcW w:w="1" w:type="pct"/>
            <w:shd w:val="clear" w:color="auto" w:fill="F2F2F2" w:themeFill="background1" w:themeFillShade="F2"/>
            <w:vAlign w:val="center"/>
          </w:tcPr>
          <w:p w14:paraId="0024A2F6" w14:textId="77777777" w:rsidR="00020FAD" w:rsidRPr="00EA243F" w:rsidRDefault="00020FAD" w:rsidP="008139D1">
            <w:pPr>
              <w:pStyle w:val="BodyText"/>
              <w:spacing w:before="50" w:after="50"/>
              <w:cnfStyle w:val="000000100000" w:firstRow="0" w:lastRow="0" w:firstColumn="0" w:lastColumn="0" w:oddVBand="0" w:evenVBand="0" w:oddHBand="1" w:evenHBand="0" w:firstRowFirstColumn="0" w:firstRowLastColumn="0" w:lastRowFirstColumn="0" w:lastRowLastColumn="0"/>
              <w:rPr>
                <w:rFonts w:eastAsia="Calibri"/>
                <w:sz w:val="18"/>
                <w:szCs w:val="18"/>
                <w:lang w:eastAsia="en-GB"/>
              </w:rPr>
            </w:pPr>
            <w:r w:rsidRPr="00EA243F">
              <w:rPr>
                <w:rFonts w:eastAsia="Calibri"/>
                <w:sz w:val="18"/>
                <w:szCs w:val="18"/>
                <w:lang w:eastAsia="en-GB"/>
              </w:rPr>
              <w:t>Secretary</w:t>
            </w:r>
          </w:p>
        </w:tc>
      </w:tr>
    </w:tbl>
    <w:p w14:paraId="5B341CF0" w14:textId="77777777" w:rsidR="00301880" w:rsidRPr="00F71086" w:rsidRDefault="00301880" w:rsidP="00301880">
      <w:pPr>
        <w:shd w:val="clear" w:color="auto" w:fill="FFFFFF"/>
        <w:rPr>
          <w:rFonts w:eastAsia="Times New Roman"/>
          <w:color w:val="201F1E"/>
          <w:sz w:val="17"/>
          <w:szCs w:val="17"/>
        </w:rPr>
      </w:pPr>
    </w:p>
    <w:p w14:paraId="7946F6F4" w14:textId="77777777" w:rsidR="00301880" w:rsidRDefault="00301880" w:rsidP="00301880">
      <w:pPr>
        <w:rPr>
          <w:sz w:val="19"/>
          <w:szCs w:val="19"/>
        </w:rPr>
      </w:pPr>
      <w:r>
        <w:br w:type="page"/>
      </w:r>
    </w:p>
    <w:p w14:paraId="327CF1B1" w14:textId="77777777" w:rsidR="00301880" w:rsidRPr="00177EEC" w:rsidRDefault="00301880" w:rsidP="00301880">
      <w:pPr>
        <w:pStyle w:val="Default"/>
        <w:rPr>
          <w:rFonts w:asciiTheme="minorHAnsi" w:hAnsiTheme="minorHAnsi" w:cstheme="minorHAnsi"/>
          <w:b/>
          <w:bCs/>
          <w:color w:val="007C89" w:themeColor="accent1"/>
          <w:sz w:val="28"/>
          <w:szCs w:val="28"/>
        </w:rPr>
      </w:pPr>
      <w:r w:rsidRPr="00177EEC">
        <w:rPr>
          <w:rFonts w:asciiTheme="minorHAnsi" w:hAnsiTheme="minorHAnsi" w:cstheme="minorHAnsi"/>
          <w:b/>
          <w:bCs/>
          <w:color w:val="007C89" w:themeColor="accent1"/>
          <w:sz w:val="28"/>
          <w:szCs w:val="28"/>
        </w:rPr>
        <w:lastRenderedPageBreak/>
        <w:t xml:space="preserve">Annex 2: Review Objectives and Methodology </w:t>
      </w:r>
    </w:p>
    <w:p w14:paraId="7FE0242E" w14:textId="6F8D0ECD" w:rsidR="00301880" w:rsidRPr="00BA06DD" w:rsidRDefault="00301880" w:rsidP="00301880">
      <w:pPr>
        <w:pStyle w:val="BodyText"/>
        <w:rPr>
          <w:rFonts w:asciiTheme="minorHAnsi" w:hAnsiTheme="minorHAnsi"/>
          <w:b/>
          <w:bCs/>
          <w:color w:val="65C5B4" w:themeColor="accent2"/>
        </w:rPr>
      </w:pPr>
      <w:r w:rsidRPr="00BA06DD">
        <w:rPr>
          <w:rFonts w:asciiTheme="minorHAnsi" w:hAnsiTheme="minorHAnsi"/>
          <w:b/>
          <w:bCs/>
          <w:color w:val="65C5B4" w:themeColor="accent2"/>
        </w:rPr>
        <w:t xml:space="preserve">Objectives of the </w:t>
      </w:r>
      <w:r w:rsidR="00572B5C">
        <w:rPr>
          <w:rFonts w:asciiTheme="minorHAnsi" w:hAnsiTheme="minorHAnsi"/>
          <w:b/>
          <w:bCs/>
          <w:color w:val="65C5B4" w:themeColor="accent2"/>
        </w:rPr>
        <w:t>R</w:t>
      </w:r>
      <w:r w:rsidRPr="00BA06DD">
        <w:rPr>
          <w:rFonts w:asciiTheme="minorHAnsi" w:hAnsiTheme="minorHAnsi"/>
          <w:b/>
          <w:bCs/>
          <w:color w:val="65C5B4" w:themeColor="accent2"/>
        </w:rPr>
        <w:t>eview</w:t>
      </w:r>
    </w:p>
    <w:p w14:paraId="2219FF4F" w14:textId="64158706" w:rsidR="005956BC" w:rsidRDefault="005956BC" w:rsidP="00301880">
      <w:pPr>
        <w:pStyle w:val="BodyText"/>
      </w:pPr>
      <w:r w:rsidRPr="005956BC">
        <w:t xml:space="preserve">The purpose of the Review is to assess the partnerships within the transport sector in </w:t>
      </w:r>
      <w:r w:rsidR="00C046B7">
        <w:t>PNG</w:t>
      </w:r>
      <w:r w:rsidRPr="005956BC">
        <w:t xml:space="preserve"> in order to understand what partnerships are working and how they can be improved going into the future. Through the review, DFAT will strengthen the transport sector partnerships and provide appropriate support to the transport sector in PNG. </w:t>
      </w:r>
    </w:p>
    <w:p w14:paraId="4F0D58A8" w14:textId="3F93BF2D" w:rsidR="00301880" w:rsidRPr="00BA06DD" w:rsidRDefault="00301880" w:rsidP="00301880">
      <w:pPr>
        <w:pStyle w:val="BodyText"/>
        <w:rPr>
          <w:rFonts w:asciiTheme="minorHAnsi" w:hAnsiTheme="minorHAnsi"/>
          <w:b/>
          <w:bCs/>
          <w:color w:val="65C5B4" w:themeColor="accent2"/>
        </w:rPr>
      </w:pPr>
      <w:r w:rsidRPr="00BA06DD">
        <w:rPr>
          <w:rFonts w:asciiTheme="minorHAnsi" w:hAnsiTheme="minorHAnsi"/>
          <w:b/>
          <w:bCs/>
          <w:color w:val="65C5B4" w:themeColor="accent2"/>
        </w:rPr>
        <w:t>Key evaluation questions</w:t>
      </w:r>
    </w:p>
    <w:p w14:paraId="4E0F0E01" w14:textId="77777777" w:rsidR="00301880" w:rsidRPr="008E7129" w:rsidRDefault="00301880" w:rsidP="00301880">
      <w:pPr>
        <w:pStyle w:val="BodyText"/>
      </w:pPr>
      <w:r w:rsidRPr="008E7129">
        <w:t xml:space="preserve">The review was </w:t>
      </w:r>
      <w:r w:rsidRPr="003028CB">
        <w:t>undertaken</w:t>
      </w:r>
      <w:r w:rsidRPr="008E7129">
        <w:t xml:space="preserve"> to include consideration of the following questions:</w:t>
      </w:r>
    </w:p>
    <w:p w14:paraId="501ABA09" w14:textId="40D61AE4" w:rsidR="00735E43" w:rsidRPr="001D0884" w:rsidRDefault="00735E43" w:rsidP="00735E43">
      <w:pPr>
        <w:pStyle w:val="BodyText"/>
        <w:rPr>
          <w:lang w:val="en-US"/>
        </w:rPr>
      </w:pPr>
      <w:r w:rsidRPr="001D0884">
        <w:rPr>
          <w:b/>
          <w:lang w:val="en-US"/>
        </w:rPr>
        <w:t xml:space="preserve">Objective 1: Assessing current partnership arrangements. </w:t>
      </w:r>
      <w:r w:rsidRPr="001D0884">
        <w:rPr>
          <w:lang w:val="en-US"/>
        </w:rPr>
        <w:t>To examine the different types of transport sector partnerships and provide evidence on what partnerships have worked well and the reasons why.</w:t>
      </w:r>
    </w:p>
    <w:p w14:paraId="2C5FBAD8" w14:textId="77777777" w:rsidR="00735E43" w:rsidRPr="001D0884" w:rsidRDefault="00735E43" w:rsidP="00735E43">
      <w:pPr>
        <w:pStyle w:val="BodyBullet"/>
        <w:rPr>
          <w:lang w:val="en-US"/>
        </w:rPr>
      </w:pPr>
      <w:r w:rsidRPr="001D0884">
        <w:rPr>
          <w:rFonts w:cs="Arial"/>
          <w:lang w:val="en-US"/>
        </w:rPr>
        <w:t xml:space="preserve">KEQ 1: </w:t>
      </w:r>
      <w:r w:rsidRPr="001D0884">
        <w:rPr>
          <w:lang w:val="en-US"/>
        </w:rPr>
        <w:t>What current areas of the partnership are working well?</w:t>
      </w:r>
    </w:p>
    <w:p w14:paraId="6F8FC68F" w14:textId="77777777" w:rsidR="00735E43" w:rsidRPr="001D0884" w:rsidRDefault="00735E43" w:rsidP="00735E43">
      <w:pPr>
        <w:pStyle w:val="BodyBullet"/>
        <w:rPr>
          <w:lang w:val="en-US"/>
        </w:rPr>
      </w:pPr>
      <w:r w:rsidRPr="001D0884">
        <w:rPr>
          <w:lang w:val="en-US"/>
        </w:rPr>
        <w:t>KEQ 2: What current areas of the partnership can be improved?</w:t>
      </w:r>
    </w:p>
    <w:p w14:paraId="79C150D6" w14:textId="77777777" w:rsidR="00735E43" w:rsidRPr="001D0884" w:rsidRDefault="00735E43" w:rsidP="00735E43">
      <w:pPr>
        <w:pStyle w:val="BodyBullet"/>
        <w:rPr>
          <w:rFonts w:cs="Arial"/>
          <w:lang w:val="en-US"/>
        </w:rPr>
      </w:pPr>
      <w:r w:rsidRPr="001D0884">
        <w:rPr>
          <w:lang w:val="en-US"/>
        </w:rPr>
        <w:t>KEQ 3: How can the transport partnership be made more efficient and effective with some elements transferred from</w:t>
      </w:r>
      <w:r w:rsidRPr="001D0884">
        <w:rPr>
          <w:rFonts w:cs="Arial"/>
          <w:lang w:val="en-US"/>
        </w:rPr>
        <w:t xml:space="preserve"> the IPP to TSSP program?</w:t>
      </w:r>
    </w:p>
    <w:p w14:paraId="0847095F" w14:textId="77777777" w:rsidR="00735E43" w:rsidRPr="001D0884" w:rsidRDefault="00735E43" w:rsidP="00735E43">
      <w:pPr>
        <w:pStyle w:val="BodyText"/>
        <w:rPr>
          <w:lang w:val="en-US"/>
        </w:rPr>
      </w:pPr>
      <w:r w:rsidRPr="001D0884">
        <w:rPr>
          <w:b/>
          <w:lang w:val="en-US"/>
        </w:rPr>
        <w:t xml:space="preserve">Objective 2: Assessing current </w:t>
      </w:r>
      <w:r w:rsidRPr="7A4BC52A">
        <w:rPr>
          <w:b/>
          <w:bCs/>
          <w:lang w:val="en-US"/>
        </w:rPr>
        <w:t>partnership</w:t>
      </w:r>
      <w:r w:rsidRPr="001D0884">
        <w:rPr>
          <w:b/>
          <w:lang w:val="en-US"/>
        </w:rPr>
        <w:t xml:space="preserve"> program activities. </w:t>
      </w:r>
      <w:r w:rsidRPr="001D0884">
        <w:rPr>
          <w:lang w:val="en-US"/>
        </w:rPr>
        <w:t>To examine if the current partnerships are well resourced and how they can be better resourced into the future.</w:t>
      </w:r>
    </w:p>
    <w:p w14:paraId="283F3D15" w14:textId="77777777" w:rsidR="00735E43" w:rsidRPr="001D0884" w:rsidRDefault="00735E43" w:rsidP="00735E43">
      <w:pPr>
        <w:pStyle w:val="BodyBullet"/>
        <w:rPr>
          <w:lang w:val="en-US"/>
        </w:rPr>
      </w:pPr>
      <w:r w:rsidRPr="001D0884">
        <w:rPr>
          <w:rFonts w:cs="Arial"/>
          <w:lang w:val="en-US"/>
        </w:rPr>
        <w:t xml:space="preserve">KEQ 4: Are </w:t>
      </w:r>
      <w:r w:rsidRPr="001D0884">
        <w:rPr>
          <w:lang w:val="en-US"/>
        </w:rPr>
        <w:t>existing arrangements and activities well supported and appropriately resourced by Australian and PNG agencies?</w:t>
      </w:r>
    </w:p>
    <w:p w14:paraId="1D17119E" w14:textId="77777777" w:rsidR="00735E43" w:rsidRPr="001D0884" w:rsidRDefault="00735E43" w:rsidP="00735E43">
      <w:pPr>
        <w:pStyle w:val="BodyBullet"/>
        <w:rPr>
          <w:rFonts w:cs="Arial"/>
          <w:lang w:val="en-US"/>
        </w:rPr>
      </w:pPr>
      <w:r w:rsidRPr="001D0884">
        <w:rPr>
          <w:lang w:val="en-US"/>
        </w:rPr>
        <w:t>KEQ 5: Do existing partnership activities under the relevant programs have clearly defined outcomes, objectives, outputs</w:t>
      </w:r>
      <w:r w:rsidRPr="001D0884">
        <w:rPr>
          <w:rFonts w:cs="Arial"/>
          <w:lang w:val="en-US"/>
        </w:rPr>
        <w:t xml:space="preserve">? </w:t>
      </w:r>
    </w:p>
    <w:p w14:paraId="190B9CB6" w14:textId="77777777" w:rsidR="00735E43" w:rsidRPr="001D0884" w:rsidRDefault="00735E43" w:rsidP="00735E43">
      <w:pPr>
        <w:pStyle w:val="BodyText"/>
        <w:rPr>
          <w:lang w:val="en-US"/>
        </w:rPr>
      </w:pPr>
      <w:r w:rsidRPr="001D0884">
        <w:rPr>
          <w:b/>
          <w:lang w:val="en-US"/>
        </w:rPr>
        <w:t xml:space="preserve">Objective 3: </w:t>
      </w:r>
      <w:r>
        <w:rPr>
          <w:b/>
          <w:lang w:val="en-US"/>
        </w:rPr>
        <w:t>Considerations</w:t>
      </w:r>
      <w:r w:rsidRPr="001D0884">
        <w:rPr>
          <w:b/>
          <w:lang w:val="en-US"/>
        </w:rPr>
        <w:t xml:space="preserve"> for the future. </w:t>
      </w:r>
      <w:r w:rsidRPr="001D0884">
        <w:rPr>
          <w:lang w:val="en-US"/>
        </w:rPr>
        <w:t>This considers potential arrangements in which Australian and PNG transport agencies and other parties can appropriately support the transport partnership in areas they have the most impact.</w:t>
      </w:r>
    </w:p>
    <w:p w14:paraId="6D87C270" w14:textId="77777777" w:rsidR="00735E43" w:rsidRPr="001D0884" w:rsidRDefault="00735E43" w:rsidP="00735E43">
      <w:pPr>
        <w:pStyle w:val="BodyBullet"/>
        <w:rPr>
          <w:lang w:val="en-US"/>
        </w:rPr>
      </w:pPr>
      <w:r w:rsidRPr="001D0884">
        <w:rPr>
          <w:rFonts w:cs="Arial"/>
          <w:lang w:val="en-US"/>
        </w:rPr>
        <w:t>KEQ 6:</w:t>
      </w:r>
      <w:r>
        <w:rPr>
          <w:rFonts w:cs="Arial"/>
          <w:lang w:val="en-US"/>
        </w:rPr>
        <w:t xml:space="preserve"> </w:t>
      </w:r>
      <w:r w:rsidRPr="001D0884">
        <w:rPr>
          <w:rFonts w:cs="Arial"/>
          <w:lang w:val="en-US"/>
        </w:rPr>
        <w:t xml:space="preserve">How can </w:t>
      </w:r>
      <w:r w:rsidRPr="001D0884">
        <w:rPr>
          <w:lang w:val="en-US"/>
        </w:rPr>
        <w:t>the transport partnership be made more efficient and effective with some elements transferred from the IPP to TSSP program?</w:t>
      </w:r>
    </w:p>
    <w:p w14:paraId="0C3B381B" w14:textId="112C4F39" w:rsidR="00735E43" w:rsidRPr="001D0884" w:rsidRDefault="00735E43" w:rsidP="00735E43">
      <w:pPr>
        <w:pStyle w:val="BodyBullet"/>
        <w:rPr>
          <w:lang w:val="en-US"/>
        </w:rPr>
      </w:pPr>
      <w:r w:rsidRPr="001D0884">
        <w:rPr>
          <w:lang w:val="en-US"/>
        </w:rPr>
        <w:t>KEQ 7: What are the appropriate future roles for DFAT, DITRDC, Australian and PNG transport agencies and other parties in supporting the Australian-PNG Transport partnership</w:t>
      </w:r>
      <w:r w:rsidRPr="00D00FBC">
        <w:rPr>
          <w:rFonts w:cs="Arial"/>
          <w:bCs/>
          <w:lang w:val="en-US"/>
        </w:rPr>
        <w:t>?</w:t>
      </w:r>
      <w:r w:rsidRPr="001D0884">
        <w:rPr>
          <w:lang w:val="en-US"/>
        </w:rPr>
        <w:t xml:space="preserve"> a</w:t>
      </w:r>
    </w:p>
    <w:p w14:paraId="0DD0C74C" w14:textId="14D5A30C" w:rsidR="001C6B57" w:rsidRDefault="00735E43" w:rsidP="001C6B57">
      <w:pPr>
        <w:pStyle w:val="BodyBullet"/>
        <w:rPr>
          <w:rFonts w:cs="Arial"/>
          <w:lang w:val="en-US"/>
        </w:rPr>
      </w:pPr>
      <w:r w:rsidRPr="001D0884">
        <w:rPr>
          <w:lang w:val="en-US"/>
        </w:rPr>
        <w:t>KEQ 8: What priorities should be set for the partnership from 2022 having regard to available resources i.e., are there transport areas and</w:t>
      </w:r>
      <w:r w:rsidRPr="001D0884">
        <w:rPr>
          <w:rFonts w:cs="Arial"/>
          <w:lang w:val="en-US"/>
        </w:rPr>
        <w:t xml:space="preserve"> activities that should be given a higher or lower priority particularly with regard to the ongoing impacts of COVID-19</w:t>
      </w:r>
      <w:r w:rsidR="001C6B57">
        <w:rPr>
          <w:rFonts w:cs="Arial"/>
          <w:lang w:val="en-US"/>
        </w:rPr>
        <w:t xml:space="preserve"> and PNG’s broader economic recovery</w:t>
      </w:r>
      <w:r w:rsidR="001C6B57" w:rsidRPr="001D0884">
        <w:rPr>
          <w:rFonts w:cs="Arial"/>
          <w:lang w:val="en-US"/>
        </w:rPr>
        <w:t>?</w:t>
      </w:r>
    </w:p>
    <w:p w14:paraId="56E40932" w14:textId="1D7A708C" w:rsidR="00735E43" w:rsidRDefault="00735E43" w:rsidP="00735E43">
      <w:pPr>
        <w:pStyle w:val="BodyBullet"/>
        <w:rPr>
          <w:rFonts w:cs="Arial"/>
          <w:lang w:val="en-US"/>
        </w:rPr>
      </w:pPr>
      <w:r w:rsidRPr="001D0884">
        <w:rPr>
          <w:rFonts w:cs="Arial"/>
          <w:lang w:val="en-US"/>
        </w:rPr>
        <w:t>?</w:t>
      </w:r>
    </w:p>
    <w:p w14:paraId="3B330897" w14:textId="77777777" w:rsidR="00301880" w:rsidRPr="00BA06DD" w:rsidRDefault="00301880" w:rsidP="00301880">
      <w:pPr>
        <w:pStyle w:val="BodyText"/>
        <w:rPr>
          <w:rFonts w:asciiTheme="minorHAnsi" w:hAnsiTheme="minorHAnsi"/>
          <w:b/>
          <w:bCs/>
          <w:color w:val="65C5B4" w:themeColor="accent2"/>
        </w:rPr>
      </w:pPr>
      <w:r w:rsidRPr="00BA06DD">
        <w:rPr>
          <w:rFonts w:asciiTheme="minorHAnsi" w:hAnsiTheme="minorHAnsi"/>
          <w:b/>
          <w:bCs/>
          <w:color w:val="65C5B4" w:themeColor="accent2"/>
        </w:rPr>
        <w:t xml:space="preserve">Methods and approach </w:t>
      </w:r>
    </w:p>
    <w:p w14:paraId="2FDD63F8" w14:textId="77777777" w:rsidR="00301880" w:rsidRPr="008C37AF" w:rsidRDefault="00301880" w:rsidP="00301880">
      <w:pPr>
        <w:pStyle w:val="BodyText"/>
      </w:pPr>
      <w:r w:rsidRPr="008C37AF">
        <w:rPr>
          <w:lang w:eastAsia="en-AU"/>
        </w:rPr>
        <w:t>The Review adopted utilisation-focussed and mixed-methods approaches that combine qualitative and quantitative evaluation techniques and data collection methods where appropriate, available, and relevant, taking a sequential multi-phase approach.</w:t>
      </w:r>
      <w:r>
        <w:t xml:space="preserve"> </w:t>
      </w:r>
    </w:p>
    <w:p w14:paraId="4BFF7CC6" w14:textId="17C47624" w:rsidR="00301880" w:rsidRDefault="00301880" w:rsidP="00301880">
      <w:pPr>
        <w:pStyle w:val="BodyText"/>
      </w:pPr>
      <w:r w:rsidRPr="00BA06DD">
        <w:t>The review process included</w:t>
      </w:r>
      <w:r w:rsidR="00211890">
        <w:t xml:space="preserve"> the following</w:t>
      </w:r>
      <w:r w:rsidRPr="00BA06DD">
        <w:t>:</w:t>
      </w:r>
    </w:p>
    <w:tbl>
      <w:tblPr>
        <w:tblStyle w:val="CoffeyGrey1"/>
        <w:tblW w:w="9479" w:type="dxa"/>
        <w:tblLook w:val="00A0" w:firstRow="1" w:lastRow="0" w:firstColumn="1" w:lastColumn="0" w:noHBand="0" w:noVBand="0"/>
      </w:tblPr>
      <w:tblGrid>
        <w:gridCol w:w="1400"/>
        <w:gridCol w:w="2693"/>
        <w:gridCol w:w="5386"/>
      </w:tblGrid>
      <w:tr w:rsidR="00211890" w:rsidRPr="00211890" w14:paraId="3F91D684" w14:textId="77777777" w:rsidTr="00211890">
        <w:trPr>
          <w:cnfStyle w:val="100000000000" w:firstRow="1" w:lastRow="0" w:firstColumn="0" w:lastColumn="0" w:oddVBand="0" w:evenVBand="0" w:oddHBand="0" w:evenHBand="0" w:firstRowFirstColumn="0" w:firstRowLastColumn="0" w:lastRowFirstColumn="0" w:lastRowLastColumn="0"/>
          <w:trHeight w:val="429"/>
          <w:tblHeader/>
        </w:trPr>
        <w:tc>
          <w:tcPr>
            <w:cnfStyle w:val="001000000000" w:firstRow="0" w:lastRow="0" w:firstColumn="1" w:lastColumn="0" w:oddVBand="0" w:evenVBand="0" w:oddHBand="0" w:evenHBand="0" w:firstRowFirstColumn="0" w:firstRowLastColumn="0" w:lastRowFirstColumn="0" w:lastRowLastColumn="0"/>
            <w:tcW w:w="1400" w:type="dxa"/>
            <w:tcBorders>
              <w:bottom w:val="nil"/>
            </w:tcBorders>
            <w:shd w:val="clear" w:color="auto" w:fill="007C89"/>
          </w:tcPr>
          <w:p w14:paraId="5F2D7DD7" w14:textId="77777777" w:rsidR="00211890" w:rsidRPr="00211890" w:rsidRDefault="00211890" w:rsidP="00211890">
            <w:pPr>
              <w:spacing w:before="60" w:after="60"/>
              <w:ind w:left="37"/>
              <w:contextualSpacing/>
              <w:jc w:val="left"/>
              <w:rPr>
                <w:rFonts w:asciiTheme="majorHAnsi" w:eastAsia="Times New Roman" w:hAnsiTheme="majorHAnsi" w:cstheme="majorHAnsi"/>
                <w:color w:val="FFFFFF" w:themeColor="background1"/>
                <w:sz w:val="18"/>
                <w:szCs w:val="18"/>
                <w:lang w:val="en-NZ" w:eastAsia="en-AU"/>
              </w:rPr>
            </w:pPr>
            <w:r w:rsidRPr="00211890">
              <w:rPr>
                <w:rFonts w:asciiTheme="majorHAnsi" w:eastAsia="Times New Roman" w:hAnsiTheme="majorHAnsi" w:cstheme="majorHAnsi"/>
                <w:color w:val="FFFFFF" w:themeColor="background1"/>
                <w:sz w:val="18"/>
                <w:szCs w:val="18"/>
                <w:lang w:val="en-NZ" w:eastAsia="en-AU"/>
              </w:rPr>
              <w:t>Objectives</w:t>
            </w:r>
          </w:p>
        </w:tc>
        <w:tc>
          <w:tcPr>
            <w:tcW w:w="8079" w:type="dxa"/>
            <w:gridSpan w:val="2"/>
            <w:tcBorders>
              <w:bottom w:val="nil"/>
            </w:tcBorders>
            <w:shd w:val="clear" w:color="auto" w:fill="007C89"/>
          </w:tcPr>
          <w:p w14:paraId="6F4184D5" w14:textId="77777777" w:rsidR="00211890" w:rsidRPr="00211890" w:rsidRDefault="00211890" w:rsidP="00ED325B">
            <w:pPr>
              <w:spacing w:before="60" w:after="60"/>
              <w:ind w:left="37"/>
              <w:contextual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18"/>
                <w:szCs w:val="18"/>
                <w:lang w:val="en-NZ" w:eastAsia="en-AU"/>
              </w:rPr>
            </w:pPr>
            <w:r w:rsidRPr="00211890">
              <w:rPr>
                <w:rFonts w:asciiTheme="majorHAnsi" w:eastAsia="Times New Roman" w:hAnsiTheme="majorHAnsi" w:cstheme="majorHAnsi"/>
                <w:color w:val="FFFFFF" w:themeColor="background1"/>
                <w:sz w:val="18"/>
                <w:szCs w:val="18"/>
                <w:lang w:val="en-NZ" w:eastAsia="en-AU"/>
              </w:rPr>
              <w:t xml:space="preserve">Methods and tools </w:t>
            </w:r>
          </w:p>
        </w:tc>
      </w:tr>
      <w:tr w:rsidR="00211890" w:rsidRPr="00211890" w14:paraId="5577952E" w14:textId="77777777" w:rsidTr="00211890">
        <w:trPr>
          <w:trHeight w:val="50"/>
        </w:trPr>
        <w:tc>
          <w:tcPr>
            <w:cnfStyle w:val="001000000000" w:firstRow="0" w:lastRow="0" w:firstColumn="1" w:lastColumn="0" w:oddVBand="0" w:evenVBand="0" w:oddHBand="0" w:evenHBand="0" w:firstRowFirstColumn="0" w:firstRowLastColumn="0" w:lastRowFirstColumn="0" w:lastRowLastColumn="0"/>
            <w:tcW w:w="1400" w:type="dxa"/>
            <w:tcBorders>
              <w:top w:val="nil"/>
              <w:bottom w:val="single" w:sz="4" w:space="0" w:color="007C89"/>
            </w:tcBorders>
          </w:tcPr>
          <w:p w14:paraId="0B56CCD6" w14:textId="77777777" w:rsidR="00211890" w:rsidRPr="00211890" w:rsidRDefault="00211890" w:rsidP="00211890">
            <w:pPr>
              <w:jc w:val="left"/>
              <w:rPr>
                <w:rFonts w:asciiTheme="majorHAnsi" w:eastAsia="Times New Roman" w:hAnsiTheme="majorHAnsi" w:cstheme="majorHAnsi"/>
                <w:b w:val="0"/>
                <w:color w:val="262626"/>
                <w:sz w:val="18"/>
                <w:szCs w:val="18"/>
                <w:lang w:val="en-NZ" w:eastAsia="en-AU"/>
              </w:rPr>
            </w:pPr>
            <w:r w:rsidRPr="00211890">
              <w:rPr>
                <w:rFonts w:asciiTheme="majorHAnsi" w:eastAsia="Times New Roman" w:hAnsiTheme="majorHAnsi" w:cstheme="majorHAnsi"/>
                <w:color w:val="262626"/>
                <w:sz w:val="18"/>
                <w:szCs w:val="18"/>
                <w:lang w:val="en-NZ" w:eastAsia="en-AU"/>
              </w:rPr>
              <w:t xml:space="preserve">1: Inception and scoping </w:t>
            </w:r>
          </w:p>
        </w:tc>
        <w:tc>
          <w:tcPr>
            <w:tcW w:w="2693" w:type="dxa"/>
            <w:tcBorders>
              <w:top w:val="nil"/>
              <w:bottom w:val="single" w:sz="4" w:space="0" w:color="007C89"/>
            </w:tcBorders>
          </w:tcPr>
          <w:p w14:paraId="1BFCECC2" w14:textId="74D0CE62" w:rsidR="00211890" w:rsidRPr="00211890" w:rsidRDefault="00211890" w:rsidP="00211890">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n-NZ" w:eastAsia="en-AU"/>
              </w:rPr>
            </w:pPr>
            <w:r w:rsidRPr="00211890">
              <w:rPr>
                <w:rFonts w:asciiTheme="majorHAnsi" w:eastAsia="Times New Roman" w:hAnsiTheme="majorHAnsi" w:cstheme="majorHAnsi"/>
                <w:color w:val="000000"/>
                <w:sz w:val="18"/>
                <w:szCs w:val="18"/>
                <w:lang w:val="en-NZ" w:eastAsia="en-AU"/>
              </w:rPr>
              <w:t>Develop</w:t>
            </w:r>
            <w:r w:rsidR="00E07DD0">
              <w:rPr>
                <w:rFonts w:asciiTheme="majorHAnsi" w:eastAsia="Times New Roman" w:hAnsiTheme="majorHAnsi" w:cstheme="majorHAnsi"/>
                <w:color w:val="000000"/>
                <w:sz w:val="18"/>
                <w:szCs w:val="18"/>
                <w:lang w:val="en-NZ" w:eastAsia="en-AU"/>
              </w:rPr>
              <w:t>ed</w:t>
            </w:r>
            <w:r w:rsidRPr="00211890">
              <w:rPr>
                <w:rFonts w:asciiTheme="majorHAnsi" w:eastAsia="Times New Roman" w:hAnsiTheme="majorHAnsi" w:cstheme="majorHAnsi"/>
                <w:color w:val="000000"/>
                <w:sz w:val="18"/>
                <w:szCs w:val="18"/>
                <w:lang w:val="en-NZ" w:eastAsia="en-AU"/>
              </w:rPr>
              <w:t xml:space="preserve"> a methodological design and analytical framework, identify data sources and data collection methods, and map out the diverse stakeholders to be interviewed </w:t>
            </w:r>
          </w:p>
        </w:tc>
        <w:tc>
          <w:tcPr>
            <w:tcW w:w="5386" w:type="dxa"/>
            <w:tcBorders>
              <w:top w:val="nil"/>
              <w:bottom w:val="single" w:sz="4" w:space="0" w:color="007C89"/>
            </w:tcBorders>
          </w:tcPr>
          <w:p w14:paraId="51139F19" w14:textId="77777777" w:rsidR="00211890" w:rsidRPr="00211890" w:rsidRDefault="00211890" w:rsidP="00211890">
            <w:pPr>
              <w:numPr>
                <w:ilvl w:val="0"/>
                <w:numId w:val="26"/>
              </w:numPr>
              <w:tabs>
                <w:tab w:val="num" w:pos="321"/>
              </w:tabs>
              <w:autoSpaceDE/>
              <w:autoSpaceDN/>
              <w:adjustRightInd/>
              <w:spacing w:before="0" w:after="0" w:line="276" w:lineRule="auto"/>
              <w:ind w:left="321" w:hanging="283"/>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n-NZ" w:eastAsia="en-AU"/>
              </w:rPr>
            </w:pPr>
            <w:r w:rsidRPr="00211890">
              <w:rPr>
                <w:rFonts w:asciiTheme="majorHAnsi" w:eastAsia="Times New Roman" w:hAnsiTheme="majorHAnsi" w:cstheme="majorHAnsi"/>
                <w:color w:val="000000"/>
                <w:sz w:val="18"/>
                <w:szCs w:val="18"/>
                <w:lang w:val="en-NZ" w:eastAsia="en-AU"/>
              </w:rPr>
              <w:t xml:space="preserve">Interviews with DFAT and other stakeholders to understand expectations and identify areas of interest for the review </w:t>
            </w:r>
          </w:p>
          <w:p w14:paraId="78CB6D00" w14:textId="77777777" w:rsidR="00211890" w:rsidRPr="00211890" w:rsidRDefault="00211890" w:rsidP="00211890">
            <w:pPr>
              <w:numPr>
                <w:ilvl w:val="0"/>
                <w:numId w:val="26"/>
              </w:numPr>
              <w:tabs>
                <w:tab w:val="num" w:pos="321"/>
              </w:tabs>
              <w:autoSpaceDE/>
              <w:autoSpaceDN/>
              <w:adjustRightInd/>
              <w:spacing w:before="0" w:after="0" w:line="276" w:lineRule="auto"/>
              <w:ind w:left="321" w:hanging="283"/>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n-NZ" w:eastAsia="en-AU"/>
              </w:rPr>
            </w:pPr>
            <w:r w:rsidRPr="00211890">
              <w:rPr>
                <w:rFonts w:asciiTheme="majorHAnsi" w:eastAsia="Times New Roman" w:hAnsiTheme="majorHAnsi" w:cstheme="majorHAnsi"/>
                <w:color w:val="000000"/>
                <w:sz w:val="18"/>
                <w:szCs w:val="18"/>
                <w:lang w:val="en-NZ" w:eastAsia="en-AU"/>
              </w:rPr>
              <w:t>Key document review</w:t>
            </w:r>
          </w:p>
          <w:p w14:paraId="2F21A0EC" w14:textId="77777777" w:rsidR="00211890" w:rsidRPr="00211890" w:rsidRDefault="00211890" w:rsidP="00211890">
            <w:pPr>
              <w:numPr>
                <w:ilvl w:val="0"/>
                <w:numId w:val="26"/>
              </w:numPr>
              <w:tabs>
                <w:tab w:val="num" w:pos="321"/>
              </w:tabs>
              <w:autoSpaceDE/>
              <w:autoSpaceDN/>
              <w:adjustRightInd/>
              <w:spacing w:before="0" w:after="0" w:line="276" w:lineRule="auto"/>
              <w:ind w:left="321" w:hanging="283"/>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n-NZ" w:eastAsia="en-AU"/>
              </w:rPr>
            </w:pPr>
            <w:r w:rsidRPr="00211890">
              <w:rPr>
                <w:rFonts w:asciiTheme="majorHAnsi" w:eastAsia="Times New Roman" w:hAnsiTheme="majorHAnsi" w:cstheme="majorHAnsi"/>
                <w:color w:val="000000"/>
                <w:sz w:val="18"/>
                <w:szCs w:val="18"/>
                <w:lang w:val="en-NZ" w:eastAsia="en-AU"/>
              </w:rPr>
              <w:t>Stakeholder mapping and plan</w:t>
            </w:r>
          </w:p>
          <w:p w14:paraId="38274464" w14:textId="77777777" w:rsidR="00211890" w:rsidRPr="00211890" w:rsidRDefault="00211890" w:rsidP="00211890">
            <w:pPr>
              <w:numPr>
                <w:ilvl w:val="0"/>
                <w:numId w:val="26"/>
              </w:numPr>
              <w:tabs>
                <w:tab w:val="num" w:pos="321"/>
              </w:tabs>
              <w:autoSpaceDE/>
              <w:autoSpaceDN/>
              <w:adjustRightInd/>
              <w:spacing w:before="0" w:after="0" w:line="276" w:lineRule="auto"/>
              <w:ind w:left="321" w:hanging="283"/>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n-NZ" w:eastAsia="en-AU"/>
              </w:rPr>
            </w:pPr>
            <w:r w:rsidRPr="00211890">
              <w:rPr>
                <w:rFonts w:asciiTheme="majorHAnsi" w:eastAsia="Times New Roman" w:hAnsiTheme="majorHAnsi" w:cstheme="majorHAnsi"/>
                <w:color w:val="000000"/>
                <w:sz w:val="18"/>
                <w:szCs w:val="18"/>
                <w:lang w:val="en-NZ" w:eastAsia="en-AU"/>
              </w:rPr>
              <w:t xml:space="preserve">Agree on review criteria  </w:t>
            </w:r>
          </w:p>
        </w:tc>
      </w:tr>
      <w:tr w:rsidR="00211890" w:rsidRPr="00211890" w14:paraId="562E63D5" w14:textId="77777777" w:rsidTr="00211890">
        <w:tc>
          <w:tcPr>
            <w:cnfStyle w:val="001000000000" w:firstRow="0" w:lastRow="0" w:firstColumn="1" w:lastColumn="0" w:oddVBand="0" w:evenVBand="0" w:oddHBand="0" w:evenHBand="0" w:firstRowFirstColumn="0" w:firstRowLastColumn="0" w:lastRowFirstColumn="0" w:lastRowLastColumn="0"/>
            <w:tcW w:w="1400" w:type="dxa"/>
            <w:tcBorders>
              <w:top w:val="single" w:sz="4" w:space="0" w:color="007C89"/>
              <w:bottom w:val="single" w:sz="4" w:space="0" w:color="007C89"/>
            </w:tcBorders>
          </w:tcPr>
          <w:p w14:paraId="7135958F" w14:textId="77777777" w:rsidR="00211890" w:rsidRPr="00211890" w:rsidRDefault="00211890" w:rsidP="00211890">
            <w:pPr>
              <w:jc w:val="left"/>
              <w:rPr>
                <w:rFonts w:asciiTheme="majorHAnsi" w:eastAsia="Times New Roman" w:hAnsiTheme="majorHAnsi" w:cstheme="majorHAnsi"/>
                <w:b w:val="0"/>
                <w:color w:val="262626"/>
                <w:sz w:val="18"/>
                <w:szCs w:val="18"/>
                <w:lang w:val="en-NZ" w:eastAsia="en-AU"/>
              </w:rPr>
            </w:pPr>
            <w:r w:rsidRPr="00211890">
              <w:rPr>
                <w:rFonts w:asciiTheme="majorHAnsi" w:eastAsia="Times New Roman" w:hAnsiTheme="majorHAnsi" w:cstheme="majorHAnsi"/>
                <w:color w:val="262626"/>
                <w:sz w:val="18"/>
                <w:szCs w:val="18"/>
                <w:lang w:val="en-NZ" w:eastAsia="en-AU"/>
              </w:rPr>
              <w:lastRenderedPageBreak/>
              <w:t>2: Desktop review</w:t>
            </w:r>
          </w:p>
        </w:tc>
        <w:tc>
          <w:tcPr>
            <w:tcW w:w="2693" w:type="dxa"/>
            <w:tcBorders>
              <w:top w:val="single" w:sz="4" w:space="0" w:color="007C89"/>
              <w:bottom w:val="single" w:sz="4" w:space="0" w:color="007C89"/>
            </w:tcBorders>
          </w:tcPr>
          <w:p w14:paraId="2FB7943F" w14:textId="4DEAE0EC" w:rsidR="00211890" w:rsidRPr="00211890" w:rsidRDefault="00211890" w:rsidP="00211890">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62626"/>
                <w:sz w:val="18"/>
                <w:szCs w:val="18"/>
                <w:lang w:eastAsia="en-AU"/>
              </w:rPr>
            </w:pPr>
            <w:r w:rsidRPr="00211890">
              <w:rPr>
                <w:rFonts w:asciiTheme="majorHAnsi" w:hAnsiTheme="majorHAnsi" w:cstheme="majorHAnsi"/>
                <w:color w:val="262626"/>
                <w:sz w:val="18"/>
                <w:szCs w:val="18"/>
                <w:lang w:eastAsia="en-AU"/>
              </w:rPr>
              <w:t>Undert</w:t>
            </w:r>
            <w:r w:rsidR="00E07DD0">
              <w:rPr>
                <w:rFonts w:asciiTheme="majorHAnsi" w:hAnsiTheme="majorHAnsi" w:cstheme="majorHAnsi"/>
                <w:color w:val="262626"/>
                <w:sz w:val="18"/>
                <w:szCs w:val="18"/>
                <w:lang w:eastAsia="en-AU"/>
              </w:rPr>
              <w:t>ook</w:t>
            </w:r>
            <w:r w:rsidRPr="00211890">
              <w:rPr>
                <w:rFonts w:asciiTheme="majorHAnsi" w:hAnsiTheme="majorHAnsi" w:cstheme="majorHAnsi"/>
                <w:color w:val="262626"/>
                <w:sz w:val="18"/>
                <w:szCs w:val="18"/>
                <w:lang w:eastAsia="en-AU"/>
              </w:rPr>
              <w:t xml:space="preserve"> a literature scan and present</w:t>
            </w:r>
            <w:r w:rsidR="00E07DD0">
              <w:rPr>
                <w:rFonts w:asciiTheme="majorHAnsi" w:hAnsiTheme="majorHAnsi" w:cstheme="majorHAnsi"/>
                <w:color w:val="262626"/>
                <w:sz w:val="18"/>
                <w:szCs w:val="18"/>
                <w:lang w:eastAsia="en-AU"/>
              </w:rPr>
              <w:t>ed</w:t>
            </w:r>
            <w:r w:rsidRPr="00211890">
              <w:rPr>
                <w:rFonts w:asciiTheme="majorHAnsi" w:hAnsiTheme="majorHAnsi" w:cstheme="majorHAnsi"/>
                <w:color w:val="262626"/>
                <w:sz w:val="18"/>
                <w:szCs w:val="18"/>
                <w:lang w:eastAsia="en-AU"/>
              </w:rPr>
              <w:t xml:space="preserve"> a brief snapshot of the transport sector in PNG, as well as explore</w:t>
            </w:r>
            <w:r w:rsidR="00E07DD0">
              <w:rPr>
                <w:rFonts w:asciiTheme="majorHAnsi" w:hAnsiTheme="majorHAnsi" w:cstheme="majorHAnsi"/>
                <w:color w:val="262626"/>
                <w:sz w:val="18"/>
                <w:szCs w:val="18"/>
                <w:lang w:eastAsia="en-AU"/>
              </w:rPr>
              <w:t>d</w:t>
            </w:r>
            <w:r w:rsidRPr="00211890">
              <w:rPr>
                <w:rFonts w:asciiTheme="majorHAnsi" w:hAnsiTheme="majorHAnsi" w:cstheme="majorHAnsi"/>
                <w:color w:val="262626"/>
                <w:sz w:val="18"/>
                <w:szCs w:val="18"/>
                <w:lang w:eastAsia="en-AU"/>
              </w:rPr>
              <w:t xml:space="preserve"> data gaps and where primary data collection should focus</w:t>
            </w:r>
          </w:p>
        </w:tc>
        <w:tc>
          <w:tcPr>
            <w:tcW w:w="5386" w:type="dxa"/>
            <w:tcBorders>
              <w:top w:val="single" w:sz="4" w:space="0" w:color="007C89"/>
              <w:bottom w:val="single" w:sz="4" w:space="0" w:color="007C89"/>
            </w:tcBorders>
          </w:tcPr>
          <w:p w14:paraId="30BF141F" w14:textId="77777777" w:rsidR="00211890" w:rsidRPr="00211890" w:rsidRDefault="00211890" w:rsidP="00211890">
            <w:pPr>
              <w:numPr>
                <w:ilvl w:val="0"/>
                <w:numId w:val="26"/>
              </w:numPr>
              <w:tabs>
                <w:tab w:val="num" w:pos="321"/>
              </w:tabs>
              <w:autoSpaceDE/>
              <w:autoSpaceDN/>
              <w:adjustRightInd/>
              <w:spacing w:before="0" w:after="0" w:line="276" w:lineRule="auto"/>
              <w:ind w:left="321" w:hanging="28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62626"/>
                <w:sz w:val="18"/>
                <w:szCs w:val="18"/>
                <w:lang w:eastAsia="en-AU"/>
              </w:rPr>
            </w:pPr>
            <w:r w:rsidRPr="00211890">
              <w:rPr>
                <w:rFonts w:asciiTheme="majorHAnsi" w:hAnsiTheme="majorHAnsi" w:cstheme="majorHAnsi"/>
                <w:color w:val="262626"/>
                <w:sz w:val="18"/>
                <w:szCs w:val="18"/>
                <w:lang w:eastAsia="en-AU"/>
              </w:rPr>
              <w:t xml:space="preserve">Review DFAT’s strategic-related documentation, program documentation and activity reporting to conduct an initial analysis on TSSP2 and the Partnership has performed in line with the review objectives </w:t>
            </w:r>
          </w:p>
          <w:p w14:paraId="4C4A370A" w14:textId="0BE31E79" w:rsidR="00211890" w:rsidRPr="00893E7A" w:rsidRDefault="00893E7A" w:rsidP="00893E7A">
            <w:pPr>
              <w:numPr>
                <w:ilvl w:val="0"/>
                <w:numId w:val="26"/>
              </w:numPr>
              <w:tabs>
                <w:tab w:val="num" w:pos="321"/>
              </w:tabs>
              <w:autoSpaceDE/>
              <w:autoSpaceDN/>
              <w:adjustRightInd/>
              <w:spacing w:before="0" w:after="0" w:line="276" w:lineRule="auto"/>
              <w:ind w:left="321" w:hanging="28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62626"/>
                <w:sz w:val="18"/>
                <w:szCs w:val="18"/>
                <w:lang w:eastAsia="en-AU"/>
              </w:rPr>
            </w:pPr>
            <w:r>
              <w:rPr>
                <w:rFonts w:asciiTheme="majorHAnsi" w:hAnsiTheme="majorHAnsi" w:cstheme="majorHAnsi"/>
                <w:color w:val="262626"/>
                <w:sz w:val="18"/>
                <w:szCs w:val="18"/>
                <w:lang w:eastAsia="en-AU"/>
              </w:rPr>
              <w:t xml:space="preserve">The Partnerships programme documentation literature scan </w:t>
            </w:r>
          </w:p>
        </w:tc>
      </w:tr>
      <w:tr w:rsidR="00211890" w:rsidRPr="00211890" w14:paraId="68DB2937" w14:textId="77777777" w:rsidTr="00211890">
        <w:trPr>
          <w:cantSplit/>
        </w:trPr>
        <w:tc>
          <w:tcPr>
            <w:cnfStyle w:val="001000000000" w:firstRow="0" w:lastRow="0" w:firstColumn="1" w:lastColumn="0" w:oddVBand="0" w:evenVBand="0" w:oddHBand="0" w:evenHBand="0" w:firstRowFirstColumn="0" w:firstRowLastColumn="0" w:lastRowFirstColumn="0" w:lastRowLastColumn="0"/>
            <w:tcW w:w="1400" w:type="dxa"/>
            <w:tcBorders>
              <w:top w:val="single" w:sz="4" w:space="0" w:color="007C89"/>
              <w:bottom w:val="single" w:sz="4" w:space="0" w:color="007C89"/>
            </w:tcBorders>
          </w:tcPr>
          <w:p w14:paraId="663C0076" w14:textId="77777777" w:rsidR="00211890" w:rsidRPr="00211890" w:rsidRDefault="00211890" w:rsidP="00211890">
            <w:pPr>
              <w:jc w:val="left"/>
              <w:rPr>
                <w:rFonts w:asciiTheme="majorHAnsi" w:eastAsia="Times New Roman" w:hAnsiTheme="majorHAnsi" w:cstheme="majorHAnsi"/>
                <w:b w:val="0"/>
                <w:color w:val="262626"/>
                <w:sz w:val="18"/>
                <w:szCs w:val="18"/>
                <w:lang w:val="en-NZ" w:eastAsia="en-AU"/>
              </w:rPr>
            </w:pPr>
            <w:r w:rsidRPr="00211890">
              <w:rPr>
                <w:rFonts w:asciiTheme="majorHAnsi" w:eastAsia="Times New Roman" w:hAnsiTheme="majorHAnsi" w:cstheme="majorHAnsi"/>
                <w:color w:val="262626"/>
                <w:sz w:val="18"/>
                <w:szCs w:val="18"/>
                <w:lang w:val="en-NZ" w:eastAsia="en-AU"/>
              </w:rPr>
              <w:t xml:space="preserve">3: Key stakeholders’ interviews </w:t>
            </w:r>
          </w:p>
        </w:tc>
        <w:tc>
          <w:tcPr>
            <w:tcW w:w="2693" w:type="dxa"/>
            <w:tcBorders>
              <w:top w:val="single" w:sz="4" w:space="0" w:color="007C89"/>
              <w:bottom w:val="single" w:sz="4" w:space="0" w:color="007C89"/>
            </w:tcBorders>
          </w:tcPr>
          <w:p w14:paraId="26EAA388" w14:textId="383DB7D0" w:rsidR="00211890" w:rsidRPr="00211890" w:rsidRDefault="00211890" w:rsidP="00211890">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62626"/>
                <w:sz w:val="18"/>
                <w:szCs w:val="18"/>
                <w:lang w:eastAsia="en-AU"/>
              </w:rPr>
            </w:pPr>
            <w:r w:rsidRPr="00211890">
              <w:rPr>
                <w:rFonts w:asciiTheme="majorHAnsi" w:hAnsiTheme="majorHAnsi" w:cstheme="majorHAnsi"/>
                <w:color w:val="262626"/>
                <w:sz w:val="18"/>
                <w:szCs w:val="18"/>
                <w:lang w:eastAsia="en-AU"/>
              </w:rPr>
              <w:t>Undert</w:t>
            </w:r>
            <w:r w:rsidR="00E07DD0">
              <w:rPr>
                <w:rFonts w:asciiTheme="majorHAnsi" w:hAnsiTheme="majorHAnsi" w:cstheme="majorHAnsi"/>
                <w:color w:val="262626"/>
                <w:sz w:val="18"/>
                <w:szCs w:val="18"/>
                <w:lang w:eastAsia="en-AU"/>
              </w:rPr>
              <w:t>oo</w:t>
            </w:r>
            <w:r w:rsidRPr="00211890">
              <w:rPr>
                <w:rFonts w:asciiTheme="majorHAnsi" w:hAnsiTheme="majorHAnsi" w:cstheme="majorHAnsi"/>
                <w:color w:val="262626"/>
                <w:sz w:val="18"/>
                <w:szCs w:val="18"/>
                <w:lang w:eastAsia="en-AU"/>
              </w:rPr>
              <w:t xml:space="preserve">k primary data </w:t>
            </w:r>
            <w:r w:rsidRPr="00211890">
              <w:rPr>
                <w:rFonts w:asciiTheme="majorHAnsi" w:eastAsia="Times New Roman" w:hAnsiTheme="majorHAnsi" w:cstheme="majorHAnsi"/>
                <w:color w:val="000000"/>
                <w:sz w:val="18"/>
                <w:szCs w:val="18"/>
                <w:lang w:val="en-NZ" w:eastAsia="en-AU"/>
              </w:rPr>
              <w:t>collection</w:t>
            </w:r>
            <w:r w:rsidRPr="00211890">
              <w:rPr>
                <w:rFonts w:asciiTheme="majorHAnsi" w:hAnsiTheme="majorHAnsi" w:cstheme="majorHAnsi"/>
                <w:color w:val="262626"/>
                <w:sz w:val="18"/>
                <w:szCs w:val="18"/>
                <w:lang w:eastAsia="en-AU"/>
              </w:rPr>
              <w:t>, and present</w:t>
            </w:r>
            <w:r w:rsidR="00E07DD0">
              <w:rPr>
                <w:rFonts w:asciiTheme="majorHAnsi" w:hAnsiTheme="majorHAnsi" w:cstheme="majorHAnsi"/>
                <w:color w:val="262626"/>
                <w:sz w:val="18"/>
                <w:szCs w:val="18"/>
                <w:lang w:eastAsia="en-AU"/>
              </w:rPr>
              <w:t>ed</w:t>
            </w:r>
            <w:r w:rsidRPr="00211890">
              <w:rPr>
                <w:rFonts w:asciiTheme="majorHAnsi" w:hAnsiTheme="majorHAnsi" w:cstheme="majorHAnsi"/>
                <w:color w:val="262626"/>
                <w:sz w:val="18"/>
                <w:szCs w:val="18"/>
                <w:lang w:eastAsia="en-AU"/>
              </w:rPr>
              <w:t xml:space="preserve"> preliminary findings and considerations on what the TSSP and the Partnership should focus on moving forward</w:t>
            </w:r>
          </w:p>
        </w:tc>
        <w:tc>
          <w:tcPr>
            <w:tcW w:w="5386" w:type="dxa"/>
            <w:tcBorders>
              <w:top w:val="single" w:sz="4" w:space="0" w:color="007C89"/>
              <w:bottom w:val="single" w:sz="4" w:space="0" w:color="007C89"/>
            </w:tcBorders>
          </w:tcPr>
          <w:p w14:paraId="12906B21" w14:textId="77777777" w:rsidR="00211890" w:rsidRPr="00211890" w:rsidRDefault="00211890" w:rsidP="00211890">
            <w:pPr>
              <w:numPr>
                <w:ilvl w:val="0"/>
                <w:numId w:val="26"/>
              </w:numPr>
              <w:tabs>
                <w:tab w:val="num" w:pos="321"/>
              </w:tabs>
              <w:autoSpaceDE/>
              <w:autoSpaceDN/>
              <w:adjustRightInd/>
              <w:spacing w:before="0" w:after="0" w:line="276" w:lineRule="auto"/>
              <w:ind w:left="323" w:hanging="28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62626"/>
                <w:sz w:val="18"/>
                <w:szCs w:val="18"/>
                <w:lang w:eastAsia="en-AU"/>
              </w:rPr>
            </w:pPr>
            <w:r w:rsidRPr="00211890">
              <w:rPr>
                <w:rFonts w:asciiTheme="majorHAnsi" w:hAnsiTheme="majorHAnsi" w:cstheme="majorHAnsi"/>
                <w:color w:val="262626"/>
                <w:sz w:val="18"/>
                <w:szCs w:val="18"/>
                <w:lang w:eastAsia="en-AU"/>
              </w:rPr>
              <w:t>Interviews with DFAT stakeholders (in Australia and PNG)</w:t>
            </w:r>
          </w:p>
          <w:p w14:paraId="496A98D8" w14:textId="77777777" w:rsidR="00211890" w:rsidRPr="00211890" w:rsidRDefault="00211890" w:rsidP="00211890">
            <w:pPr>
              <w:numPr>
                <w:ilvl w:val="0"/>
                <w:numId w:val="26"/>
              </w:numPr>
              <w:tabs>
                <w:tab w:val="num" w:pos="321"/>
              </w:tabs>
              <w:autoSpaceDE/>
              <w:autoSpaceDN/>
              <w:adjustRightInd/>
              <w:spacing w:before="0" w:after="0" w:line="276" w:lineRule="auto"/>
              <w:ind w:left="323" w:hanging="28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62626"/>
                <w:sz w:val="18"/>
                <w:szCs w:val="18"/>
                <w:lang w:eastAsia="en-AU"/>
              </w:rPr>
            </w:pPr>
            <w:r w:rsidRPr="00211890">
              <w:rPr>
                <w:rFonts w:asciiTheme="majorHAnsi" w:hAnsiTheme="majorHAnsi" w:cstheme="majorHAnsi"/>
                <w:color w:val="262626"/>
                <w:sz w:val="18"/>
                <w:szCs w:val="18"/>
                <w:lang w:eastAsia="en-AU"/>
              </w:rPr>
              <w:t>Interviews with the Managing Contractor and its sub-contractors</w:t>
            </w:r>
          </w:p>
          <w:p w14:paraId="197677BA" w14:textId="77777777" w:rsidR="00211890" w:rsidRPr="00211890" w:rsidRDefault="00211890" w:rsidP="00211890">
            <w:pPr>
              <w:numPr>
                <w:ilvl w:val="0"/>
                <w:numId w:val="26"/>
              </w:numPr>
              <w:tabs>
                <w:tab w:val="num" w:pos="321"/>
              </w:tabs>
              <w:autoSpaceDE/>
              <w:autoSpaceDN/>
              <w:adjustRightInd/>
              <w:spacing w:before="0" w:after="0" w:line="276" w:lineRule="auto"/>
              <w:ind w:left="323" w:hanging="28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62626"/>
                <w:sz w:val="18"/>
                <w:szCs w:val="18"/>
                <w:lang w:eastAsia="en-AU"/>
              </w:rPr>
            </w:pPr>
            <w:r w:rsidRPr="00211890">
              <w:rPr>
                <w:rFonts w:asciiTheme="majorHAnsi" w:hAnsiTheme="majorHAnsi" w:cstheme="majorHAnsi"/>
                <w:color w:val="262626"/>
                <w:sz w:val="18"/>
                <w:szCs w:val="18"/>
                <w:lang w:eastAsia="en-AU"/>
              </w:rPr>
              <w:t xml:space="preserve">Interviews with national and regional stakeholders </w:t>
            </w:r>
          </w:p>
          <w:p w14:paraId="70DBEB91" w14:textId="77777777" w:rsidR="00211890" w:rsidRPr="00211890" w:rsidRDefault="00211890" w:rsidP="00211890">
            <w:pPr>
              <w:numPr>
                <w:ilvl w:val="0"/>
                <w:numId w:val="26"/>
              </w:numPr>
              <w:tabs>
                <w:tab w:val="num" w:pos="321"/>
              </w:tabs>
              <w:autoSpaceDE/>
              <w:autoSpaceDN/>
              <w:adjustRightInd/>
              <w:spacing w:before="0" w:after="0" w:line="276" w:lineRule="auto"/>
              <w:ind w:left="323" w:hanging="28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62626"/>
                <w:sz w:val="18"/>
                <w:szCs w:val="18"/>
                <w:lang w:eastAsia="en-AU"/>
              </w:rPr>
            </w:pPr>
            <w:r w:rsidRPr="00211890">
              <w:rPr>
                <w:rFonts w:asciiTheme="majorHAnsi" w:hAnsiTheme="majorHAnsi" w:cstheme="majorHAnsi"/>
                <w:color w:val="262626"/>
                <w:sz w:val="18"/>
                <w:szCs w:val="18"/>
                <w:lang w:eastAsia="en-AU"/>
              </w:rPr>
              <w:t>Interviews / group discussions with beneficiaries</w:t>
            </w:r>
          </w:p>
          <w:p w14:paraId="3FE90114" w14:textId="77777777" w:rsidR="00211890" w:rsidRPr="00211890" w:rsidRDefault="00211890" w:rsidP="00ED325B">
            <w:pPr>
              <w:spacing w:before="0" w:after="0" w:line="276" w:lineRule="auto"/>
              <w:ind w:left="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62626"/>
                <w:sz w:val="18"/>
                <w:szCs w:val="18"/>
                <w:lang w:eastAsia="en-AU"/>
              </w:rPr>
            </w:pPr>
          </w:p>
        </w:tc>
      </w:tr>
      <w:tr w:rsidR="00211890" w:rsidRPr="00211890" w14:paraId="0B95C3DA" w14:textId="77777777" w:rsidTr="00211890">
        <w:tc>
          <w:tcPr>
            <w:cnfStyle w:val="001000000000" w:firstRow="0" w:lastRow="0" w:firstColumn="1" w:lastColumn="0" w:oddVBand="0" w:evenVBand="0" w:oddHBand="0" w:evenHBand="0" w:firstRowFirstColumn="0" w:firstRowLastColumn="0" w:lastRowFirstColumn="0" w:lastRowLastColumn="0"/>
            <w:tcW w:w="1400" w:type="dxa"/>
            <w:tcBorders>
              <w:top w:val="single" w:sz="4" w:space="0" w:color="007C89"/>
              <w:bottom w:val="single" w:sz="4" w:space="0" w:color="007C89"/>
            </w:tcBorders>
          </w:tcPr>
          <w:p w14:paraId="4EB9D1E1" w14:textId="77777777" w:rsidR="00211890" w:rsidRPr="00211890" w:rsidRDefault="00211890" w:rsidP="00211890">
            <w:pPr>
              <w:jc w:val="left"/>
              <w:rPr>
                <w:rFonts w:asciiTheme="majorHAnsi" w:eastAsia="Times New Roman" w:hAnsiTheme="majorHAnsi" w:cstheme="majorHAnsi"/>
                <w:b w:val="0"/>
                <w:color w:val="262626"/>
                <w:sz w:val="18"/>
                <w:szCs w:val="18"/>
                <w:lang w:val="en-NZ" w:eastAsia="en-AU"/>
              </w:rPr>
            </w:pPr>
            <w:r w:rsidRPr="00211890">
              <w:rPr>
                <w:rFonts w:asciiTheme="majorHAnsi" w:eastAsia="Times New Roman" w:hAnsiTheme="majorHAnsi" w:cstheme="majorHAnsi"/>
                <w:color w:val="262626"/>
                <w:sz w:val="18"/>
                <w:szCs w:val="18"/>
                <w:lang w:val="en-NZ" w:eastAsia="en-AU"/>
              </w:rPr>
              <w:t xml:space="preserve">4: Analysis and drafting </w:t>
            </w:r>
          </w:p>
        </w:tc>
        <w:tc>
          <w:tcPr>
            <w:tcW w:w="2693" w:type="dxa"/>
            <w:tcBorders>
              <w:top w:val="single" w:sz="4" w:space="0" w:color="007C89"/>
              <w:bottom w:val="single" w:sz="4" w:space="0" w:color="007C89"/>
            </w:tcBorders>
          </w:tcPr>
          <w:p w14:paraId="49B57F40" w14:textId="4450C220" w:rsidR="00211890" w:rsidRPr="00211890" w:rsidRDefault="00211890" w:rsidP="00211890">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n-NZ" w:eastAsia="en-AU"/>
              </w:rPr>
            </w:pPr>
            <w:r w:rsidRPr="00211890">
              <w:rPr>
                <w:rFonts w:asciiTheme="majorHAnsi" w:eastAsia="Times New Roman" w:hAnsiTheme="majorHAnsi" w:cstheme="majorHAnsi"/>
                <w:color w:val="000000"/>
                <w:sz w:val="18"/>
                <w:szCs w:val="18"/>
                <w:lang w:val="en-NZ" w:eastAsia="en-AU"/>
              </w:rPr>
              <w:t>Analyse</w:t>
            </w:r>
            <w:r w:rsidR="00E07DD0">
              <w:rPr>
                <w:rFonts w:asciiTheme="majorHAnsi" w:eastAsia="Times New Roman" w:hAnsiTheme="majorHAnsi" w:cstheme="majorHAnsi"/>
                <w:color w:val="000000"/>
                <w:sz w:val="18"/>
                <w:szCs w:val="18"/>
                <w:lang w:val="en-NZ" w:eastAsia="en-AU"/>
              </w:rPr>
              <w:t>d</w:t>
            </w:r>
            <w:r w:rsidRPr="00211890">
              <w:rPr>
                <w:rFonts w:asciiTheme="majorHAnsi" w:eastAsia="Times New Roman" w:hAnsiTheme="majorHAnsi" w:cstheme="majorHAnsi"/>
                <w:color w:val="000000"/>
                <w:sz w:val="18"/>
                <w:szCs w:val="18"/>
                <w:lang w:val="en-NZ" w:eastAsia="en-AU"/>
              </w:rPr>
              <w:t xml:space="preserve"> and triangulate</w:t>
            </w:r>
            <w:r w:rsidR="00E07DD0">
              <w:rPr>
                <w:rFonts w:asciiTheme="majorHAnsi" w:eastAsia="Times New Roman" w:hAnsiTheme="majorHAnsi" w:cstheme="majorHAnsi"/>
                <w:color w:val="000000"/>
                <w:sz w:val="18"/>
                <w:szCs w:val="18"/>
                <w:lang w:val="en-NZ" w:eastAsia="en-AU"/>
              </w:rPr>
              <w:t>d</w:t>
            </w:r>
            <w:r w:rsidRPr="00211890">
              <w:rPr>
                <w:rFonts w:asciiTheme="majorHAnsi" w:eastAsia="Times New Roman" w:hAnsiTheme="majorHAnsi" w:cstheme="majorHAnsi"/>
                <w:color w:val="000000"/>
                <w:sz w:val="18"/>
                <w:szCs w:val="18"/>
                <w:lang w:val="en-NZ" w:eastAsia="en-AU"/>
              </w:rPr>
              <w:t xml:space="preserve"> the different evidence sources and identify emerging themes along the review objectives </w:t>
            </w:r>
          </w:p>
        </w:tc>
        <w:tc>
          <w:tcPr>
            <w:tcW w:w="5386" w:type="dxa"/>
            <w:tcBorders>
              <w:top w:val="single" w:sz="4" w:space="0" w:color="007C89"/>
              <w:bottom w:val="single" w:sz="4" w:space="0" w:color="007C89"/>
            </w:tcBorders>
          </w:tcPr>
          <w:p w14:paraId="52DFA446" w14:textId="2105B982" w:rsidR="00211890" w:rsidRPr="00211890" w:rsidRDefault="00211890" w:rsidP="00211890">
            <w:pPr>
              <w:numPr>
                <w:ilvl w:val="0"/>
                <w:numId w:val="26"/>
              </w:numPr>
              <w:tabs>
                <w:tab w:val="num" w:pos="321"/>
              </w:tabs>
              <w:autoSpaceDE/>
              <w:autoSpaceDN/>
              <w:adjustRightInd/>
              <w:spacing w:before="0" w:after="0" w:line="276" w:lineRule="auto"/>
              <w:ind w:left="321" w:hanging="28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62626"/>
                <w:sz w:val="18"/>
                <w:szCs w:val="18"/>
                <w:lang w:eastAsia="en-AU"/>
              </w:rPr>
            </w:pPr>
            <w:r w:rsidRPr="00211890">
              <w:rPr>
                <w:rFonts w:asciiTheme="majorHAnsi" w:hAnsiTheme="majorHAnsi" w:cstheme="majorHAnsi"/>
                <w:color w:val="262626"/>
                <w:sz w:val="18"/>
                <w:szCs w:val="18"/>
                <w:lang w:eastAsia="en-AU"/>
              </w:rPr>
              <w:t>Triangulate</w:t>
            </w:r>
            <w:r w:rsidR="00E07DD0">
              <w:rPr>
                <w:rFonts w:asciiTheme="majorHAnsi" w:hAnsiTheme="majorHAnsi" w:cstheme="majorHAnsi"/>
                <w:color w:val="262626"/>
                <w:sz w:val="18"/>
                <w:szCs w:val="18"/>
                <w:lang w:eastAsia="en-AU"/>
              </w:rPr>
              <w:t>d</w:t>
            </w:r>
            <w:r w:rsidRPr="00211890">
              <w:rPr>
                <w:rFonts w:asciiTheme="majorHAnsi" w:hAnsiTheme="majorHAnsi" w:cstheme="majorHAnsi"/>
                <w:color w:val="262626"/>
                <w:sz w:val="18"/>
                <w:szCs w:val="18"/>
                <w:lang w:eastAsia="en-AU"/>
              </w:rPr>
              <w:t xml:space="preserve"> findings from the desktop research, interim analysis and stakeholder interviews gathered during the initial phases</w:t>
            </w:r>
          </w:p>
          <w:p w14:paraId="73472650" w14:textId="49E31FB3" w:rsidR="00211890" w:rsidRPr="009D3FAF" w:rsidRDefault="00211890" w:rsidP="009D3FAF">
            <w:pPr>
              <w:numPr>
                <w:ilvl w:val="0"/>
                <w:numId w:val="26"/>
              </w:numPr>
              <w:tabs>
                <w:tab w:val="num" w:pos="321"/>
              </w:tabs>
              <w:autoSpaceDE/>
              <w:autoSpaceDN/>
              <w:adjustRightInd/>
              <w:spacing w:before="0" w:after="0" w:line="276" w:lineRule="auto"/>
              <w:ind w:left="321" w:hanging="28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62626"/>
                <w:sz w:val="18"/>
                <w:szCs w:val="18"/>
                <w:lang w:eastAsia="en-AU"/>
              </w:rPr>
            </w:pPr>
            <w:r w:rsidRPr="00211890">
              <w:rPr>
                <w:rFonts w:asciiTheme="majorHAnsi" w:hAnsiTheme="majorHAnsi" w:cstheme="majorHAnsi"/>
                <w:color w:val="262626"/>
                <w:sz w:val="18"/>
                <w:szCs w:val="18"/>
                <w:lang w:eastAsia="en-AU"/>
              </w:rPr>
              <w:t>Thematic analysis according to the review objectives</w:t>
            </w:r>
          </w:p>
        </w:tc>
      </w:tr>
      <w:tr w:rsidR="00211890" w:rsidRPr="00211890" w14:paraId="05E3F69A" w14:textId="77777777" w:rsidTr="00211890">
        <w:tc>
          <w:tcPr>
            <w:cnfStyle w:val="001000000000" w:firstRow="0" w:lastRow="0" w:firstColumn="1" w:lastColumn="0" w:oddVBand="0" w:evenVBand="0" w:oddHBand="0" w:evenHBand="0" w:firstRowFirstColumn="0" w:firstRowLastColumn="0" w:lastRowFirstColumn="0" w:lastRowLastColumn="0"/>
            <w:tcW w:w="1400" w:type="dxa"/>
            <w:tcBorders>
              <w:top w:val="single" w:sz="4" w:space="0" w:color="007C89"/>
              <w:bottom w:val="single" w:sz="4" w:space="0" w:color="007C89"/>
            </w:tcBorders>
          </w:tcPr>
          <w:p w14:paraId="5C036616" w14:textId="77777777" w:rsidR="00211890" w:rsidRPr="00211890" w:rsidRDefault="00211890" w:rsidP="00211890">
            <w:pPr>
              <w:jc w:val="left"/>
              <w:rPr>
                <w:rFonts w:asciiTheme="majorHAnsi" w:eastAsia="Times New Roman" w:hAnsiTheme="majorHAnsi" w:cstheme="majorHAnsi"/>
                <w:b w:val="0"/>
                <w:color w:val="262626"/>
                <w:sz w:val="18"/>
                <w:szCs w:val="18"/>
                <w:lang w:val="en-NZ" w:eastAsia="en-AU"/>
              </w:rPr>
            </w:pPr>
            <w:r w:rsidRPr="00211890">
              <w:rPr>
                <w:rFonts w:asciiTheme="majorHAnsi" w:eastAsia="Times New Roman" w:hAnsiTheme="majorHAnsi" w:cstheme="majorHAnsi"/>
                <w:color w:val="262626"/>
                <w:sz w:val="18"/>
                <w:szCs w:val="18"/>
                <w:lang w:val="en-NZ" w:eastAsia="en-AU"/>
              </w:rPr>
              <w:t>5: Reporting</w:t>
            </w:r>
          </w:p>
        </w:tc>
        <w:tc>
          <w:tcPr>
            <w:tcW w:w="2693" w:type="dxa"/>
            <w:tcBorders>
              <w:top w:val="single" w:sz="4" w:space="0" w:color="007C89"/>
              <w:bottom w:val="single" w:sz="4" w:space="0" w:color="007C89"/>
            </w:tcBorders>
          </w:tcPr>
          <w:p w14:paraId="09704FDC" w14:textId="7CA5CB2A" w:rsidR="00211890" w:rsidRPr="00211890" w:rsidRDefault="00211890" w:rsidP="00211890">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n-NZ" w:eastAsia="en-AU"/>
              </w:rPr>
            </w:pPr>
            <w:r w:rsidRPr="00211890">
              <w:rPr>
                <w:rFonts w:asciiTheme="majorHAnsi" w:eastAsia="Times New Roman" w:hAnsiTheme="majorHAnsi" w:cstheme="majorHAnsi"/>
                <w:color w:val="000000"/>
                <w:sz w:val="18"/>
                <w:szCs w:val="18"/>
                <w:lang w:val="en-NZ" w:eastAsia="en-AU"/>
              </w:rPr>
              <w:t>Draf</w:t>
            </w:r>
            <w:r w:rsidR="00E07DD0">
              <w:rPr>
                <w:rFonts w:asciiTheme="majorHAnsi" w:eastAsia="Times New Roman" w:hAnsiTheme="majorHAnsi" w:cstheme="majorHAnsi"/>
                <w:color w:val="000000"/>
                <w:sz w:val="18"/>
                <w:szCs w:val="18"/>
                <w:lang w:val="en-NZ" w:eastAsia="en-AU"/>
              </w:rPr>
              <w:t>ted</w:t>
            </w:r>
            <w:r w:rsidRPr="00211890">
              <w:rPr>
                <w:rFonts w:asciiTheme="majorHAnsi" w:eastAsia="Times New Roman" w:hAnsiTheme="majorHAnsi" w:cstheme="majorHAnsi"/>
                <w:color w:val="000000"/>
                <w:sz w:val="18"/>
                <w:szCs w:val="18"/>
                <w:lang w:val="en-NZ" w:eastAsia="en-AU"/>
              </w:rPr>
              <w:t xml:space="preserve"> the review reports and design brief, presenting the key findings, lessons learned and considerations for future efforts</w:t>
            </w:r>
          </w:p>
        </w:tc>
        <w:tc>
          <w:tcPr>
            <w:tcW w:w="5386" w:type="dxa"/>
            <w:tcBorders>
              <w:top w:val="single" w:sz="4" w:space="0" w:color="007C89"/>
              <w:bottom w:val="single" w:sz="4" w:space="0" w:color="007C89"/>
            </w:tcBorders>
          </w:tcPr>
          <w:p w14:paraId="34B453AF" w14:textId="04AACC85" w:rsidR="00211890" w:rsidRPr="00211890" w:rsidRDefault="00211890" w:rsidP="00211890">
            <w:pPr>
              <w:numPr>
                <w:ilvl w:val="0"/>
                <w:numId w:val="26"/>
              </w:numPr>
              <w:tabs>
                <w:tab w:val="num" w:pos="321"/>
              </w:tabs>
              <w:autoSpaceDE/>
              <w:autoSpaceDN/>
              <w:adjustRightInd/>
              <w:spacing w:before="0" w:after="0" w:line="276" w:lineRule="auto"/>
              <w:ind w:left="321" w:hanging="283"/>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n-NZ" w:eastAsia="en-AU"/>
              </w:rPr>
            </w:pPr>
            <w:r w:rsidRPr="00211890">
              <w:rPr>
                <w:rFonts w:asciiTheme="majorHAnsi" w:eastAsia="Times New Roman" w:hAnsiTheme="majorHAnsi" w:cstheme="majorHAnsi"/>
                <w:color w:val="000000"/>
                <w:sz w:val="18"/>
                <w:szCs w:val="18"/>
                <w:lang w:val="en-NZ" w:eastAsia="en-AU"/>
              </w:rPr>
              <w:t>Debrief</w:t>
            </w:r>
            <w:r w:rsidR="00E07DD0">
              <w:rPr>
                <w:rFonts w:asciiTheme="majorHAnsi" w:eastAsia="Times New Roman" w:hAnsiTheme="majorHAnsi" w:cstheme="majorHAnsi"/>
                <w:color w:val="000000"/>
                <w:sz w:val="18"/>
                <w:szCs w:val="18"/>
                <w:lang w:val="en-NZ" w:eastAsia="en-AU"/>
              </w:rPr>
              <w:t>ed</w:t>
            </w:r>
            <w:r w:rsidRPr="00211890">
              <w:rPr>
                <w:rFonts w:asciiTheme="majorHAnsi" w:eastAsia="Times New Roman" w:hAnsiTheme="majorHAnsi" w:cstheme="majorHAnsi"/>
                <w:color w:val="000000"/>
                <w:sz w:val="18"/>
                <w:szCs w:val="18"/>
                <w:lang w:val="en-NZ" w:eastAsia="en-AU"/>
              </w:rPr>
              <w:t xml:space="preserve"> with DFAT to understand and address feedback </w:t>
            </w:r>
          </w:p>
          <w:p w14:paraId="33E8D299" w14:textId="01C88BA4" w:rsidR="00211890" w:rsidRPr="00581283" w:rsidRDefault="00211890" w:rsidP="00581283">
            <w:pPr>
              <w:numPr>
                <w:ilvl w:val="0"/>
                <w:numId w:val="26"/>
              </w:numPr>
              <w:tabs>
                <w:tab w:val="num" w:pos="321"/>
              </w:tabs>
              <w:autoSpaceDE/>
              <w:autoSpaceDN/>
              <w:adjustRightInd/>
              <w:spacing w:before="0" w:after="0" w:line="276" w:lineRule="auto"/>
              <w:ind w:left="321" w:hanging="283"/>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val="en-NZ" w:eastAsia="en-AU"/>
              </w:rPr>
            </w:pPr>
            <w:r w:rsidRPr="00211890">
              <w:rPr>
                <w:rFonts w:asciiTheme="majorHAnsi" w:eastAsia="Times New Roman" w:hAnsiTheme="majorHAnsi" w:cstheme="majorHAnsi"/>
                <w:color w:val="000000"/>
                <w:sz w:val="18"/>
                <w:szCs w:val="18"/>
                <w:lang w:val="en-NZ" w:eastAsia="en-AU"/>
              </w:rPr>
              <w:t>Incorporate</w:t>
            </w:r>
            <w:r w:rsidR="00E07DD0">
              <w:rPr>
                <w:rFonts w:asciiTheme="majorHAnsi" w:eastAsia="Times New Roman" w:hAnsiTheme="majorHAnsi" w:cstheme="majorHAnsi"/>
                <w:color w:val="000000"/>
                <w:sz w:val="18"/>
                <w:szCs w:val="18"/>
                <w:lang w:val="en-NZ" w:eastAsia="en-AU"/>
              </w:rPr>
              <w:t>d</w:t>
            </w:r>
            <w:r w:rsidRPr="00211890">
              <w:rPr>
                <w:rFonts w:asciiTheme="majorHAnsi" w:eastAsia="Times New Roman" w:hAnsiTheme="majorHAnsi" w:cstheme="majorHAnsi"/>
                <w:color w:val="000000"/>
                <w:sz w:val="18"/>
                <w:szCs w:val="18"/>
                <w:lang w:val="en-NZ" w:eastAsia="en-AU"/>
              </w:rPr>
              <w:t xml:space="preserve"> feedback from DFAT </w:t>
            </w:r>
          </w:p>
        </w:tc>
      </w:tr>
    </w:tbl>
    <w:p w14:paraId="2C75F1D2" w14:textId="6DAADBBA" w:rsidR="00211890" w:rsidRDefault="00211890" w:rsidP="00211890">
      <w:pPr>
        <w:pStyle w:val="BodyText"/>
        <w:spacing w:line="245" w:lineRule="auto"/>
      </w:pPr>
      <w:r w:rsidRPr="008C37AF">
        <w:t xml:space="preserve">The Review team acknowledges the high level of support and engagement from all individuals and institutions with which it interacted. The list of stakeholders </w:t>
      </w:r>
      <w:r w:rsidR="007378B8">
        <w:t xml:space="preserve">consulted and </w:t>
      </w:r>
      <w:r w:rsidRPr="008C37AF">
        <w:t>engaged is attached in Annex 1.</w:t>
      </w:r>
    </w:p>
    <w:sectPr w:rsidR="00211890" w:rsidSect="00744BBE">
      <w:pgSz w:w="11906" w:h="16838"/>
      <w:pgMar w:top="1134" w:right="1134" w:bottom="1134" w:left="1134" w:header="130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8A30A" w14:textId="77777777" w:rsidR="00943ADC" w:rsidRDefault="00943ADC" w:rsidP="007B33DA">
      <w:r>
        <w:separator/>
      </w:r>
    </w:p>
    <w:p w14:paraId="0F336C6F" w14:textId="77777777" w:rsidR="00943ADC" w:rsidRDefault="00943ADC" w:rsidP="007B33DA"/>
  </w:endnote>
  <w:endnote w:type="continuationSeparator" w:id="0">
    <w:p w14:paraId="4BF45B78" w14:textId="77777777" w:rsidR="00943ADC" w:rsidRDefault="00943ADC" w:rsidP="007B33DA">
      <w:r>
        <w:continuationSeparator/>
      </w:r>
    </w:p>
    <w:p w14:paraId="7865E46E" w14:textId="77777777" w:rsidR="00943ADC" w:rsidRDefault="00943ADC" w:rsidP="007B33DA"/>
  </w:endnote>
  <w:endnote w:type="continuationNotice" w:id="1">
    <w:p w14:paraId="314BDB2D" w14:textId="77777777" w:rsidR="00943ADC" w:rsidRDefault="00943AD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Helvetica LT Std">
    <w:altName w:val="Arial"/>
    <w:panose1 w:val="00000000000000000000"/>
    <w:charset w:val="00"/>
    <w:family w:val="swiss"/>
    <w:notTrueType/>
    <w:pitch w:val="variable"/>
    <w:sig w:usb0="00000203" w:usb1="00000000" w:usb2="00000000" w:usb3="00000000" w:csb0="00000005" w:csb1="00000000"/>
  </w:font>
  <w:font w:name="TimesNewRomanPSMT">
    <w:altName w:val="MS Gothic"/>
    <w:charset w:val="00"/>
    <w:family w:val="roman"/>
    <w:pitch w:val="default"/>
    <w:sig w:usb0="00000003" w:usb1="080F0000" w:usb2="00000010" w:usb3="00000000" w:csb0="00060001" w:csb1="00000000"/>
  </w:font>
  <w:font w:name="Segoe UI">
    <w:panose1 w:val="020B0502040204020203"/>
    <w:charset w:val="00"/>
    <w:family w:val="swiss"/>
    <w:pitch w:val="variable"/>
    <w:sig w:usb0="E4002EFF" w:usb1="C000E47F" w:usb2="00000009" w:usb3="00000000" w:csb0="000001FF" w:csb1="00000000"/>
  </w:font>
  <w:font w:name="Arial (TT)">
    <w:altName w:val="Arial"/>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Helvetica 55 Roman">
    <w:altName w:val="Arial"/>
    <w:panose1 w:val="00000000000000000000"/>
    <w:charset w:val="00"/>
    <w:family w:val="roman"/>
    <w:notTrueType/>
    <w:pitch w:val="default"/>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Minion Pro">
    <w:altName w:val="Cambria"/>
    <w:panose1 w:val="00000000000000000000"/>
    <w:charset w:val="00"/>
    <w:family w:val="roman"/>
    <w:notTrueType/>
    <w:pitch w:val="variable"/>
    <w:sig w:usb0="E00002AF" w:usb1="5000205B" w:usb2="00000000" w:usb3="00000000" w:csb0="000000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LT Std Light">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hAnsiTheme="majorHAnsi" w:cstheme="majorHAnsi"/>
        <w:sz w:val="18"/>
        <w:szCs w:val="18"/>
      </w:rPr>
      <w:id w:val="-729384150"/>
      <w:docPartObj>
        <w:docPartGallery w:val="Page Numbers (Bottom of Page)"/>
        <w:docPartUnique/>
      </w:docPartObj>
    </w:sdtPr>
    <w:sdtEndPr>
      <w:rPr>
        <w:noProof/>
      </w:rPr>
    </w:sdtEndPr>
    <w:sdtContent>
      <w:p w14:paraId="23ACB80F" w14:textId="645A9EE4" w:rsidR="008139D1" w:rsidRPr="008C37AF" w:rsidRDefault="008139D1" w:rsidP="008C37AF">
        <w:pPr>
          <w:pStyle w:val="Footer"/>
          <w:jc w:val="right"/>
          <w:rPr>
            <w:rFonts w:asciiTheme="majorHAnsi" w:hAnsiTheme="majorHAnsi" w:cstheme="majorHAnsi"/>
            <w:sz w:val="18"/>
            <w:szCs w:val="18"/>
          </w:rPr>
        </w:pPr>
        <w:r w:rsidRPr="008C37AF">
          <w:rPr>
            <w:rFonts w:asciiTheme="majorHAnsi" w:hAnsiTheme="majorHAnsi" w:cstheme="majorHAnsi"/>
            <w:sz w:val="18"/>
            <w:szCs w:val="18"/>
          </w:rPr>
          <w:t xml:space="preserve">Page </w:t>
        </w:r>
        <w:r w:rsidRPr="008C37AF">
          <w:rPr>
            <w:rFonts w:asciiTheme="majorHAnsi" w:hAnsiTheme="majorHAnsi" w:cstheme="majorHAnsi"/>
            <w:sz w:val="18"/>
            <w:szCs w:val="18"/>
          </w:rPr>
          <w:fldChar w:fldCharType="begin"/>
        </w:r>
        <w:r w:rsidRPr="008C37AF">
          <w:rPr>
            <w:rFonts w:asciiTheme="majorHAnsi" w:hAnsiTheme="majorHAnsi" w:cstheme="majorHAnsi"/>
            <w:sz w:val="18"/>
            <w:szCs w:val="18"/>
          </w:rPr>
          <w:instrText xml:space="preserve"> PAGE   \* MERGEFORMAT </w:instrText>
        </w:r>
        <w:r w:rsidRPr="008C37AF">
          <w:rPr>
            <w:rFonts w:asciiTheme="majorHAnsi" w:hAnsiTheme="majorHAnsi" w:cstheme="majorHAnsi"/>
            <w:sz w:val="18"/>
            <w:szCs w:val="18"/>
          </w:rPr>
          <w:fldChar w:fldCharType="separate"/>
        </w:r>
        <w:r w:rsidRPr="008C37AF">
          <w:rPr>
            <w:rFonts w:asciiTheme="majorHAnsi" w:hAnsiTheme="majorHAnsi" w:cstheme="majorHAnsi"/>
            <w:noProof/>
            <w:sz w:val="18"/>
            <w:szCs w:val="18"/>
          </w:rPr>
          <w:t>2</w:t>
        </w:r>
        <w:r w:rsidRPr="008C37AF">
          <w:rPr>
            <w:rFonts w:asciiTheme="majorHAnsi" w:hAnsiTheme="majorHAnsi" w:cstheme="majorHAnsi"/>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hAnsiTheme="majorHAnsi" w:cstheme="majorHAnsi"/>
        <w:sz w:val="18"/>
        <w:szCs w:val="18"/>
      </w:rPr>
      <w:id w:val="879515819"/>
      <w:docPartObj>
        <w:docPartGallery w:val="Page Numbers (Bottom of Page)"/>
        <w:docPartUnique/>
      </w:docPartObj>
    </w:sdtPr>
    <w:sdtEndPr>
      <w:rPr>
        <w:noProof/>
      </w:rPr>
    </w:sdtEndPr>
    <w:sdtContent>
      <w:p w14:paraId="2A0B19D4" w14:textId="5AC372C0" w:rsidR="008139D1" w:rsidRPr="008C37AF" w:rsidRDefault="008139D1" w:rsidP="008C37AF">
        <w:pPr>
          <w:pStyle w:val="Footer"/>
          <w:jc w:val="right"/>
          <w:rPr>
            <w:rFonts w:asciiTheme="majorHAnsi" w:hAnsiTheme="majorHAnsi" w:cstheme="majorHAnsi"/>
            <w:noProof/>
            <w:sz w:val="18"/>
            <w:szCs w:val="18"/>
          </w:rPr>
        </w:pPr>
        <w:r w:rsidRPr="008C37AF">
          <w:rPr>
            <w:rFonts w:asciiTheme="majorHAnsi" w:hAnsiTheme="majorHAnsi" w:cstheme="majorHAnsi"/>
            <w:sz w:val="18"/>
            <w:szCs w:val="18"/>
          </w:rPr>
          <w:t xml:space="preserve">Page </w:t>
        </w:r>
        <w:r>
          <w:rPr>
            <w:rFonts w:asciiTheme="majorHAnsi" w:hAnsiTheme="majorHAnsi" w:cstheme="majorHAnsi"/>
            <w:sz w:val="18"/>
            <w:szCs w:val="18"/>
          </w:rPr>
          <w:fldChar w:fldCharType="begin"/>
        </w:r>
        <w:r>
          <w:rPr>
            <w:rFonts w:asciiTheme="majorHAnsi" w:hAnsiTheme="majorHAnsi" w:cstheme="majorHAnsi"/>
            <w:sz w:val="18"/>
            <w:szCs w:val="18"/>
          </w:rPr>
          <w:instrText xml:space="preserve"> PAGE  \* Arabic  \* MERGEFORMAT </w:instrText>
        </w:r>
        <w:r>
          <w:rPr>
            <w:rFonts w:asciiTheme="majorHAnsi" w:hAnsiTheme="majorHAnsi" w:cstheme="majorHAnsi"/>
            <w:sz w:val="18"/>
            <w:szCs w:val="18"/>
          </w:rPr>
          <w:fldChar w:fldCharType="separate"/>
        </w:r>
        <w:r>
          <w:rPr>
            <w:rFonts w:asciiTheme="majorHAnsi" w:hAnsiTheme="majorHAnsi" w:cstheme="majorHAnsi"/>
            <w:noProof/>
            <w:sz w:val="18"/>
            <w:szCs w:val="18"/>
          </w:rPr>
          <w:t>2</w:t>
        </w:r>
        <w:r>
          <w:rPr>
            <w:rFonts w:asciiTheme="majorHAnsi" w:hAnsiTheme="majorHAnsi" w:cstheme="majorHAnsi"/>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6"/>
      </w:rPr>
      <w:id w:val="109721546"/>
      <w:docPartObj>
        <w:docPartGallery w:val="Page Numbers (Bottom of Page)"/>
        <w:docPartUnique/>
      </w:docPartObj>
    </w:sdtPr>
    <w:sdtEndPr>
      <w:rPr>
        <w:noProof/>
      </w:rPr>
    </w:sdtEndPr>
    <w:sdtContent>
      <w:p w14:paraId="7AB26F90" w14:textId="6C6780F0" w:rsidR="008139D1" w:rsidRPr="008B095E" w:rsidRDefault="008139D1" w:rsidP="008B095E">
        <w:pPr>
          <w:pStyle w:val="Footer"/>
          <w:jc w:val="right"/>
          <w:rPr>
            <w:noProof/>
            <w:sz w:val="18"/>
            <w:szCs w:val="16"/>
          </w:rPr>
        </w:pPr>
        <w:r w:rsidRPr="008B095E">
          <w:rPr>
            <w:sz w:val="18"/>
            <w:szCs w:val="16"/>
          </w:rPr>
          <w:t xml:space="preserve">Page </w:t>
        </w:r>
        <w:r w:rsidRPr="008B095E">
          <w:rPr>
            <w:sz w:val="18"/>
            <w:szCs w:val="16"/>
          </w:rPr>
          <w:fldChar w:fldCharType="begin"/>
        </w:r>
        <w:r w:rsidRPr="008B095E">
          <w:rPr>
            <w:sz w:val="18"/>
            <w:szCs w:val="16"/>
          </w:rPr>
          <w:instrText xml:space="preserve"> PAGE   \* MERGEFORMAT </w:instrText>
        </w:r>
        <w:r w:rsidRPr="008B095E">
          <w:rPr>
            <w:sz w:val="18"/>
            <w:szCs w:val="16"/>
          </w:rPr>
          <w:fldChar w:fldCharType="separate"/>
        </w:r>
        <w:r>
          <w:rPr>
            <w:sz w:val="18"/>
            <w:szCs w:val="16"/>
          </w:rPr>
          <w:t>8</w:t>
        </w:r>
        <w:r w:rsidRPr="008B095E">
          <w:rPr>
            <w:noProof/>
            <w:sz w:val="18"/>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6"/>
      </w:rPr>
      <w:id w:val="1165514189"/>
      <w:docPartObj>
        <w:docPartGallery w:val="Page Numbers (Bottom of Page)"/>
        <w:docPartUnique/>
      </w:docPartObj>
    </w:sdtPr>
    <w:sdtEndPr>
      <w:rPr>
        <w:noProof/>
      </w:rPr>
    </w:sdtEndPr>
    <w:sdtContent>
      <w:p w14:paraId="4D1C00F8" w14:textId="55759CE4" w:rsidR="008139D1" w:rsidRPr="008B095E" w:rsidRDefault="008139D1" w:rsidP="008B095E">
        <w:pPr>
          <w:pStyle w:val="Footer"/>
          <w:jc w:val="right"/>
          <w:rPr>
            <w:sz w:val="18"/>
            <w:szCs w:val="16"/>
          </w:rPr>
        </w:pPr>
        <w:r w:rsidRPr="008B095E">
          <w:rPr>
            <w:sz w:val="18"/>
            <w:szCs w:val="16"/>
          </w:rPr>
          <w:t xml:space="preserve">Page </w:t>
        </w:r>
        <w:r w:rsidRPr="008B095E">
          <w:rPr>
            <w:sz w:val="18"/>
            <w:szCs w:val="16"/>
          </w:rPr>
          <w:fldChar w:fldCharType="begin"/>
        </w:r>
        <w:r w:rsidRPr="008B095E">
          <w:rPr>
            <w:sz w:val="18"/>
            <w:szCs w:val="16"/>
          </w:rPr>
          <w:instrText xml:space="preserve"> PAGE   \* MERGEFORMAT </w:instrText>
        </w:r>
        <w:r w:rsidRPr="008B095E">
          <w:rPr>
            <w:sz w:val="18"/>
            <w:szCs w:val="16"/>
          </w:rPr>
          <w:fldChar w:fldCharType="separate"/>
        </w:r>
        <w:r w:rsidRPr="008B095E">
          <w:rPr>
            <w:noProof/>
            <w:sz w:val="18"/>
            <w:szCs w:val="16"/>
          </w:rPr>
          <w:t>2</w:t>
        </w:r>
        <w:r w:rsidRPr="008B095E">
          <w:rPr>
            <w:noProof/>
            <w:sz w:val="18"/>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8F5A6" w14:textId="77777777" w:rsidR="00943ADC" w:rsidRDefault="00943ADC" w:rsidP="007B33DA">
      <w:r>
        <w:separator/>
      </w:r>
    </w:p>
  </w:footnote>
  <w:footnote w:type="continuationSeparator" w:id="0">
    <w:p w14:paraId="22A7194E" w14:textId="77777777" w:rsidR="00943ADC" w:rsidRDefault="00943ADC" w:rsidP="007B33DA">
      <w:r>
        <w:continuationSeparator/>
      </w:r>
    </w:p>
    <w:p w14:paraId="7F829D13" w14:textId="77777777" w:rsidR="00943ADC" w:rsidRDefault="00943ADC" w:rsidP="007B33DA"/>
  </w:footnote>
  <w:footnote w:type="continuationNotice" w:id="1">
    <w:p w14:paraId="76C72B6A" w14:textId="77777777" w:rsidR="00943ADC" w:rsidRDefault="00943ADC">
      <w:pPr>
        <w:spacing w:before="0" w:after="0"/>
      </w:pPr>
    </w:p>
  </w:footnote>
  <w:footnote w:id="2">
    <w:p w14:paraId="057F894F" w14:textId="77777777" w:rsidR="008139D1" w:rsidRPr="007F57E4" w:rsidRDefault="008139D1" w:rsidP="00301880">
      <w:pPr>
        <w:pStyle w:val="FootnoteText"/>
        <w:jc w:val="left"/>
        <w:rPr>
          <w:szCs w:val="16"/>
        </w:rPr>
      </w:pPr>
      <w:r w:rsidRPr="00BA06DD">
        <w:rPr>
          <w:rStyle w:val="FootnoteReference"/>
          <w:szCs w:val="16"/>
        </w:rPr>
        <w:footnoteRef/>
      </w:r>
      <w:r w:rsidRPr="00BA06DD">
        <w:rPr>
          <w:szCs w:val="16"/>
        </w:rPr>
        <w:t xml:space="preserve"> Brinkerhoff, D.W.,</w:t>
      </w:r>
      <w:r w:rsidRPr="003A7730">
        <w:rPr>
          <w:szCs w:val="16"/>
        </w:rPr>
        <w:t xml:space="preserve"> Fraze</w:t>
      </w:r>
      <w:r w:rsidRPr="007F57E4">
        <w:rPr>
          <w:szCs w:val="16"/>
        </w:rPr>
        <w:t>r, S. and McGregor, L. (2018) Adapting to Learn and Learning to Adapt: Practical Insights from International Development Projects. RTI Press. doi:10.3768/rtipress.2018.pb.0015.1801.</w:t>
      </w:r>
    </w:p>
  </w:footnote>
  <w:footnote w:id="3">
    <w:p w14:paraId="4A6A845E" w14:textId="77777777" w:rsidR="008139D1" w:rsidRPr="001D0884" w:rsidRDefault="008139D1" w:rsidP="00301880">
      <w:pPr>
        <w:pStyle w:val="FootnoteText"/>
        <w:jc w:val="left"/>
        <w:rPr>
          <w:szCs w:val="16"/>
        </w:rPr>
      </w:pPr>
      <w:r w:rsidRPr="001D0884">
        <w:rPr>
          <w:rStyle w:val="FootnoteReference"/>
          <w:szCs w:val="16"/>
        </w:rPr>
        <w:footnoteRef/>
      </w:r>
      <w:r w:rsidRPr="001D0884">
        <w:rPr>
          <w:szCs w:val="16"/>
        </w:rPr>
        <w:t xml:space="preserve"> PAPUA NEW GUINEA VISION 2050 found at https://www.treasury.gov.pg/html/publications/files/pub_files/2011/2011.png.vision.2050.pdf</w:t>
      </w:r>
    </w:p>
  </w:footnote>
  <w:footnote w:id="4">
    <w:p w14:paraId="7364F84A" w14:textId="44405228" w:rsidR="008139D1" w:rsidRPr="00BA06DD" w:rsidRDefault="008139D1" w:rsidP="00301880">
      <w:pPr>
        <w:pStyle w:val="FootnoteText"/>
        <w:jc w:val="left"/>
      </w:pPr>
      <w:r w:rsidRPr="001D0884">
        <w:rPr>
          <w:rStyle w:val="FootnoteReference"/>
          <w:szCs w:val="16"/>
        </w:rPr>
        <w:footnoteRef/>
      </w:r>
      <w:r w:rsidRPr="001D0884">
        <w:rPr>
          <w:szCs w:val="16"/>
        </w:rPr>
        <w:t xml:space="preserve">  Successful Partnerships- A Guide by the OECD, 2006 found at  </w:t>
      </w:r>
      <w:hyperlink r:id="rId1" w:history="1">
        <w:r w:rsidRPr="001D0884">
          <w:rPr>
            <w:rStyle w:val="Hyperlink"/>
            <w:szCs w:val="16"/>
          </w:rPr>
          <w:t>https://www.oecd.org/cfe/leed/36279186.pdf</w:t>
        </w:r>
      </w:hyperlink>
      <w:r w:rsidRPr="001D0884">
        <w:rPr>
          <w:szCs w:val="16"/>
        </w:rPr>
        <w:t xml:space="preserve"> and accessed January 22</w:t>
      </w:r>
      <w:r w:rsidRPr="00BA06DD">
        <w:rPr>
          <w:vertAlign w:val="superscript"/>
        </w:rPr>
        <w:t>nd</w:t>
      </w:r>
      <w:r w:rsidRPr="001D0884">
        <w:rPr>
          <w:szCs w:val="16"/>
        </w:rPr>
        <w:t>2022</w:t>
      </w:r>
    </w:p>
  </w:footnote>
  <w:footnote w:id="5">
    <w:p w14:paraId="03962F8A" w14:textId="7B1BA77D" w:rsidR="008139D1" w:rsidRPr="00BA06DD" w:rsidRDefault="008139D1" w:rsidP="00301880">
      <w:pPr>
        <w:pStyle w:val="FootnoteText"/>
        <w:jc w:val="left"/>
      </w:pPr>
      <w:r w:rsidRPr="001D0884">
        <w:rPr>
          <w:rStyle w:val="FootnoteReference"/>
          <w:szCs w:val="16"/>
        </w:rPr>
        <w:footnoteRef/>
      </w:r>
      <w:r w:rsidRPr="001D0884">
        <w:rPr>
          <w:szCs w:val="16"/>
        </w:rPr>
        <w:t xml:space="preserve"> Approaches To Partnership Measurement found at </w:t>
      </w:r>
      <w:hyperlink r:id="rId2" w:history="1">
        <w:r w:rsidRPr="001D0884">
          <w:rPr>
            <w:rStyle w:val="Hyperlink"/>
            <w:szCs w:val="16"/>
          </w:rPr>
          <w:t>https://www.oecd.org/cfe/leed/36279186.pdf</w:t>
        </w:r>
      </w:hyperlink>
      <w:r w:rsidRPr="001D0884">
        <w:rPr>
          <w:szCs w:val="16"/>
        </w:rPr>
        <w:t xml:space="preserve"> accessed on 20th Ja</w:t>
      </w:r>
      <w:r>
        <w:rPr>
          <w:szCs w:val="16"/>
        </w:rPr>
        <w:t>n</w:t>
      </w:r>
      <w:r w:rsidRPr="001D0884">
        <w:rPr>
          <w:szCs w:val="16"/>
        </w:rPr>
        <w:t>uary 2022</w:t>
      </w:r>
    </w:p>
  </w:footnote>
  <w:footnote w:id="6">
    <w:p w14:paraId="33AA6FF7" w14:textId="77777777" w:rsidR="008139D1" w:rsidRPr="00730E4F" w:rsidRDefault="008139D1" w:rsidP="00301880">
      <w:pPr>
        <w:pStyle w:val="FootnoteText"/>
        <w:jc w:val="left"/>
        <w:rPr>
          <w:szCs w:val="16"/>
        </w:rPr>
      </w:pPr>
      <w:r w:rsidRPr="003A7730">
        <w:rPr>
          <w:rStyle w:val="FootnoteReference"/>
          <w:szCs w:val="16"/>
        </w:rPr>
        <w:footnoteRef/>
      </w:r>
      <w:r w:rsidRPr="003A7730">
        <w:rPr>
          <w:szCs w:val="16"/>
        </w:rPr>
        <w:t xml:space="preserve"> </w:t>
      </w:r>
      <w:r w:rsidRPr="007F57E4">
        <w:rPr>
          <w:szCs w:val="16"/>
        </w:rPr>
        <w:t>The Case Against Branding Development Aid in Fragile States (2018) Cen</w:t>
      </w:r>
      <w:r w:rsidRPr="00730E4F">
        <w:rPr>
          <w:szCs w:val="16"/>
        </w:rPr>
        <w:t xml:space="preserve">ter </w:t>
      </w:r>
      <w:r w:rsidRPr="00684558">
        <w:rPr>
          <w:szCs w:val="16"/>
        </w:rPr>
        <w:t>for</w:t>
      </w:r>
      <w:r w:rsidRPr="003A7730">
        <w:rPr>
          <w:szCs w:val="16"/>
        </w:rPr>
        <w:t xml:space="preserve"> Global Development. Available at: https://www.cgdev.org/blog/c</w:t>
      </w:r>
      <w:r w:rsidRPr="007F57E4">
        <w:rPr>
          <w:szCs w:val="16"/>
        </w:rPr>
        <w:t xml:space="preserve">ase-against-branding-development-aid-fragile-states (Accessed: </w:t>
      </w:r>
      <w:r w:rsidRPr="00730E4F">
        <w:rPr>
          <w:szCs w:val="16"/>
        </w:rPr>
        <w:t>21st January 2022).</w:t>
      </w:r>
    </w:p>
  </w:footnote>
  <w:footnote w:id="7">
    <w:p w14:paraId="2C961E5D" w14:textId="54928137" w:rsidR="008139D1" w:rsidRPr="000C7BCE" w:rsidRDefault="008139D1" w:rsidP="000C7BCE">
      <w:pPr>
        <w:autoSpaceDE/>
        <w:autoSpaceDN/>
        <w:adjustRightInd/>
        <w:spacing w:before="0" w:after="0"/>
        <w:jc w:val="left"/>
        <w:rPr>
          <w:rFonts w:ascii="Times New Roman" w:eastAsia="Times New Roman" w:hAnsi="Times New Roman" w:cs="Times New Roman"/>
          <w:spacing w:val="0"/>
          <w:sz w:val="16"/>
          <w:szCs w:val="14"/>
          <w:lang w:eastAsia="en-US"/>
        </w:rPr>
      </w:pPr>
      <w:r w:rsidRPr="001D0884">
        <w:rPr>
          <w:rStyle w:val="FootnoteReference"/>
          <w:szCs w:val="16"/>
        </w:rPr>
        <w:footnoteRef/>
      </w:r>
      <w:r w:rsidRPr="001D0884">
        <w:rPr>
          <w:szCs w:val="16"/>
        </w:rPr>
        <w:t xml:space="preserve"> </w:t>
      </w:r>
      <w:r w:rsidRPr="000C7BCE">
        <w:rPr>
          <w:sz w:val="16"/>
          <w:szCs w:val="14"/>
        </w:rPr>
        <w:t>‘Papua New Guinea port upgrades to support trade and connectivity</w:t>
      </w:r>
      <w:r>
        <w:rPr>
          <w:sz w:val="16"/>
          <w:szCs w:val="14"/>
        </w:rPr>
        <w:t xml:space="preserve">’ </w:t>
      </w:r>
      <w:r w:rsidRPr="000C7BCE">
        <w:rPr>
          <w:sz w:val="16"/>
          <w:szCs w:val="14"/>
        </w:rPr>
        <w:t>(</w:t>
      </w:r>
      <w:r>
        <w:rPr>
          <w:sz w:val="16"/>
          <w:szCs w:val="14"/>
        </w:rPr>
        <w:t>2022</w:t>
      </w:r>
      <w:r w:rsidRPr="000C7BCE">
        <w:rPr>
          <w:sz w:val="16"/>
          <w:szCs w:val="14"/>
        </w:rPr>
        <w:t xml:space="preserve">). Available at: </w:t>
      </w:r>
      <w:hyperlink r:id="rId3" w:history="1">
        <w:r w:rsidRPr="000C7BCE">
          <w:rPr>
            <w:rStyle w:val="Hyperlink"/>
            <w:sz w:val="16"/>
            <w:szCs w:val="14"/>
          </w:rPr>
          <w:t>https://www.pm.gov.au/media/papua-new-guinea-port-upgrades-support-trade-and-connectivity</w:t>
        </w:r>
      </w:hyperlink>
      <w:r w:rsidRPr="000C7BCE">
        <w:rPr>
          <w:sz w:val="16"/>
          <w:szCs w:val="14"/>
        </w:rPr>
        <w:t xml:space="preserve"> (Accessed: 24 January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0453A" w14:textId="00214F2A" w:rsidR="008139D1" w:rsidRPr="00AA4F18" w:rsidRDefault="008139D1" w:rsidP="00E06717">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54C8E024"/>
    <w:lvl w:ilvl="0">
      <w:start w:val="1"/>
      <w:numFmt w:val="decimal"/>
      <w:pStyle w:val="ListNumber"/>
      <w:lvlText w:val="%1."/>
      <w:lvlJc w:val="left"/>
      <w:pPr>
        <w:tabs>
          <w:tab w:val="num" w:pos="360"/>
        </w:tabs>
        <w:ind w:left="360" w:hanging="360"/>
      </w:pPr>
    </w:lvl>
  </w:abstractNum>
  <w:abstractNum w:abstractNumId="1" w15:restartNumberingAfterBreak="0">
    <w:nsid w:val="03C01B7A"/>
    <w:multiLevelType w:val="hybridMultilevel"/>
    <w:tmpl w:val="38E86D04"/>
    <w:lvl w:ilvl="0" w:tplc="98B27164">
      <w:start w:val="1"/>
      <w:numFmt w:val="bullet"/>
      <w:lvlText w:val="•"/>
      <w:lvlJc w:val="left"/>
      <w:pPr>
        <w:tabs>
          <w:tab w:val="num" w:pos="720"/>
        </w:tabs>
        <w:ind w:left="720" w:hanging="360"/>
      </w:pPr>
      <w:rPr>
        <w:rFonts w:ascii="Arial" w:hAnsi="Arial" w:hint="default"/>
      </w:rPr>
    </w:lvl>
    <w:lvl w:ilvl="1" w:tplc="A566C524">
      <w:numFmt w:val="bullet"/>
      <w:lvlText w:val="•"/>
      <w:lvlJc w:val="left"/>
      <w:pPr>
        <w:tabs>
          <w:tab w:val="num" w:pos="1440"/>
        </w:tabs>
        <w:ind w:left="1440" w:hanging="360"/>
      </w:pPr>
      <w:rPr>
        <w:rFonts w:ascii="Arial" w:hAnsi="Arial" w:hint="default"/>
      </w:rPr>
    </w:lvl>
    <w:lvl w:ilvl="2" w:tplc="B33480B0" w:tentative="1">
      <w:start w:val="1"/>
      <w:numFmt w:val="bullet"/>
      <w:lvlText w:val="•"/>
      <w:lvlJc w:val="left"/>
      <w:pPr>
        <w:tabs>
          <w:tab w:val="num" w:pos="2160"/>
        </w:tabs>
        <w:ind w:left="2160" w:hanging="360"/>
      </w:pPr>
      <w:rPr>
        <w:rFonts w:ascii="Arial" w:hAnsi="Arial" w:hint="default"/>
      </w:rPr>
    </w:lvl>
    <w:lvl w:ilvl="3" w:tplc="6456BFCC" w:tentative="1">
      <w:start w:val="1"/>
      <w:numFmt w:val="bullet"/>
      <w:lvlText w:val="•"/>
      <w:lvlJc w:val="left"/>
      <w:pPr>
        <w:tabs>
          <w:tab w:val="num" w:pos="2880"/>
        </w:tabs>
        <w:ind w:left="2880" w:hanging="360"/>
      </w:pPr>
      <w:rPr>
        <w:rFonts w:ascii="Arial" w:hAnsi="Arial" w:hint="default"/>
      </w:rPr>
    </w:lvl>
    <w:lvl w:ilvl="4" w:tplc="7E48369C" w:tentative="1">
      <w:start w:val="1"/>
      <w:numFmt w:val="bullet"/>
      <w:lvlText w:val="•"/>
      <w:lvlJc w:val="left"/>
      <w:pPr>
        <w:tabs>
          <w:tab w:val="num" w:pos="3600"/>
        </w:tabs>
        <w:ind w:left="3600" w:hanging="360"/>
      </w:pPr>
      <w:rPr>
        <w:rFonts w:ascii="Arial" w:hAnsi="Arial" w:hint="default"/>
      </w:rPr>
    </w:lvl>
    <w:lvl w:ilvl="5" w:tplc="610EC21E" w:tentative="1">
      <w:start w:val="1"/>
      <w:numFmt w:val="bullet"/>
      <w:lvlText w:val="•"/>
      <w:lvlJc w:val="left"/>
      <w:pPr>
        <w:tabs>
          <w:tab w:val="num" w:pos="4320"/>
        </w:tabs>
        <w:ind w:left="4320" w:hanging="360"/>
      </w:pPr>
      <w:rPr>
        <w:rFonts w:ascii="Arial" w:hAnsi="Arial" w:hint="default"/>
      </w:rPr>
    </w:lvl>
    <w:lvl w:ilvl="6" w:tplc="8BAE3070" w:tentative="1">
      <w:start w:val="1"/>
      <w:numFmt w:val="bullet"/>
      <w:lvlText w:val="•"/>
      <w:lvlJc w:val="left"/>
      <w:pPr>
        <w:tabs>
          <w:tab w:val="num" w:pos="5040"/>
        </w:tabs>
        <w:ind w:left="5040" w:hanging="360"/>
      </w:pPr>
      <w:rPr>
        <w:rFonts w:ascii="Arial" w:hAnsi="Arial" w:hint="default"/>
      </w:rPr>
    </w:lvl>
    <w:lvl w:ilvl="7" w:tplc="84E2625C" w:tentative="1">
      <w:start w:val="1"/>
      <w:numFmt w:val="bullet"/>
      <w:lvlText w:val="•"/>
      <w:lvlJc w:val="left"/>
      <w:pPr>
        <w:tabs>
          <w:tab w:val="num" w:pos="5760"/>
        </w:tabs>
        <w:ind w:left="5760" w:hanging="360"/>
      </w:pPr>
      <w:rPr>
        <w:rFonts w:ascii="Arial" w:hAnsi="Arial" w:hint="default"/>
      </w:rPr>
    </w:lvl>
    <w:lvl w:ilvl="8" w:tplc="D0C0EC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83499C"/>
    <w:multiLevelType w:val="multilevel"/>
    <w:tmpl w:val="CE181000"/>
    <w:lvl w:ilvl="0">
      <w:start w:val="1"/>
      <w:numFmt w:val="decimal"/>
      <w:pStyle w:val="ListParagraph"/>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7DF70A2"/>
    <w:multiLevelType w:val="multilevel"/>
    <w:tmpl w:val="C16002BE"/>
    <w:styleLink w:val="ListBullets"/>
    <w:lvl w:ilvl="0">
      <w:start w:val="1"/>
      <w:numFmt w:val="bullet"/>
      <w:pStyle w:val="ListBullet"/>
      <w:lvlText w:val=""/>
      <w:lvlJc w:val="left"/>
      <w:pPr>
        <w:ind w:left="714" w:hanging="357"/>
      </w:pPr>
      <w:rPr>
        <w:rFonts w:ascii="Symbol" w:hAnsi="Symbol" w:hint="default"/>
      </w:rPr>
    </w:lvl>
    <w:lvl w:ilvl="1">
      <w:start w:val="1"/>
      <w:numFmt w:val="bullet"/>
      <w:pStyle w:val="ListBullet2"/>
      <w:lvlText w:val=""/>
      <w:lvlJc w:val="left"/>
      <w:pPr>
        <w:ind w:left="1071" w:hanging="357"/>
      </w:pPr>
      <w:rPr>
        <w:rFonts w:ascii="Wingdings" w:hAnsi="Wingdings" w:hint="default"/>
      </w:rPr>
    </w:lvl>
    <w:lvl w:ilvl="2">
      <w:start w:val="1"/>
      <w:numFmt w:val="bullet"/>
      <w:pStyle w:val="ListBullet3"/>
      <w:lvlText w:val=""/>
      <w:lvlJc w:val="left"/>
      <w:pPr>
        <w:ind w:left="1428" w:hanging="357"/>
      </w:pPr>
      <w:rPr>
        <w:rFonts w:ascii="Symbol" w:hAnsi="Symbol"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7"/>
      <w:lvlJc w:val="left"/>
      <w:pPr>
        <w:ind w:left="2856" w:hanging="357"/>
      </w:pPr>
      <w:rPr>
        <w:rFonts w:hint="default"/>
      </w:rPr>
    </w:lvl>
    <w:lvl w:ilvl="7">
      <w:start w:val="1"/>
      <w:numFmt w:val="none"/>
      <w:lvlText w:val="%8"/>
      <w:lvlJc w:val="left"/>
      <w:pPr>
        <w:ind w:left="3213" w:hanging="357"/>
      </w:pPr>
      <w:rPr>
        <w:rFonts w:hint="default"/>
      </w:rPr>
    </w:lvl>
    <w:lvl w:ilvl="8">
      <w:start w:val="1"/>
      <w:numFmt w:val="none"/>
      <w:lvlText w:val="%9"/>
      <w:lvlJc w:val="left"/>
      <w:pPr>
        <w:ind w:left="3570" w:hanging="357"/>
      </w:pPr>
      <w:rPr>
        <w:rFonts w:hint="default"/>
      </w:rPr>
    </w:lvl>
  </w:abstractNum>
  <w:abstractNum w:abstractNumId="4" w15:restartNumberingAfterBreak="0">
    <w:nsid w:val="19587C6B"/>
    <w:multiLevelType w:val="hybridMultilevel"/>
    <w:tmpl w:val="D67AA2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1F2218CF"/>
    <w:multiLevelType w:val="hybridMultilevel"/>
    <w:tmpl w:val="0C09001D"/>
    <w:styleLink w:val="NewBullet"/>
    <w:lvl w:ilvl="0" w:tplc="BD2A9A18">
      <w:start w:val="1"/>
      <w:numFmt w:val="bullet"/>
      <w:lvlText w:val=""/>
      <w:lvlJc w:val="left"/>
      <w:pPr>
        <w:ind w:left="360" w:hanging="360"/>
      </w:pPr>
      <w:rPr>
        <w:rFonts w:ascii="Symbol" w:hAnsi="Symbol" w:hint="default"/>
      </w:rPr>
    </w:lvl>
    <w:lvl w:ilvl="1" w:tplc="36D62ABC">
      <w:start w:val="1"/>
      <w:numFmt w:val="bullet"/>
      <w:lvlText w:val=""/>
      <w:lvlJc w:val="left"/>
      <w:pPr>
        <w:ind w:left="720" w:hanging="360"/>
      </w:pPr>
      <w:rPr>
        <w:rFonts w:ascii="Symbol" w:hAnsi="Symbol" w:hint="default"/>
      </w:rPr>
    </w:lvl>
    <w:lvl w:ilvl="2" w:tplc="C538723C">
      <w:start w:val="1"/>
      <w:numFmt w:val="bullet"/>
      <w:lvlText w:val=""/>
      <w:lvlJc w:val="left"/>
      <w:pPr>
        <w:ind w:left="1080" w:hanging="360"/>
      </w:pPr>
      <w:rPr>
        <w:rFonts w:ascii="Symbol" w:hAnsi="Symbol" w:hint="default"/>
      </w:rPr>
    </w:lvl>
    <w:lvl w:ilvl="3" w:tplc="F35C98BE">
      <w:start w:val="1"/>
      <w:numFmt w:val="none"/>
      <w:lvlText w:val="%4"/>
      <w:lvlJc w:val="left"/>
      <w:pPr>
        <w:ind w:left="1440" w:hanging="360"/>
      </w:pPr>
      <w:rPr>
        <w:rFonts w:ascii="Symbol" w:hAnsi="Symbol" w:hint="default"/>
        <w:color w:val="auto"/>
      </w:rPr>
    </w:lvl>
    <w:lvl w:ilvl="4" w:tplc="285E2C20">
      <w:start w:val="1"/>
      <w:numFmt w:val="none"/>
      <w:lvlText w:val="%5"/>
      <w:lvlJc w:val="left"/>
      <w:pPr>
        <w:ind w:left="1800" w:hanging="360"/>
      </w:pPr>
      <w:rPr>
        <w:rFonts w:ascii="Symbol" w:hAnsi="Symbol" w:hint="default"/>
        <w:color w:val="auto"/>
      </w:rPr>
    </w:lvl>
    <w:lvl w:ilvl="5" w:tplc="1884C0C8">
      <w:start w:val="1"/>
      <w:numFmt w:val="none"/>
      <w:lvlText w:val="%6"/>
      <w:lvlJc w:val="left"/>
      <w:pPr>
        <w:ind w:left="2160" w:hanging="360"/>
      </w:pPr>
      <w:rPr>
        <w:rFonts w:ascii="Symbol" w:hAnsi="Symbol" w:hint="default"/>
        <w:color w:val="auto"/>
      </w:rPr>
    </w:lvl>
    <w:lvl w:ilvl="6" w:tplc="498E34D6">
      <w:start w:val="1"/>
      <w:numFmt w:val="none"/>
      <w:lvlText w:val="%7"/>
      <w:lvlJc w:val="left"/>
      <w:pPr>
        <w:ind w:left="2520" w:hanging="360"/>
      </w:pPr>
      <w:rPr>
        <w:rFonts w:ascii="Symbol" w:hAnsi="Symbol" w:hint="default"/>
      </w:rPr>
    </w:lvl>
    <w:lvl w:ilvl="7" w:tplc="7608B2CA">
      <w:start w:val="1"/>
      <w:numFmt w:val="none"/>
      <w:lvlText w:val="%8"/>
      <w:lvlJc w:val="left"/>
      <w:pPr>
        <w:ind w:left="2880" w:hanging="360"/>
      </w:pPr>
      <w:rPr>
        <w:rFonts w:ascii="Symbol" w:hAnsi="Symbol" w:hint="default"/>
      </w:rPr>
    </w:lvl>
    <w:lvl w:ilvl="8" w:tplc="6982065E">
      <w:start w:val="1"/>
      <w:numFmt w:val="none"/>
      <w:lvlText w:val="%9"/>
      <w:lvlJc w:val="left"/>
      <w:pPr>
        <w:ind w:left="3240" w:hanging="360"/>
      </w:pPr>
      <w:rPr>
        <w:rFonts w:ascii="Symbol" w:hAnsi="Symbol" w:hint="default"/>
      </w:rPr>
    </w:lvl>
  </w:abstractNum>
  <w:abstractNum w:abstractNumId="6" w15:restartNumberingAfterBreak="0">
    <w:nsid w:val="281C664B"/>
    <w:multiLevelType w:val="hybridMultilevel"/>
    <w:tmpl w:val="147402C8"/>
    <w:styleLink w:val="CoffeyBullets"/>
    <w:lvl w:ilvl="0" w:tplc="580C51C6">
      <w:start w:val="1"/>
      <w:numFmt w:val="bullet"/>
      <w:lvlText w:val=""/>
      <w:lvlJc w:val="left"/>
      <w:pPr>
        <w:tabs>
          <w:tab w:val="num" w:pos="357"/>
        </w:tabs>
        <w:ind w:left="360" w:hanging="360"/>
      </w:pPr>
      <w:rPr>
        <w:rFonts w:ascii="Symbol" w:hAnsi="Symbol" w:hint="default"/>
        <w:color w:val="auto"/>
      </w:rPr>
    </w:lvl>
    <w:lvl w:ilvl="1" w:tplc="982C3F26">
      <w:start w:val="1"/>
      <w:numFmt w:val="bullet"/>
      <w:lvlText w:val=""/>
      <w:lvlJc w:val="left"/>
      <w:pPr>
        <w:tabs>
          <w:tab w:val="num" w:pos="720"/>
        </w:tabs>
        <w:ind w:left="720" w:hanging="360"/>
      </w:pPr>
      <w:rPr>
        <w:rFonts w:ascii="Wingdings" w:hAnsi="Wingdings" w:hint="default"/>
        <w:color w:val="auto"/>
        <w:sz w:val="12"/>
      </w:rPr>
    </w:lvl>
    <w:lvl w:ilvl="2" w:tplc="FF8887EC">
      <w:start w:val="1"/>
      <w:numFmt w:val="bullet"/>
      <w:lvlText w:val=""/>
      <w:lvlJc w:val="left"/>
      <w:pPr>
        <w:tabs>
          <w:tab w:val="num" w:pos="1077"/>
        </w:tabs>
        <w:ind w:left="1080" w:hanging="360"/>
      </w:pPr>
      <w:rPr>
        <w:rFonts w:ascii="Symbol" w:hAnsi="Symbol" w:hint="default"/>
        <w:color w:val="auto"/>
      </w:rPr>
    </w:lvl>
    <w:lvl w:ilvl="3" w:tplc="0D74636E">
      <w:start w:val="1"/>
      <w:numFmt w:val="decimal"/>
      <w:lvlText w:val="(%4)"/>
      <w:lvlJc w:val="left"/>
      <w:pPr>
        <w:ind w:left="1440" w:hanging="360"/>
      </w:pPr>
      <w:rPr>
        <w:rFonts w:hint="default"/>
      </w:rPr>
    </w:lvl>
    <w:lvl w:ilvl="4" w:tplc="0F8E08DC">
      <w:start w:val="1"/>
      <w:numFmt w:val="lowerLetter"/>
      <w:lvlText w:val="(%5)"/>
      <w:lvlJc w:val="left"/>
      <w:pPr>
        <w:ind w:left="1800" w:hanging="360"/>
      </w:pPr>
      <w:rPr>
        <w:rFonts w:hint="default"/>
      </w:rPr>
    </w:lvl>
    <w:lvl w:ilvl="5" w:tplc="61B49722">
      <w:start w:val="1"/>
      <w:numFmt w:val="lowerRoman"/>
      <w:lvlText w:val="(%6)"/>
      <w:lvlJc w:val="left"/>
      <w:pPr>
        <w:ind w:left="2160" w:hanging="360"/>
      </w:pPr>
      <w:rPr>
        <w:rFonts w:hint="default"/>
      </w:rPr>
    </w:lvl>
    <w:lvl w:ilvl="6" w:tplc="715430F6">
      <w:start w:val="1"/>
      <w:numFmt w:val="decimal"/>
      <w:lvlText w:val="%7."/>
      <w:lvlJc w:val="left"/>
      <w:pPr>
        <w:ind w:left="2520" w:hanging="360"/>
      </w:pPr>
      <w:rPr>
        <w:rFonts w:hint="default"/>
      </w:rPr>
    </w:lvl>
    <w:lvl w:ilvl="7" w:tplc="95F67CE6">
      <w:start w:val="1"/>
      <w:numFmt w:val="lowerLetter"/>
      <w:lvlText w:val="%8."/>
      <w:lvlJc w:val="left"/>
      <w:pPr>
        <w:ind w:left="2880" w:hanging="360"/>
      </w:pPr>
      <w:rPr>
        <w:rFonts w:hint="default"/>
      </w:rPr>
    </w:lvl>
    <w:lvl w:ilvl="8" w:tplc="0A687EAA">
      <w:start w:val="1"/>
      <w:numFmt w:val="lowerRoman"/>
      <w:lvlText w:val="%9."/>
      <w:lvlJc w:val="left"/>
      <w:pPr>
        <w:ind w:left="3240" w:hanging="360"/>
      </w:pPr>
      <w:rPr>
        <w:rFonts w:hint="default"/>
      </w:rPr>
    </w:lvl>
  </w:abstractNum>
  <w:abstractNum w:abstractNumId="7" w15:restartNumberingAfterBreak="0">
    <w:nsid w:val="2A943AE1"/>
    <w:multiLevelType w:val="hybridMultilevel"/>
    <w:tmpl w:val="24A2E0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B5E6F31"/>
    <w:multiLevelType w:val="hybridMultilevel"/>
    <w:tmpl w:val="02942230"/>
    <w:lvl w:ilvl="0" w:tplc="E79CDA74">
      <w:start w:val="1"/>
      <w:numFmt w:val="bullet"/>
      <w:pStyle w:val="2ndLevelBullets"/>
      <w:lvlText w:val=""/>
      <w:lvlJc w:val="left"/>
      <w:pPr>
        <w:ind w:left="360" w:hanging="360"/>
      </w:pPr>
      <w:rPr>
        <w:rFonts w:ascii="Symbol" w:hAnsi="Symbol" w:hint="default"/>
        <w:sz w:val="19"/>
        <w:szCs w:val="19"/>
      </w:rPr>
    </w:lvl>
    <w:lvl w:ilvl="1" w:tplc="4DE6F1DA" w:tentative="1">
      <w:start w:val="1"/>
      <w:numFmt w:val="lowerLetter"/>
      <w:lvlText w:val="%2."/>
      <w:lvlJc w:val="left"/>
      <w:pPr>
        <w:ind w:left="1080" w:hanging="360"/>
      </w:pPr>
    </w:lvl>
    <w:lvl w:ilvl="2" w:tplc="C97E7B56" w:tentative="1">
      <w:start w:val="1"/>
      <w:numFmt w:val="lowerRoman"/>
      <w:lvlText w:val="%3."/>
      <w:lvlJc w:val="right"/>
      <w:pPr>
        <w:ind w:left="1800" w:hanging="180"/>
      </w:pPr>
    </w:lvl>
    <w:lvl w:ilvl="3" w:tplc="372E6AFA" w:tentative="1">
      <w:start w:val="1"/>
      <w:numFmt w:val="decimal"/>
      <w:lvlText w:val="%4."/>
      <w:lvlJc w:val="left"/>
      <w:pPr>
        <w:ind w:left="2520" w:hanging="360"/>
      </w:pPr>
    </w:lvl>
    <w:lvl w:ilvl="4" w:tplc="5EFA2F82" w:tentative="1">
      <w:start w:val="1"/>
      <w:numFmt w:val="lowerLetter"/>
      <w:lvlText w:val="%5."/>
      <w:lvlJc w:val="left"/>
      <w:pPr>
        <w:ind w:left="3240" w:hanging="360"/>
      </w:pPr>
    </w:lvl>
    <w:lvl w:ilvl="5" w:tplc="DBF0473C" w:tentative="1">
      <w:start w:val="1"/>
      <w:numFmt w:val="lowerRoman"/>
      <w:lvlText w:val="%6."/>
      <w:lvlJc w:val="right"/>
      <w:pPr>
        <w:ind w:left="3960" w:hanging="180"/>
      </w:pPr>
    </w:lvl>
    <w:lvl w:ilvl="6" w:tplc="3118E16A" w:tentative="1">
      <w:start w:val="1"/>
      <w:numFmt w:val="decimal"/>
      <w:lvlText w:val="%7."/>
      <w:lvlJc w:val="left"/>
      <w:pPr>
        <w:ind w:left="4680" w:hanging="360"/>
      </w:pPr>
    </w:lvl>
    <w:lvl w:ilvl="7" w:tplc="379A7464" w:tentative="1">
      <w:start w:val="1"/>
      <w:numFmt w:val="lowerLetter"/>
      <w:lvlText w:val="%8."/>
      <w:lvlJc w:val="left"/>
      <w:pPr>
        <w:ind w:left="5400" w:hanging="360"/>
      </w:pPr>
    </w:lvl>
    <w:lvl w:ilvl="8" w:tplc="9A9CFF7A" w:tentative="1">
      <w:start w:val="1"/>
      <w:numFmt w:val="lowerRoman"/>
      <w:lvlText w:val="%9."/>
      <w:lvlJc w:val="right"/>
      <w:pPr>
        <w:ind w:left="6120" w:hanging="180"/>
      </w:pPr>
    </w:lvl>
  </w:abstractNum>
  <w:abstractNum w:abstractNumId="9" w15:restartNumberingAfterBreak="0">
    <w:nsid w:val="2DF37954"/>
    <w:multiLevelType w:val="hybridMultilevel"/>
    <w:tmpl w:val="EB14F7AC"/>
    <w:lvl w:ilvl="0" w:tplc="2D08112E">
      <w:start w:val="1"/>
      <w:numFmt w:val="bullet"/>
      <w:pStyle w:val="Boxbullet"/>
      <w:lvlText w:val=""/>
      <w:lvlJc w:val="left"/>
      <w:pPr>
        <w:ind w:left="2288" w:hanging="360"/>
      </w:pPr>
      <w:rPr>
        <w:rFonts w:ascii="Symbol" w:hAnsi="Symbol" w:hint="default"/>
      </w:rPr>
    </w:lvl>
    <w:lvl w:ilvl="1" w:tplc="0C090003" w:tentative="1">
      <w:start w:val="1"/>
      <w:numFmt w:val="bullet"/>
      <w:lvlText w:val="o"/>
      <w:lvlJc w:val="left"/>
      <w:pPr>
        <w:ind w:left="3008" w:hanging="360"/>
      </w:pPr>
      <w:rPr>
        <w:rFonts w:ascii="Courier New" w:hAnsi="Courier New" w:cs="Courier New" w:hint="default"/>
      </w:rPr>
    </w:lvl>
    <w:lvl w:ilvl="2" w:tplc="0C090005" w:tentative="1">
      <w:start w:val="1"/>
      <w:numFmt w:val="bullet"/>
      <w:lvlText w:val=""/>
      <w:lvlJc w:val="left"/>
      <w:pPr>
        <w:ind w:left="3728" w:hanging="360"/>
      </w:pPr>
      <w:rPr>
        <w:rFonts w:ascii="Wingdings" w:hAnsi="Wingdings" w:hint="default"/>
      </w:rPr>
    </w:lvl>
    <w:lvl w:ilvl="3" w:tplc="0C090001" w:tentative="1">
      <w:start w:val="1"/>
      <w:numFmt w:val="bullet"/>
      <w:lvlText w:val=""/>
      <w:lvlJc w:val="left"/>
      <w:pPr>
        <w:ind w:left="4448" w:hanging="360"/>
      </w:pPr>
      <w:rPr>
        <w:rFonts w:ascii="Symbol" w:hAnsi="Symbol" w:hint="default"/>
      </w:rPr>
    </w:lvl>
    <w:lvl w:ilvl="4" w:tplc="0C090003" w:tentative="1">
      <w:start w:val="1"/>
      <w:numFmt w:val="bullet"/>
      <w:lvlText w:val="o"/>
      <w:lvlJc w:val="left"/>
      <w:pPr>
        <w:ind w:left="5168" w:hanging="360"/>
      </w:pPr>
      <w:rPr>
        <w:rFonts w:ascii="Courier New" w:hAnsi="Courier New" w:cs="Courier New" w:hint="default"/>
      </w:rPr>
    </w:lvl>
    <w:lvl w:ilvl="5" w:tplc="0C090005" w:tentative="1">
      <w:start w:val="1"/>
      <w:numFmt w:val="bullet"/>
      <w:lvlText w:val=""/>
      <w:lvlJc w:val="left"/>
      <w:pPr>
        <w:ind w:left="5888" w:hanging="360"/>
      </w:pPr>
      <w:rPr>
        <w:rFonts w:ascii="Wingdings" w:hAnsi="Wingdings" w:hint="default"/>
      </w:rPr>
    </w:lvl>
    <w:lvl w:ilvl="6" w:tplc="0C090001" w:tentative="1">
      <w:start w:val="1"/>
      <w:numFmt w:val="bullet"/>
      <w:lvlText w:val=""/>
      <w:lvlJc w:val="left"/>
      <w:pPr>
        <w:ind w:left="6608" w:hanging="360"/>
      </w:pPr>
      <w:rPr>
        <w:rFonts w:ascii="Symbol" w:hAnsi="Symbol" w:hint="default"/>
      </w:rPr>
    </w:lvl>
    <w:lvl w:ilvl="7" w:tplc="0C090003" w:tentative="1">
      <w:start w:val="1"/>
      <w:numFmt w:val="bullet"/>
      <w:lvlText w:val="o"/>
      <w:lvlJc w:val="left"/>
      <w:pPr>
        <w:ind w:left="7328" w:hanging="360"/>
      </w:pPr>
      <w:rPr>
        <w:rFonts w:ascii="Courier New" w:hAnsi="Courier New" w:cs="Courier New" w:hint="default"/>
      </w:rPr>
    </w:lvl>
    <w:lvl w:ilvl="8" w:tplc="0C090005" w:tentative="1">
      <w:start w:val="1"/>
      <w:numFmt w:val="bullet"/>
      <w:lvlText w:val=""/>
      <w:lvlJc w:val="left"/>
      <w:pPr>
        <w:ind w:left="8048" w:hanging="360"/>
      </w:pPr>
      <w:rPr>
        <w:rFonts w:ascii="Wingdings" w:hAnsi="Wingdings" w:hint="default"/>
      </w:rPr>
    </w:lvl>
  </w:abstractNum>
  <w:abstractNum w:abstractNumId="10" w15:restartNumberingAfterBreak="0">
    <w:nsid w:val="30A60982"/>
    <w:multiLevelType w:val="hybridMultilevel"/>
    <w:tmpl w:val="D4A2EB2E"/>
    <w:lvl w:ilvl="0" w:tplc="B4B06008">
      <w:start w:val="1"/>
      <w:numFmt w:val="bullet"/>
      <w:pStyle w:val="Table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5135D60"/>
    <w:multiLevelType w:val="hybridMultilevel"/>
    <w:tmpl w:val="B39A8824"/>
    <w:lvl w:ilvl="0" w:tplc="7A06AF44">
      <w:start w:val="1"/>
      <w:numFmt w:val="bullet"/>
      <w:pStyle w:val="BulletPoints"/>
      <w:lvlText w:val=""/>
      <w:lvlJc w:val="left"/>
      <w:pPr>
        <w:tabs>
          <w:tab w:val="num" w:pos="198"/>
        </w:tabs>
        <w:ind w:left="720" w:hanging="238"/>
      </w:pPr>
      <w:rPr>
        <w:rFonts w:ascii="Symbol" w:hAnsi="Symbol" w:hint="default"/>
      </w:rPr>
    </w:lvl>
    <w:lvl w:ilvl="1" w:tplc="6D409B08" w:tentative="1">
      <w:start w:val="1"/>
      <w:numFmt w:val="bullet"/>
      <w:lvlText w:val="o"/>
      <w:lvlJc w:val="left"/>
      <w:pPr>
        <w:tabs>
          <w:tab w:val="num" w:pos="1440"/>
        </w:tabs>
        <w:ind w:left="1440" w:hanging="360"/>
      </w:pPr>
      <w:rPr>
        <w:rFonts w:ascii="Courier New" w:hAnsi="Courier New" w:cs="Courier New" w:hint="default"/>
      </w:rPr>
    </w:lvl>
    <w:lvl w:ilvl="2" w:tplc="2C9CD43C" w:tentative="1">
      <w:start w:val="1"/>
      <w:numFmt w:val="bullet"/>
      <w:lvlText w:val=""/>
      <w:lvlJc w:val="left"/>
      <w:pPr>
        <w:tabs>
          <w:tab w:val="num" w:pos="2160"/>
        </w:tabs>
        <w:ind w:left="2160" w:hanging="360"/>
      </w:pPr>
      <w:rPr>
        <w:rFonts w:ascii="Wingdings" w:hAnsi="Wingdings" w:hint="default"/>
      </w:rPr>
    </w:lvl>
    <w:lvl w:ilvl="3" w:tplc="ADAAC9FA" w:tentative="1">
      <w:start w:val="1"/>
      <w:numFmt w:val="bullet"/>
      <w:lvlText w:val=""/>
      <w:lvlJc w:val="left"/>
      <w:pPr>
        <w:tabs>
          <w:tab w:val="num" w:pos="2880"/>
        </w:tabs>
        <w:ind w:left="2880" w:hanging="360"/>
      </w:pPr>
      <w:rPr>
        <w:rFonts w:ascii="Symbol" w:hAnsi="Symbol" w:hint="default"/>
      </w:rPr>
    </w:lvl>
    <w:lvl w:ilvl="4" w:tplc="07D00096" w:tentative="1">
      <w:start w:val="1"/>
      <w:numFmt w:val="bullet"/>
      <w:lvlText w:val="o"/>
      <w:lvlJc w:val="left"/>
      <w:pPr>
        <w:tabs>
          <w:tab w:val="num" w:pos="3600"/>
        </w:tabs>
        <w:ind w:left="3600" w:hanging="360"/>
      </w:pPr>
      <w:rPr>
        <w:rFonts w:ascii="Courier New" w:hAnsi="Courier New" w:cs="Courier New" w:hint="default"/>
      </w:rPr>
    </w:lvl>
    <w:lvl w:ilvl="5" w:tplc="F9409DAA" w:tentative="1">
      <w:start w:val="1"/>
      <w:numFmt w:val="bullet"/>
      <w:lvlText w:val=""/>
      <w:lvlJc w:val="left"/>
      <w:pPr>
        <w:tabs>
          <w:tab w:val="num" w:pos="4320"/>
        </w:tabs>
        <w:ind w:left="4320" w:hanging="360"/>
      </w:pPr>
      <w:rPr>
        <w:rFonts w:ascii="Wingdings" w:hAnsi="Wingdings" w:hint="default"/>
      </w:rPr>
    </w:lvl>
    <w:lvl w:ilvl="6" w:tplc="FFFC2D56" w:tentative="1">
      <w:start w:val="1"/>
      <w:numFmt w:val="bullet"/>
      <w:lvlText w:val=""/>
      <w:lvlJc w:val="left"/>
      <w:pPr>
        <w:tabs>
          <w:tab w:val="num" w:pos="5040"/>
        </w:tabs>
        <w:ind w:left="5040" w:hanging="360"/>
      </w:pPr>
      <w:rPr>
        <w:rFonts w:ascii="Symbol" w:hAnsi="Symbol" w:hint="default"/>
      </w:rPr>
    </w:lvl>
    <w:lvl w:ilvl="7" w:tplc="A3F21F64" w:tentative="1">
      <w:start w:val="1"/>
      <w:numFmt w:val="bullet"/>
      <w:lvlText w:val="o"/>
      <w:lvlJc w:val="left"/>
      <w:pPr>
        <w:tabs>
          <w:tab w:val="num" w:pos="5760"/>
        </w:tabs>
        <w:ind w:left="5760" w:hanging="360"/>
      </w:pPr>
      <w:rPr>
        <w:rFonts w:ascii="Courier New" w:hAnsi="Courier New" w:cs="Courier New" w:hint="default"/>
      </w:rPr>
    </w:lvl>
    <w:lvl w:ilvl="8" w:tplc="8B56027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947DF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E7A0426"/>
    <w:multiLevelType w:val="hybridMultilevel"/>
    <w:tmpl w:val="D256C3EA"/>
    <w:lvl w:ilvl="0" w:tplc="7FAC6D72">
      <w:start w:val="1"/>
      <w:numFmt w:val="decimal"/>
      <w:lvlRestart w:val="0"/>
      <w:pStyle w:val="NumberedList"/>
      <w:lvlText w:val="%1."/>
      <w:lvlJc w:val="left"/>
      <w:pPr>
        <w:ind w:left="360" w:hanging="360"/>
      </w:pPr>
      <w:rPr>
        <w:b/>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AB07B06"/>
    <w:multiLevelType w:val="hybridMultilevel"/>
    <w:tmpl w:val="7F963E1A"/>
    <w:styleLink w:val="CoffeyNumbers"/>
    <w:lvl w:ilvl="0" w:tplc="30582584">
      <w:start w:val="1"/>
      <w:numFmt w:val="decimal"/>
      <w:pStyle w:val="CoffeyNumbersL1"/>
      <w:lvlText w:val="%1."/>
      <w:lvlJc w:val="left"/>
      <w:pPr>
        <w:tabs>
          <w:tab w:val="num" w:pos="357"/>
        </w:tabs>
        <w:ind w:left="360" w:hanging="360"/>
      </w:pPr>
      <w:rPr>
        <w:rFonts w:hint="default"/>
      </w:rPr>
    </w:lvl>
    <w:lvl w:ilvl="1" w:tplc="96F2539E">
      <w:start w:val="1"/>
      <w:numFmt w:val="lowerLetter"/>
      <w:pStyle w:val="CoffeyNumbersL2"/>
      <w:lvlText w:val="%2."/>
      <w:lvlJc w:val="left"/>
      <w:pPr>
        <w:tabs>
          <w:tab w:val="num" w:pos="720"/>
        </w:tabs>
        <w:ind w:left="720" w:hanging="360"/>
      </w:pPr>
      <w:rPr>
        <w:rFonts w:hint="default"/>
      </w:rPr>
    </w:lvl>
    <w:lvl w:ilvl="2" w:tplc="4D40FB5E">
      <w:start w:val="1"/>
      <w:numFmt w:val="lowerRoman"/>
      <w:pStyle w:val="CoffeyNumbersL3"/>
      <w:lvlText w:val="%3."/>
      <w:lvlJc w:val="left"/>
      <w:pPr>
        <w:tabs>
          <w:tab w:val="num" w:pos="1077"/>
        </w:tabs>
        <w:ind w:left="1080" w:hanging="360"/>
      </w:pPr>
      <w:rPr>
        <w:rFonts w:hint="default"/>
      </w:rPr>
    </w:lvl>
    <w:lvl w:ilvl="3" w:tplc="EF90EB70">
      <w:start w:val="1"/>
      <w:numFmt w:val="decimal"/>
      <w:lvlText w:val="(%4)"/>
      <w:lvlJc w:val="left"/>
      <w:pPr>
        <w:ind w:left="1440" w:hanging="360"/>
      </w:pPr>
      <w:rPr>
        <w:rFonts w:hint="default"/>
      </w:rPr>
    </w:lvl>
    <w:lvl w:ilvl="4" w:tplc="A9B41250">
      <w:start w:val="1"/>
      <w:numFmt w:val="lowerLetter"/>
      <w:lvlText w:val="(%5)"/>
      <w:lvlJc w:val="left"/>
      <w:pPr>
        <w:ind w:left="1800" w:hanging="360"/>
      </w:pPr>
      <w:rPr>
        <w:rFonts w:hint="default"/>
      </w:rPr>
    </w:lvl>
    <w:lvl w:ilvl="5" w:tplc="0CA805B6">
      <w:start w:val="1"/>
      <w:numFmt w:val="lowerRoman"/>
      <w:lvlText w:val="(%6)"/>
      <w:lvlJc w:val="left"/>
      <w:pPr>
        <w:ind w:left="2160" w:hanging="360"/>
      </w:pPr>
      <w:rPr>
        <w:rFonts w:hint="default"/>
      </w:rPr>
    </w:lvl>
    <w:lvl w:ilvl="6" w:tplc="9216F92C">
      <w:start w:val="1"/>
      <w:numFmt w:val="decimal"/>
      <w:lvlText w:val="%7."/>
      <w:lvlJc w:val="left"/>
      <w:pPr>
        <w:ind w:left="2520" w:hanging="360"/>
      </w:pPr>
      <w:rPr>
        <w:rFonts w:hint="default"/>
      </w:rPr>
    </w:lvl>
    <w:lvl w:ilvl="7" w:tplc="9A2E64CA">
      <w:start w:val="1"/>
      <w:numFmt w:val="lowerLetter"/>
      <w:lvlText w:val="%8."/>
      <w:lvlJc w:val="left"/>
      <w:pPr>
        <w:ind w:left="2880" w:hanging="360"/>
      </w:pPr>
      <w:rPr>
        <w:rFonts w:hint="default"/>
      </w:rPr>
    </w:lvl>
    <w:lvl w:ilvl="8" w:tplc="2E7A5E0E">
      <w:start w:val="1"/>
      <w:numFmt w:val="lowerRoman"/>
      <w:lvlText w:val="%9."/>
      <w:lvlJc w:val="left"/>
      <w:pPr>
        <w:ind w:left="3240" w:hanging="360"/>
      </w:pPr>
      <w:rPr>
        <w:rFonts w:hint="default"/>
      </w:rPr>
    </w:lvl>
  </w:abstractNum>
  <w:abstractNum w:abstractNumId="15" w15:restartNumberingAfterBreak="0">
    <w:nsid w:val="4DE338DE"/>
    <w:multiLevelType w:val="multilevel"/>
    <w:tmpl w:val="C16002BE"/>
    <w:numStyleLink w:val="ListBullets"/>
  </w:abstractNum>
  <w:abstractNum w:abstractNumId="16" w15:restartNumberingAfterBreak="0">
    <w:nsid w:val="554206AC"/>
    <w:multiLevelType w:val="multilevel"/>
    <w:tmpl w:val="20D25D6E"/>
    <w:lvl w:ilvl="0">
      <w:start w:val="1"/>
      <w:numFmt w:val="decimal"/>
      <w:pStyle w:val="Heading1NoNumbers"/>
      <w:lvlText w:val="%1"/>
      <w:lvlJc w:val="left"/>
      <w:pPr>
        <w:ind w:left="432" w:hanging="432"/>
      </w:pPr>
    </w:lvl>
    <w:lvl w:ilvl="1">
      <w:start w:val="1"/>
      <w:numFmt w:val="decimal"/>
      <w:pStyle w:val="Heading2NoNumbers"/>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A9E312F"/>
    <w:multiLevelType w:val="multilevel"/>
    <w:tmpl w:val="D4184F14"/>
    <w:styleLink w:val="Headings"/>
    <w:lvl w:ilvl="0">
      <w:start w:val="1"/>
      <w:numFmt w:val="decimal"/>
      <w:lvlText w:val="%1."/>
      <w:lvlJc w:val="left"/>
      <w:pPr>
        <w:tabs>
          <w:tab w:val="num" w:pos="782"/>
        </w:tabs>
        <w:ind w:left="782" w:hanging="782"/>
      </w:pPr>
      <w:rPr>
        <w:rFonts w:hint="default"/>
      </w:rPr>
    </w:lvl>
    <w:lvl w:ilvl="1">
      <w:start w:val="1"/>
      <w:numFmt w:val="decimal"/>
      <w:lvlText w:val="%1.%2."/>
      <w:lvlJc w:val="left"/>
      <w:pPr>
        <w:tabs>
          <w:tab w:val="num" w:pos="782"/>
        </w:tabs>
        <w:ind w:left="782" w:hanging="782"/>
      </w:pPr>
      <w:rPr>
        <w:rFonts w:hint="default"/>
      </w:rPr>
    </w:lvl>
    <w:lvl w:ilvl="2">
      <w:start w:val="1"/>
      <w:numFmt w:val="decimal"/>
      <w:lvlText w:val="%1.%2.%3."/>
      <w:lvlJc w:val="left"/>
      <w:pPr>
        <w:tabs>
          <w:tab w:val="num" w:pos="1072"/>
        </w:tabs>
        <w:ind w:left="1072" w:hanging="1072"/>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upperLetter"/>
      <w:suff w:val="space"/>
      <w:lvlText w:val="Appendix %7"/>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8" w15:restartNumberingAfterBreak="0">
    <w:nsid w:val="5D56043A"/>
    <w:multiLevelType w:val="multilevel"/>
    <w:tmpl w:val="69AEB596"/>
    <w:numStyleLink w:val="BulletsList"/>
  </w:abstractNum>
  <w:abstractNum w:abstractNumId="19" w15:restartNumberingAfterBreak="0">
    <w:nsid w:val="5D717107"/>
    <w:multiLevelType w:val="hybridMultilevel"/>
    <w:tmpl w:val="DE4CB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3E5C87"/>
    <w:multiLevelType w:val="hybridMultilevel"/>
    <w:tmpl w:val="FA58B8FC"/>
    <w:styleLink w:val="ListNumbers"/>
    <w:lvl w:ilvl="0" w:tplc="49883306">
      <w:start w:val="1"/>
      <w:numFmt w:val="decimal"/>
      <w:lvlText w:val="%1."/>
      <w:lvlJc w:val="left"/>
      <w:pPr>
        <w:ind w:left="714" w:hanging="357"/>
      </w:pPr>
      <w:rPr>
        <w:rFonts w:hint="default"/>
      </w:rPr>
    </w:lvl>
    <w:lvl w:ilvl="1" w:tplc="DEEECFA0">
      <w:start w:val="1"/>
      <w:numFmt w:val="lowerLetter"/>
      <w:lvlText w:val="%2."/>
      <w:lvlJc w:val="left"/>
      <w:pPr>
        <w:ind w:left="1071" w:hanging="357"/>
      </w:pPr>
      <w:rPr>
        <w:rFonts w:hint="default"/>
      </w:rPr>
    </w:lvl>
    <w:lvl w:ilvl="2" w:tplc="DF80B8DC">
      <w:start w:val="1"/>
      <w:numFmt w:val="lowerRoman"/>
      <w:lvlText w:val="%3."/>
      <w:lvlJc w:val="left"/>
      <w:pPr>
        <w:ind w:left="1428" w:hanging="357"/>
      </w:pPr>
      <w:rPr>
        <w:rFonts w:hint="default"/>
      </w:rPr>
    </w:lvl>
    <w:lvl w:ilvl="3" w:tplc="82DEE2F0">
      <w:start w:val="1"/>
      <w:numFmt w:val="none"/>
      <w:lvlText w:val=""/>
      <w:lvlJc w:val="left"/>
      <w:pPr>
        <w:ind w:left="1785" w:hanging="357"/>
      </w:pPr>
      <w:rPr>
        <w:rFonts w:hint="default"/>
      </w:rPr>
    </w:lvl>
    <w:lvl w:ilvl="4" w:tplc="A0F0A47E">
      <w:start w:val="1"/>
      <w:numFmt w:val="none"/>
      <w:lvlText w:val=""/>
      <w:lvlJc w:val="left"/>
      <w:pPr>
        <w:ind w:left="2142" w:hanging="357"/>
      </w:pPr>
      <w:rPr>
        <w:rFonts w:hint="default"/>
      </w:rPr>
    </w:lvl>
    <w:lvl w:ilvl="5" w:tplc="27042372">
      <w:start w:val="1"/>
      <w:numFmt w:val="none"/>
      <w:lvlText w:val=""/>
      <w:lvlJc w:val="left"/>
      <w:pPr>
        <w:ind w:left="2499" w:hanging="357"/>
      </w:pPr>
      <w:rPr>
        <w:rFonts w:hint="default"/>
      </w:rPr>
    </w:lvl>
    <w:lvl w:ilvl="6" w:tplc="237CCFC0">
      <w:start w:val="1"/>
      <w:numFmt w:val="none"/>
      <w:lvlText w:val=""/>
      <w:lvlJc w:val="left"/>
      <w:pPr>
        <w:ind w:left="2856" w:hanging="357"/>
      </w:pPr>
      <w:rPr>
        <w:rFonts w:hint="default"/>
      </w:rPr>
    </w:lvl>
    <w:lvl w:ilvl="7" w:tplc="B85054BE">
      <w:start w:val="1"/>
      <w:numFmt w:val="none"/>
      <w:lvlText w:val=""/>
      <w:lvlJc w:val="left"/>
      <w:pPr>
        <w:ind w:left="3213" w:hanging="357"/>
      </w:pPr>
      <w:rPr>
        <w:rFonts w:hint="default"/>
      </w:rPr>
    </w:lvl>
    <w:lvl w:ilvl="8" w:tplc="55448E72">
      <w:start w:val="1"/>
      <w:numFmt w:val="none"/>
      <w:lvlText w:val=""/>
      <w:lvlJc w:val="left"/>
      <w:pPr>
        <w:ind w:left="3570" w:hanging="357"/>
      </w:pPr>
      <w:rPr>
        <w:rFonts w:hint="default"/>
      </w:rPr>
    </w:lvl>
  </w:abstractNum>
  <w:abstractNum w:abstractNumId="21" w15:restartNumberingAfterBreak="0">
    <w:nsid w:val="673411A9"/>
    <w:multiLevelType w:val="multilevel"/>
    <w:tmpl w:val="6484B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ED3266"/>
    <w:multiLevelType w:val="multilevel"/>
    <w:tmpl w:val="B60431E2"/>
    <w:name w:val="AGSConfDash22222222"/>
    <w:lvl w:ilvl="0">
      <w:start w:val="1"/>
      <w:numFmt w:val="decimal"/>
      <w:lvlText w:val="%1."/>
      <w:lvlJc w:val="left"/>
      <w:pPr>
        <w:ind w:left="360" w:hanging="360"/>
      </w:p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E3374A9"/>
    <w:multiLevelType w:val="hybridMultilevel"/>
    <w:tmpl w:val="67E2AB32"/>
    <w:lvl w:ilvl="0" w:tplc="74EE3C1E">
      <w:start w:val="1"/>
      <w:numFmt w:val="bullet"/>
      <w:pStyle w:val="BodyBullets"/>
      <w:lvlText w:val=""/>
      <w:lvlJc w:val="left"/>
      <w:pPr>
        <w:tabs>
          <w:tab w:val="num" w:pos="0"/>
        </w:tabs>
        <w:ind w:left="284" w:firstLine="0"/>
      </w:pPr>
      <w:rPr>
        <w:rFonts w:ascii="Symbol" w:hAnsi="Symbol" w:hint="default"/>
        <w:color w:val="000000"/>
        <w:sz w:val="20"/>
        <w:szCs w:val="20"/>
      </w:rPr>
    </w:lvl>
    <w:lvl w:ilvl="1" w:tplc="A34C2062" w:tentative="1">
      <w:start w:val="1"/>
      <w:numFmt w:val="bullet"/>
      <w:lvlText w:val="o"/>
      <w:lvlJc w:val="left"/>
      <w:pPr>
        <w:tabs>
          <w:tab w:val="num" w:pos="1440"/>
        </w:tabs>
        <w:ind w:left="1440" w:hanging="360"/>
      </w:pPr>
      <w:rPr>
        <w:rFonts w:ascii="Courier New" w:hAnsi="Courier New" w:cs="Courier New" w:hint="default"/>
      </w:rPr>
    </w:lvl>
    <w:lvl w:ilvl="2" w:tplc="D840BCB0">
      <w:start w:val="1"/>
      <w:numFmt w:val="bullet"/>
      <w:lvlText w:val=""/>
      <w:lvlJc w:val="left"/>
      <w:pPr>
        <w:tabs>
          <w:tab w:val="num" w:pos="2160"/>
        </w:tabs>
        <w:ind w:left="2160" w:hanging="360"/>
      </w:pPr>
      <w:rPr>
        <w:rFonts w:ascii="Wingdings" w:hAnsi="Wingdings" w:hint="default"/>
      </w:rPr>
    </w:lvl>
    <w:lvl w:ilvl="3" w:tplc="3D14BD3C" w:tentative="1">
      <w:start w:val="1"/>
      <w:numFmt w:val="bullet"/>
      <w:lvlText w:val=""/>
      <w:lvlJc w:val="left"/>
      <w:pPr>
        <w:tabs>
          <w:tab w:val="num" w:pos="2880"/>
        </w:tabs>
        <w:ind w:left="2880" w:hanging="360"/>
      </w:pPr>
      <w:rPr>
        <w:rFonts w:ascii="Symbol" w:hAnsi="Symbol" w:hint="default"/>
      </w:rPr>
    </w:lvl>
    <w:lvl w:ilvl="4" w:tplc="395C0C7E" w:tentative="1">
      <w:start w:val="1"/>
      <w:numFmt w:val="bullet"/>
      <w:lvlText w:val="o"/>
      <w:lvlJc w:val="left"/>
      <w:pPr>
        <w:tabs>
          <w:tab w:val="num" w:pos="3600"/>
        </w:tabs>
        <w:ind w:left="3600" w:hanging="360"/>
      </w:pPr>
      <w:rPr>
        <w:rFonts w:ascii="Courier New" w:hAnsi="Courier New" w:cs="Courier New" w:hint="default"/>
      </w:rPr>
    </w:lvl>
    <w:lvl w:ilvl="5" w:tplc="BF00FFF0" w:tentative="1">
      <w:start w:val="1"/>
      <w:numFmt w:val="bullet"/>
      <w:lvlText w:val=""/>
      <w:lvlJc w:val="left"/>
      <w:pPr>
        <w:tabs>
          <w:tab w:val="num" w:pos="4320"/>
        </w:tabs>
        <w:ind w:left="4320" w:hanging="360"/>
      </w:pPr>
      <w:rPr>
        <w:rFonts w:ascii="Wingdings" w:hAnsi="Wingdings" w:hint="default"/>
      </w:rPr>
    </w:lvl>
    <w:lvl w:ilvl="6" w:tplc="3A0A079C" w:tentative="1">
      <w:start w:val="1"/>
      <w:numFmt w:val="bullet"/>
      <w:lvlText w:val=""/>
      <w:lvlJc w:val="left"/>
      <w:pPr>
        <w:tabs>
          <w:tab w:val="num" w:pos="5040"/>
        </w:tabs>
        <w:ind w:left="5040" w:hanging="360"/>
      </w:pPr>
      <w:rPr>
        <w:rFonts w:ascii="Symbol" w:hAnsi="Symbol" w:hint="default"/>
      </w:rPr>
    </w:lvl>
    <w:lvl w:ilvl="7" w:tplc="29BA09BA" w:tentative="1">
      <w:start w:val="1"/>
      <w:numFmt w:val="bullet"/>
      <w:lvlText w:val="o"/>
      <w:lvlJc w:val="left"/>
      <w:pPr>
        <w:tabs>
          <w:tab w:val="num" w:pos="5760"/>
        </w:tabs>
        <w:ind w:left="5760" w:hanging="360"/>
      </w:pPr>
      <w:rPr>
        <w:rFonts w:ascii="Courier New" w:hAnsi="Courier New" w:cs="Courier New" w:hint="default"/>
      </w:rPr>
    </w:lvl>
    <w:lvl w:ilvl="8" w:tplc="747085C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40099F"/>
    <w:multiLevelType w:val="hybridMultilevel"/>
    <w:tmpl w:val="B366DF86"/>
    <w:lvl w:ilvl="0" w:tplc="EF2C2832">
      <w:start w:val="1"/>
      <w:numFmt w:val="bullet"/>
      <w:pStyle w:val="Bulleted"/>
      <w:lvlText w:val="—"/>
      <w:lvlJc w:val="left"/>
      <w:pPr>
        <w:ind w:left="720" w:hanging="360"/>
      </w:pPr>
      <w:rPr>
        <w:rFonts w:ascii="Wingdings 2" w:hAnsi="Wingdings 2" w:cs="Wingdings 2"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15:restartNumberingAfterBreak="0">
    <w:nsid w:val="70F3787F"/>
    <w:multiLevelType w:val="multilevel"/>
    <w:tmpl w:val="DDC68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107305"/>
    <w:multiLevelType w:val="multilevel"/>
    <w:tmpl w:val="69AEB596"/>
    <w:styleLink w:val="BulletsList"/>
    <w:lvl w:ilvl="0">
      <w:start w:val="1"/>
      <w:numFmt w:val="bullet"/>
      <w:pStyle w:val="Bullet1"/>
      <w:lvlText w:val=""/>
      <w:lvlJc w:val="left"/>
      <w:pPr>
        <w:tabs>
          <w:tab w:val="num" w:pos="284"/>
        </w:tabs>
        <w:ind w:left="284" w:hanging="284"/>
      </w:pPr>
      <w:rPr>
        <w:rFonts w:ascii="Symbol" w:hAnsi="Symbol" w:hint="default"/>
        <w:color w:val="007C89" w:themeColor="accent1"/>
      </w:rPr>
    </w:lvl>
    <w:lvl w:ilvl="1">
      <w:start w:val="1"/>
      <w:numFmt w:val="bullet"/>
      <w:pStyle w:val="Bullet2"/>
      <w:lvlText w:val="–"/>
      <w:lvlJc w:val="left"/>
      <w:pPr>
        <w:tabs>
          <w:tab w:val="num" w:pos="568"/>
        </w:tabs>
        <w:ind w:left="568" w:hanging="284"/>
      </w:pPr>
      <w:rPr>
        <w:rFonts w:ascii="Arial" w:hAnsi="Arial" w:hint="default"/>
        <w:color w:val="007C89" w:themeColor="accent1"/>
      </w:rPr>
    </w:lvl>
    <w:lvl w:ilvl="2">
      <w:start w:val="1"/>
      <w:numFmt w:val="bullet"/>
      <w:pStyle w:val="Bullet3"/>
      <w:lvlText w:val="»"/>
      <w:lvlJc w:val="left"/>
      <w:pPr>
        <w:tabs>
          <w:tab w:val="num" w:pos="852"/>
        </w:tabs>
        <w:ind w:left="852" w:hanging="285"/>
      </w:pPr>
      <w:rPr>
        <w:rFonts w:ascii="Arial" w:hAnsi="Arial" w:hint="default"/>
        <w:color w:val="007C89"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7" w15:restartNumberingAfterBreak="0">
    <w:nsid w:val="79D07685"/>
    <w:multiLevelType w:val="multilevel"/>
    <w:tmpl w:val="87B4A53E"/>
    <w:lvl w:ilvl="0">
      <w:start w:val="1"/>
      <w:numFmt w:val="bullet"/>
      <w:pStyle w:val="BodyBullet"/>
      <w:lvlText w:val="»"/>
      <w:lvlJc w:val="left"/>
      <w:pPr>
        <w:tabs>
          <w:tab w:val="num" w:pos="360"/>
        </w:tabs>
        <w:ind w:left="360" w:hanging="360"/>
      </w:pPr>
      <w:rPr>
        <w:rFonts w:ascii="Calibri" w:hAnsi="Calibri" w:hint="default"/>
        <w:color w:val="B5582D"/>
        <w:w w:val="99"/>
        <w:sz w:val="24"/>
      </w:rPr>
    </w:lvl>
    <w:lvl w:ilvl="1">
      <w:numFmt w:val="bullet"/>
      <w:lvlText w:val="-"/>
      <w:lvlJc w:val="left"/>
      <w:pPr>
        <w:tabs>
          <w:tab w:val="num" w:pos="1080"/>
        </w:tabs>
        <w:ind w:left="1080" w:hanging="360"/>
      </w:pPr>
      <w:rPr>
        <w:rFonts w:ascii="Calibri" w:eastAsia="Calibri" w:hAnsi="Calibri" w:cs="Times New Roman"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7EDD3D37"/>
    <w:multiLevelType w:val="hybridMultilevel"/>
    <w:tmpl w:val="29B67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070A33"/>
    <w:multiLevelType w:val="hybridMultilevel"/>
    <w:tmpl w:val="74822520"/>
    <w:lvl w:ilvl="0" w:tplc="82B4A7CC">
      <w:start w:val="1"/>
      <w:numFmt w:val="bullet"/>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3"/>
  </w:num>
  <w:num w:numId="2">
    <w:abstractNumId w:val="26"/>
  </w:num>
  <w:num w:numId="3">
    <w:abstractNumId w:val="18"/>
  </w:num>
  <w:num w:numId="4">
    <w:abstractNumId w:val="17"/>
  </w:num>
  <w:num w:numId="5">
    <w:abstractNumId w:val="27"/>
  </w:num>
  <w:num w:numId="6">
    <w:abstractNumId w:val="23"/>
  </w:num>
  <w:num w:numId="7">
    <w:abstractNumId w:val="3"/>
  </w:num>
  <w:num w:numId="8">
    <w:abstractNumId w:val="15"/>
  </w:num>
  <w:num w:numId="9">
    <w:abstractNumId w:val="2"/>
  </w:num>
  <w:num w:numId="10">
    <w:abstractNumId w:val="0"/>
  </w:num>
  <w:num w:numId="11">
    <w:abstractNumId w:val="10"/>
  </w:num>
  <w:num w:numId="12">
    <w:abstractNumId w:val="8"/>
  </w:num>
  <w:num w:numId="13">
    <w:abstractNumId w:val="5"/>
  </w:num>
  <w:num w:numId="14">
    <w:abstractNumId w:val="20"/>
  </w:num>
  <w:num w:numId="15">
    <w:abstractNumId w:val="14"/>
  </w:num>
  <w:num w:numId="16">
    <w:abstractNumId w:val="9"/>
  </w:num>
  <w:num w:numId="17">
    <w:abstractNumId w:val="16"/>
  </w:num>
  <w:num w:numId="18">
    <w:abstractNumId w:val="6"/>
  </w:num>
  <w:num w:numId="19">
    <w:abstractNumId w:val="11"/>
  </w:num>
  <w:num w:numId="20">
    <w:abstractNumId w:val="28"/>
  </w:num>
  <w:num w:numId="21">
    <w:abstractNumId w:val="29"/>
  </w:num>
  <w:num w:numId="22">
    <w:abstractNumId w:val="6"/>
    <w:lvlOverride w:ilvl="0">
      <w:lvl w:ilvl="0" w:tplc="580C51C6">
        <w:start w:val="1"/>
        <w:numFmt w:val="bullet"/>
        <w:lvlText w:val=""/>
        <w:lvlJc w:val="left"/>
        <w:pPr>
          <w:tabs>
            <w:tab w:val="num" w:pos="357"/>
          </w:tabs>
          <w:ind w:left="360" w:hanging="360"/>
        </w:pPr>
        <w:rPr>
          <w:rFonts w:ascii="Symbol" w:hAnsi="Symbol" w:hint="default"/>
          <w:color w:val="F0EFEF" w:themeColor="background2" w:themeTint="99"/>
        </w:rPr>
      </w:lvl>
    </w:lvlOverride>
    <w:lvlOverride w:ilvl="1">
      <w:lvl w:ilvl="1" w:tplc="982C3F26" w:tentative="1">
        <w:start w:val="1"/>
        <w:numFmt w:val="bullet"/>
        <w:lvlText w:val="o"/>
        <w:lvlJc w:val="left"/>
        <w:pPr>
          <w:ind w:left="1440" w:hanging="360"/>
        </w:pPr>
        <w:rPr>
          <w:rFonts w:ascii="Courier New" w:hAnsi="Courier New" w:cs="Courier New" w:hint="default"/>
        </w:rPr>
      </w:lvl>
    </w:lvlOverride>
    <w:lvlOverride w:ilvl="2">
      <w:lvl w:ilvl="2" w:tplc="FF8887EC" w:tentative="1">
        <w:start w:val="1"/>
        <w:numFmt w:val="bullet"/>
        <w:lvlText w:val=""/>
        <w:lvlJc w:val="left"/>
        <w:pPr>
          <w:ind w:left="2160" w:hanging="360"/>
        </w:pPr>
        <w:rPr>
          <w:rFonts w:ascii="Wingdings" w:hAnsi="Wingdings" w:hint="default"/>
        </w:rPr>
      </w:lvl>
    </w:lvlOverride>
    <w:lvlOverride w:ilvl="3">
      <w:lvl w:ilvl="3" w:tplc="0D74636E" w:tentative="1">
        <w:start w:val="1"/>
        <w:numFmt w:val="bullet"/>
        <w:lvlText w:val=""/>
        <w:lvlJc w:val="left"/>
        <w:pPr>
          <w:ind w:left="2880" w:hanging="360"/>
        </w:pPr>
        <w:rPr>
          <w:rFonts w:ascii="Symbol" w:hAnsi="Symbol" w:hint="default"/>
        </w:rPr>
      </w:lvl>
    </w:lvlOverride>
    <w:lvlOverride w:ilvl="4">
      <w:lvl w:ilvl="4" w:tplc="0F8E08DC" w:tentative="1">
        <w:start w:val="1"/>
        <w:numFmt w:val="bullet"/>
        <w:lvlText w:val="o"/>
        <w:lvlJc w:val="left"/>
        <w:pPr>
          <w:ind w:left="3600" w:hanging="360"/>
        </w:pPr>
        <w:rPr>
          <w:rFonts w:ascii="Courier New" w:hAnsi="Courier New" w:cs="Courier New" w:hint="default"/>
        </w:rPr>
      </w:lvl>
    </w:lvlOverride>
    <w:lvlOverride w:ilvl="5">
      <w:lvl w:ilvl="5" w:tplc="61B49722" w:tentative="1">
        <w:start w:val="1"/>
        <w:numFmt w:val="bullet"/>
        <w:lvlText w:val=""/>
        <w:lvlJc w:val="left"/>
        <w:pPr>
          <w:ind w:left="4320" w:hanging="360"/>
        </w:pPr>
        <w:rPr>
          <w:rFonts w:ascii="Wingdings" w:hAnsi="Wingdings" w:hint="default"/>
        </w:rPr>
      </w:lvl>
    </w:lvlOverride>
    <w:lvlOverride w:ilvl="6">
      <w:lvl w:ilvl="6" w:tplc="715430F6" w:tentative="1">
        <w:start w:val="1"/>
        <w:numFmt w:val="bullet"/>
        <w:lvlText w:val=""/>
        <w:lvlJc w:val="left"/>
        <w:pPr>
          <w:ind w:left="5040" w:hanging="360"/>
        </w:pPr>
        <w:rPr>
          <w:rFonts w:ascii="Symbol" w:hAnsi="Symbol" w:hint="default"/>
        </w:rPr>
      </w:lvl>
    </w:lvlOverride>
    <w:lvlOverride w:ilvl="7">
      <w:lvl w:ilvl="7" w:tplc="95F67CE6" w:tentative="1">
        <w:start w:val="1"/>
        <w:numFmt w:val="bullet"/>
        <w:lvlText w:val="o"/>
        <w:lvlJc w:val="left"/>
        <w:pPr>
          <w:ind w:left="5760" w:hanging="360"/>
        </w:pPr>
        <w:rPr>
          <w:rFonts w:ascii="Courier New" w:hAnsi="Courier New" w:cs="Courier New" w:hint="default"/>
        </w:rPr>
      </w:lvl>
    </w:lvlOverride>
    <w:lvlOverride w:ilvl="8">
      <w:lvl w:ilvl="8" w:tplc="0A687EAA" w:tentative="1">
        <w:start w:val="1"/>
        <w:numFmt w:val="bullet"/>
        <w:lvlText w:val=""/>
        <w:lvlJc w:val="left"/>
        <w:pPr>
          <w:ind w:left="6480" w:hanging="360"/>
        </w:pPr>
        <w:rPr>
          <w:rFonts w:ascii="Wingdings" w:hAnsi="Wingdings" w:hint="default"/>
        </w:rPr>
      </w:lvl>
    </w:lvlOverride>
  </w:num>
  <w:num w:numId="23">
    <w:abstractNumId w:val="19"/>
  </w:num>
  <w:num w:numId="24">
    <w:abstractNumId w:val="24"/>
  </w:num>
  <w:num w:numId="25">
    <w:abstractNumId w:val="12"/>
  </w:num>
  <w:num w:numId="26">
    <w:abstractNumId w:val="1"/>
  </w:num>
  <w:num w:numId="27">
    <w:abstractNumId w:val="4"/>
  </w:num>
  <w:num w:numId="28">
    <w:abstractNumId w:val="25"/>
  </w:num>
  <w:num w:numId="29">
    <w:abstractNumId w:val="21"/>
  </w:num>
  <w:num w:numId="30">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2NLQwtDQ1MzY0NbRU0lEKTi0uzszPAykwMqgFAMviQdEtAAAA"/>
  </w:docVars>
  <w:rsids>
    <w:rsidRoot w:val="00026E9A"/>
    <w:rsid w:val="0000041D"/>
    <w:rsid w:val="00000AC5"/>
    <w:rsid w:val="00001714"/>
    <w:rsid w:val="00002C38"/>
    <w:rsid w:val="00003083"/>
    <w:rsid w:val="0000407E"/>
    <w:rsid w:val="000045DB"/>
    <w:rsid w:val="00004A2F"/>
    <w:rsid w:val="00005DB9"/>
    <w:rsid w:val="00005F18"/>
    <w:rsid w:val="00006F1F"/>
    <w:rsid w:val="00010145"/>
    <w:rsid w:val="0001190F"/>
    <w:rsid w:val="00011A36"/>
    <w:rsid w:val="00012089"/>
    <w:rsid w:val="00012855"/>
    <w:rsid w:val="000136AF"/>
    <w:rsid w:val="0001462C"/>
    <w:rsid w:val="000148B1"/>
    <w:rsid w:val="00014FD2"/>
    <w:rsid w:val="000170E8"/>
    <w:rsid w:val="00017206"/>
    <w:rsid w:val="00017982"/>
    <w:rsid w:val="00020D6B"/>
    <w:rsid w:val="00020F5F"/>
    <w:rsid w:val="00020FAD"/>
    <w:rsid w:val="00021A86"/>
    <w:rsid w:val="00021F9B"/>
    <w:rsid w:val="00023363"/>
    <w:rsid w:val="00024CFA"/>
    <w:rsid w:val="00025424"/>
    <w:rsid w:val="000254A0"/>
    <w:rsid w:val="00026825"/>
    <w:rsid w:val="00026E9A"/>
    <w:rsid w:val="000279E6"/>
    <w:rsid w:val="000313F1"/>
    <w:rsid w:val="0003174D"/>
    <w:rsid w:val="0003175E"/>
    <w:rsid w:val="000318E2"/>
    <w:rsid w:val="000327E0"/>
    <w:rsid w:val="00032F96"/>
    <w:rsid w:val="00033655"/>
    <w:rsid w:val="00033797"/>
    <w:rsid w:val="00033CF0"/>
    <w:rsid w:val="000350D7"/>
    <w:rsid w:val="00035398"/>
    <w:rsid w:val="0003550B"/>
    <w:rsid w:val="0003560F"/>
    <w:rsid w:val="00035C0E"/>
    <w:rsid w:val="000361CF"/>
    <w:rsid w:val="000362FE"/>
    <w:rsid w:val="0003689A"/>
    <w:rsid w:val="00036AB3"/>
    <w:rsid w:val="00041841"/>
    <w:rsid w:val="00042C2E"/>
    <w:rsid w:val="00042E0B"/>
    <w:rsid w:val="0004351E"/>
    <w:rsid w:val="0004357F"/>
    <w:rsid w:val="00043DC7"/>
    <w:rsid w:val="00044FA9"/>
    <w:rsid w:val="000459A4"/>
    <w:rsid w:val="0004672A"/>
    <w:rsid w:val="0004673F"/>
    <w:rsid w:val="00046E70"/>
    <w:rsid w:val="00050486"/>
    <w:rsid w:val="0005140F"/>
    <w:rsid w:val="00052729"/>
    <w:rsid w:val="00052F55"/>
    <w:rsid w:val="00053E97"/>
    <w:rsid w:val="0005441E"/>
    <w:rsid w:val="000557B5"/>
    <w:rsid w:val="000558E0"/>
    <w:rsid w:val="00055BAA"/>
    <w:rsid w:val="00055F47"/>
    <w:rsid w:val="000561DC"/>
    <w:rsid w:val="00057283"/>
    <w:rsid w:val="00057AB7"/>
    <w:rsid w:val="0006084A"/>
    <w:rsid w:val="0006087D"/>
    <w:rsid w:val="00060CB2"/>
    <w:rsid w:val="00060E8E"/>
    <w:rsid w:val="00061EFE"/>
    <w:rsid w:val="00062270"/>
    <w:rsid w:val="00062430"/>
    <w:rsid w:val="00062691"/>
    <w:rsid w:val="000634FC"/>
    <w:rsid w:val="00064226"/>
    <w:rsid w:val="0006471D"/>
    <w:rsid w:val="0006515B"/>
    <w:rsid w:val="00067395"/>
    <w:rsid w:val="00071246"/>
    <w:rsid w:val="000714B8"/>
    <w:rsid w:val="000716FA"/>
    <w:rsid w:val="00071945"/>
    <w:rsid w:val="00071A34"/>
    <w:rsid w:val="00072534"/>
    <w:rsid w:val="00072A06"/>
    <w:rsid w:val="00072B56"/>
    <w:rsid w:val="00072F4C"/>
    <w:rsid w:val="00074C83"/>
    <w:rsid w:val="000756BD"/>
    <w:rsid w:val="000763A3"/>
    <w:rsid w:val="000771DA"/>
    <w:rsid w:val="000774F0"/>
    <w:rsid w:val="00077768"/>
    <w:rsid w:val="00077BD8"/>
    <w:rsid w:val="000808F8"/>
    <w:rsid w:val="000816D2"/>
    <w:rsid w:val="00082109"/>
    <w:rsid w:val="00082161"/>
    <w:rsid w:val="00082B59"/>
    <w:rsid w:val="00082FE2"/>
    <w:rsid w:val="00084024"/>
    <w:rsid w:val="00084145"/>
    <w:rsid w:val="000844B7"/>
    <w:rsid w:val="000844BE"/>
    <w:rsid w:val="00084EB7"/>
    <w:rsid w:val="00085038"/>
    <w:rsid w:val="0008522F"/>
    <w:rsid w:val="000864E0"/>
    <w:rsid w:val="000865FB"/>
    <w:rsid w:val="00086F8D"/>
    <w:rsid w:val="00090420"/>
    <w:rsid w:val="0009055A"/>
    <w:rsid w:val="000908EF"/>
    <w:rsid w:val="0009103C"/>
    <w:rsid w:val="00091167"/>
    <w:rsid w:val="00091705"/>
    <w:rsid w:val="000921B5"/>
    <w:rsid w:val="00092BDB"/>
    <w:rsid w:val="00093268"/>
    <w:rsid w:val="000932E3"/>
    <w:rsid w:val="000933F9"/>
    <w:rsid w:val="00093923"/>
    <w:rsid w:val="00094461"/>
    <w:rsid w:val="0009452A"/>
    <w:rsid w:val="00094789"/>
    <w:rsid w:val="00095FF4"/>
    <w:rsid w:val="000964A3"/>
    <w:rsid w:val="00096970"/>
    <w:rsid w:val="00096E71"/>
    <w:rsid w:val="000973A7"/>
    <w:rsid w:val="00097A9A"/>
    <w:rsid w:val="000A00F4"/>
    <w:rsid w:val="000A07CD"/>
    <w:rsid w:val="000A0905"/>
    <w:rsid w:val="000A0E37"/>
    <w:rsid w:val="000A1398"/>
    <w:rsid w:val="000A2FBC"/>
    <w:rsid w:val="000A3377"/>
    <w:rsid w:val="000A414F"/>
    <w:rsid w:val="000A4BAC"/>
    <w:rsid w:val="000A4FBB"/>
    <w:rsid w:val="000A5D01"/>
    <w:rsid w:val="000A650F"/>
    <w:rsid w:val="000A68F7"/>
    <w:rsid w:val="000A6C16"/>
    <w:rsid w:val="000A6F8C"/>
    <w:rsid w:val="000A73C1"/>
    <w:rsid w:val="000B0D9D"/>
    <w:rsid w:val="000B194A"/>
    <w:rsid w:val="000B1C52"/>
    <w:rsid w:val="000B1CB3"/>
    <w:rsid w:val="000B2071"/>
    <w:rsid w:val="000B2110"/>
    <w:rsid w:val="000B22F8"/>
    <w:rsid w:val="000B27C1"/>
    <w:rsid w:val="000B2EF7"/>
    <w:rsid w:val="000B39C2"/>
    <w:rsid w:val="000B5FC8"/>
    <w:rsid w:val="000B610D"/>
    <w:rsid w:val="000B6721"/>
    <w:rsid w:val="000B6D48"/>
    <w:rsid w:val="000B70D3"/>
    <w:rsid w:val="000B770C"/>
    <w:rsid w:val="000B781B"/>
    <w:rsid w:val="000C0694"/>
    <w:rsid w:val="000C069A"/>
    <w:rsid w:val="000C086B"/>
    <w:rsid w:val="000C1B78"/>
    <w:rsid w:val="000C2361"/>
    <w:rsid w:val="000C32C9"/>
    <w:rsid w:val="000C459E"/>
    <w:rsid w:val="000C4FA4"/>
    <w:rsid w:val="000C589E"/>
    <w:rsid w:val="000C667F"/>
    <w:rsid w:val="000C749A"/>
    <w:rsid w:val="000C7BCE"/>
    <w:rsid w:val="000C7E4D"/>
    <w:rsid w:val="000D0B49"/>
    <w:rsid w:val="000D161D"/>
    <w:rsid w:val="000D1CBE"/>
    <w:rsid w:val="000D3971"/>
    <w:rsid w:val="000D3DCA"/>
    <w:rsid w:val="000D43A5"/>
    <w:rsid w:val="000D4844"/>
    <w:rsid w:val="000D4895"/>
    <w:rsid w:val="000D4FE0"/>
    <w:rsid w:val="000D572D"/>
    <w:rsid w:val="000D5D96"/>
    <w:rsid w:val="000D5F8B"/>
    <w:rsid w:val="000D6531"/>
    <w:rsid w:val="000D65DD"/>
    <w:rsid w:val="000D7E82"/>
    <w:rsid w:val="000E0371"/>
    <w:rsid w:val="000E14B0"/>
    <w:rsid w:val="000E1925"/>
    <w:rsid w:val="000E20C7"/>
    <w:rsid w:val="000E2CAE"/>
    <w:rsid w:val="000E3CFB"/>
    <w:rsid w:val="000E4761"/>
    <w:rsid w:val="000E4B3C"/>
    <w:rsid w:val="000E5BCE"/>
    <w:rsid w:val="000E5CD7"/>
    <w:rsid w:val="000F0930"/>
    <w:rsid w:val="000F215D"/>
    <w:rsid w:val="000F29F6"/>
    <w:rsid w:val="000F2F2B"/>
    <w:rsid w:val="000F3B08"/>
    <w:rsid w:val="000F4EE2"/>
    <w:rsid w:val="000F586C"/>
    <w:rsid w:val="000F6E90"/>
    <w:rsid w:val="000F7063"/>
    <w:rsid w:val="000F7236"/>
    <w:rsid w:val="000F73D3"/>
    <w:rsid w:val="000F7EA0"/>
    <w:rsid w:val="00100841"/>
    <w:rsid w:val="0010154C"/>
    <w:rsid w:val="00101747"/>
    <w:rsid w:val="00101A82"/>
    <w:rsid w:val="001024AD"/>
    <w:rsid w:val="00102B53"/>
    <w:rsid w:val="00103460"/>
    <w:rsid w:val="00104FBE"/>
    <w:rsid w:val="00105828"/>
    <w:rsid w:val="00105A40"/>
    <w:rsid w:val="00105D64"/>
    <w:rsid w:val="0010642F"/>
    <w:rsid w:val="00106A42"/>
    <w:rsid w:val="00107115"/>
    <w:rsid w:val="001104FF"/>
    <w:rsid w:val="00110EE1"/>
    <w:rsid w:val="00111482"/>
    <w:rsid w:val="0011220E"/>
    <w:rsid w:val="00112210"/>
    <w:rsid w:val="00112BF2"/>
    <w:rsid w:val="00112E51"/>
    <w:rsid w:val="00113746"/>
    <w:rsid w:val="00113FAD"/>
    <w:rsid w:val="001146D4"/>
    <w:rsid w:val="00114BBF"/>
    <w:rsid w:val="00114CFA"/>
    <w:rsid w:val="001152FB"/>
    <w:rsid w:val="001154B3"/>
    <w:rsid w:val="00115F81"/>
    <w:rsid w:val="00115FC3"/>
    <w:rsid w:val="0011631D"/>
    <w:rsid w:val="001168D4"/>
    <w:rsid w:val="00117442"/>
    <w:rsid w:val="00117F75"/>
    <w:rsid w:val="00120870"/>
    <w:rsid w:val="00120878"/>
    <w:rsid w:val="001236C3"/>
    <w:rsid w:val="00123963"/>
    <w:rsid w:val="00124CC9"/>
    <w:rsid w:val="00124F6A"/>
    <w:rsid w:val="00125CAA"/>
    <w:rsid w:val="001306B3"/>
    <w:rsid w:val="00131379"/>
    <w:rsid w:val="00131528"/>
    <w:rsid w:val="0013169C"/>
    <w:rsid w:val="00131729"/>
    <w:rsid w:val="00131980"/>
    <w:rsid w:val="0013236C"/>
    <w:rsid w:val="001329E6"/>
    <w:rsid w:val="00132A2D"/>
    <w:rsid w:val="00133B31"/>
    <w:rsid w:val="00133D84"/>
    <w:rsid w:val="00134184"/>
    <w:rsid w:val="00134FF7"/>
    <w:rsid w:val="00135832"/>
    <w:rsid w:val="001362DE"/>
    <w:rsid w:val="00136581"/>
    <w:rsid w:val="00137051"/>
    <w:rsid w:val="00137846"/>
    <w:rsid w:val="0013794B"/>
    <w:rsid w:val="00137A4C"/>
    <w:rsid w:val="00137CD8"/>
    <w:rsid w:val="00137DE1"/>
    <w:rsid w:val="001407B4"/>
    <w:rsid w:val="0014191F"/>
    <w:rsid w:val="001434A2"/>
    <w:rsid w:val="00143911"/>
    <w:rsid w:val="00143AB3"/>
    <w:rsid w:val="00143FD4"/>
    <w:rsid w:val="00144EB3"/>
    <w:rsid w:val="001452DF"/>
    <w:rsid w:val="00145A28"/>
    <w:rsid w:val="001476BF"/>
    <w:rsid w:val="00150614"/>
    <w:rsid w:val="001515F8"/>
    <w:rsid w:val="001532A4"/>
    <w:rsid w:val="00153478"/>
    <w:rsid w:val="001537A9"/>
    <w:rsid w:val="0015489C"/>
    <w:rsid w:val="0015516B"/>
    <w:rsid w:val="00155318"/>
    <w:rsid w:val="00155449"/>
    <w:rsid w:val="0015681C"/>
    <w:rsid w:val="00156835"/>
    <w:rsid w:val="00157101"/>
    <w:rsid w:val="00160585"/>
    <w:rsid w:val="00160879"/>
    <w:rsid w:val="00160B1D"/>
    <w:rsid w:val="00160B53"/>
    <w:rsid w:val="00160BA5"/>
    <w:rsid w:val="0016141B"/>
    <w:rsid w:val="00162179"/>
    <w:rsid w:val="001624E1"/>
    <w:rsid w:val="00162BCE"/>
    <w:rsid w:val="00162E76"/>
    <w:rsid w:val="0016302A"/>
    <w:rsid w:val="001630F4"/>
    <w:rsid w:val="001634DD"/>
    <w:rsid w:val="00163638"/>
    <w:rsid w:val="00165830"/>
    <w:rsid w:val="00166681"/>
    <w:rsid w:val="00166ECC"/>
    <w:rsid w:val="001678DD"/>
    <w:rsid w:val="00167B5C"/>
    <w:rsid w:val="0017020F"/>
    <w:rsid w:val="00170217"/>
    <w:rsid w:val="00170257"/>
    <w:rsid w:val="00170578"/>
    <w:rsid w:val="00171AC0"/>
    <w:rsid w:val="00171F92"/>
    <w:rsid w:val="0017245E"/>
    <w:rsid w:val="0017279F"/>
    <w:rsid w:val="001728F2"/>
    <w:rsid w:val="00172B0A"/>
    <w:rsid w:val="00172C1A"/>
    <w:rsid w:val="0017311F"/>
    <w:rsid w:val="001734AC"/>
    <w:rsid w:val="001744F9"/>
    <w:rsid w:val="00175846"/>
    <w:rsid w:val="0017623D"/>
    <w:rsid w:val="00176B91"/>
    <w:rsid w:val="00176D15"/>
    <w:rsid w:val="00177462"/>
    <w:rsid w:val="00177A42"/>
    <w:rsid w:val="00177EEC"/>
    <w:rsid w:val="0018050E"/>
    <w:rsid w:val="00180E17"/>
    <w:rsid w:val="00180EF5"/>
    <w:rsid w:val="001814D2"/>
    <w:rsid w:val="001816AB"/>
    <w:rsid w:val="00183E5E"/>
    <w:rsid w:val="00184284"/>
    <w:rsid w:val="001843EB"/>
    <w:rsid w:val="001847E7"/>
    <w:rsid w:val="00184869"/>
    <w:rsid w:val="00184ADE"/>
    <w:rsid w:val="0018547B"/>
    <w:rsid w:val="001902B9"/>
    <w:rsid w:val="001906ED"/>
    <w:rsid w:val="00192003"/>
    <w:rsid w:val="0019211F"/>
    <w:rsid w:val="00194529"/>
    <w:rsid w:val="001946CA"/>
    <w:rsid w:val="00194B68"/>
    <w:rsid w:val="00195224"/>
    <w:rsid w:val="00195590"/>
    <w:rsid w:val="0019571E"/>
    <w:rsid w:val="00195985"/>
    <w:rsid w:val="0019614E"/>
    <w:rsid w:val="00196315"/>
    <w:rsid w:val="001966DD"/>
    <w:rsid w:val="00196DC8"/>
    <w:rsid w:val="00197BDD"/>
    <w:rsid w:val="001A1C16"/>
    <w:rsid w:val="001A1DCF"/>
    <w:rsid w:val="001A1DDC"/>
    <w:rsid w:val="001A247E"/>
    <w:rsid w:val="001A3956"/>
    <w:rsid w:val="001A43AE"/>
    <w:rsid w:val="001A4407"/>
    <w:rsid w:val="001A44EF"/>
    <w:rsid w:val="001A487E"/>
    <w:rsid w:val="001A4D2A"/>
    <w:rsid w:val="001A4D6F"/>
    <w:rsid w:val="001A5362"/>
    <w:rsid w:val="001A72DB"/>
    <w:rsid w:val="001A7455"/>
    <w:rsid w:val="001B00AD"/>
    <w:rsid w:val="001B0966"/>
    <w:rsid w:val="001B0FDF"/>
    <w:rsid w:val="001B10A6"/>
    <w:rsid w:val="001B15A4"/>
    <w:rsid w:val="001B176C"/>
    <w:rsid w:val="001B1A4B"/>
    <w:rsid w:val="001B28F0"/>
    <w:rsid w:val="001B35FC"/>
    <w:rsid w:val="001B3A8D"/>
    <w:rsid w:val="001B4313"/>
    <w:rsid w:val="001B45DB"/>
    <w:rsid w:val="001B47D8"/>
    <w:rsid w:val="001B5801"/>
    <w:rsid w:val="001B5899"/>
    <w:rsid w:val="001B5DAA"/>
    <w:rsid w:val="001B74CE"/>
    <w:rsid w:val="001B7523"/>
    <w:rsid w:val="001B7594"/>
    <w:rsid w:val="001B7890"/>
    <w:rsid w:val="001C0F7B"/>
    <w:rsid w:val="001C1FDD"/>
    <w:rsid w:val="001C2711"/>
    <w:rsid w:val="001C4473"/>
    <w:rsid w:val="001C49CA"/>
    <w:rsid w:val="001C625F"/>
    <w:rsid w:val="001C62EE"/>
    <w:rsid w:val="001C6A0D"/>
    <w:rsid w:val="001C6B57"/>
    <w:rsid w:val="001D02AE"/>
    <w:rsid w:val="001D0BE4"/>
    <w:rsid w:val="001D2A5C"/>
    <w:rsid w:val="001D2DE8"/>
    <w:rsid w:val="001D2F03"/>
    <w:rsid w:val="001D356A"/>
    <w:rsid w:val="001D373A"/>
    <w:rsid w:val="001D421E"/>
    <w:rsid w:val="001D44D9"/>
    <w:rsid w:val="001D4732"/>
    <w:rsid w:val="001D4E39"/>
    <w:rsid w:val="001D6079"/>
    <w:rsid w:val="001D637A"/>
    <w:rsid w:val="001D6685"/>
    <w:rsid w:val="001E0489"/>
    <w:rsid w:val="001E1A4D"/>
    <w:rsid w:val="001E1F44"/>
    <w:rsid w:val="001E31BF"/>
    <w:rsid w:val="001E3900"/>
    <w:rsid w:val="001E3E94"/>
    <w:rsid w:val="001E40AF"/>
    <w:rsid w:val="001E5D15"/>
    <w:rsid w:val="001E6934"/>
    <w:rsid w:val="001E6B65"/>
    <w:rsid w:val="001E7806"/>
    <w:rsid w:val="001E7B4A"/>
    <w:rsid w:val="001F0433"/>
    <w:rsid w:val="001F1721"/>
    <w:rsid w:val="001F1F81"/>
    <w:rsid w:val="001F217C"/>
    <w:rsid w:val="001F25CA"/>
    <w:rsid w:val="001F2D83"/>
    <w:rsid w:val="001F300D"/>
    <w:rsid w:val="001F30ED"/>
    <w:rsid w:val="001F3275"/>
    <w:rsid w:val="001F3845"/>
    <w:rsid w:val="001F387B"/>
    <w:rsid w:val="001F45D8"/>
    <w:rsid w:val="001F4B92"/>
    <w:rsid w:val="001F52AF"/>
    <w:rsid w:val="001F578B"/>
    <w:rsid w:val="001F639B"/>
    <w:rsid w:val="001F691D"/>
    <w:rsid w:val="001F7299"/>
    <w:rsid w:val="0020086F"/>
    <w:rsid w:val="00200C6A"/>
    <w:rsid w:val="0020130D"/>
    <w:rsid w:val="0020194A"/>
    <w:rsid w:val="002024DE"/>
    <w:rsid w:val="00204235"/>
    <w:rsid w:val="00204679"/>
    <w:rsid w:val="00205434"/>
    <w:rsid w:val="00205F38"/>
    <w:rsid w:val="0020635E"/>
    <w:rsid w:val="0020694D"/>
    <w:rsid w:val="00207158"/>
    <w:rsid w:val="00210710"/>
    <w:rsid w:val="00210BBF"/>
    <w:rsid w:val="00211205"/>
    <w:rsid w:val="0021128B"/>
    <w:rsid w:val="002115F6"/>
    <w:rsid w:val="00211890"/>
    <w:rsid w:val="00212E6C"/>
    <w:rsid w:val="002135C3"/>
    <w:rsid w:val="0021553F"/>
    <w:rsid w:val="00215BDE"/>
    <w:rsid w:val="00216A2D"/>
    <w:rsid w:val="002174E6"/>
    <w:rsid w:val="00217935"/>
    <w:rsid w:val="00217DFC"/>
    <w:rsid w:val="00223046"/>
    <w:rsid w:val="00223410"/>
    <w:rsid w:val="0022384C"/>
    <w:rsid w:val="00223A10"/>
    <w:rsid w:val="002240A8"/>
    <w:rsid w:val="00225FCE"/>
    <w:rsid w:val="002262B3"/>
    <w:rsid w:val="00226903"/>
    <w:rsid w:val="00226D26"/>
    <w:rsid w:val="002271FF"/>
    <w:rsid w:val="0022763D"/>
    <w:rsid w:val="002276F2"/>
    <w:rsid w:val="002308C7"/>
    <w:rsid w:val="00230B5C"/>
    <w:rsid w:val="00231D50"/>
    <w:rsid w:val="002328CD"/>
    <w:rsid w:val="00233172"/>
    <w:rsid w:val="0023353B"/>
    <w:rsid w:val="002340BB"/>
    <w:rsid w:val="002344F0"/>
    <w:rsid w:val="002348FF"/>
    <w:rsid w:val="00234D8F"/>
    <w:rsid w:val="0023523D"/>
    <w:rsid w:val="00236388"/>
    <w:rsid w:val="00237571"/>
    <w:rsid w:val="00237F49"/>
    <w:rsid w:val="00237FAB"/>
    <w:rsid w:val="00241119"/>
    <w:rsid w:val="0024238F"/>
    <w:rsid w:val="00243027"/>
    <w:rsid w:val="002432AB"/>
    <w:rsid w:val="002440DF"/>
    <w:rsid w:val="002474B6"/>
    <w:rsid w:val="00247968"/>
    <w:rsid w:val="00247ED4"/>
    <w:rsid w:val="00250E3E"/>
    <w:rsid w:val="00251302"/>
    <w:rsid w:val="00253D58"/>
    <w:rsid w:val="00254D87"/>
    <w:rsid w:val="002552A5"/>
    <w:rsid w:val="002555C6"/>
    <w:rsid w:val="002558AB"/>
    <w:rsid w:val="002558CD"/>
    <w:rsid w:val="00255BD4"/>
    <w:rsid w:val="00255FE8"/>
    <w:rsid w:val="002576CA"/>
    <w:rsid w:val="00257F75"/>
    <w:rsid w:val="002614E8"/>
    <w:rsid w:val="00261E71"/>
    <w:rsid w:val="002626FD"/>
    <w:rsid w:val="0026305A"/>
    <w:rsid w:val="00263B1E"/>
    <w:rsid w:val="002645FE"/>
    <w:rsid w:val="0026554E"/>
    <w:rsid w:val="00265565"/>
    <w:rsid w:val="0026561C"/>
    <w:rsid w:val="002657DF"/>
    <w:rsid w:val="00265F4F"/>
    <w:rsid w:val="00266469"/>
    <w:rsid w:val="00266941"/>
    <w:rsid w:val="00266AD2"/>
    <w:rsid w:val="00266D4F"/>
    <w:rsid w:val="00267FD5"/>
    <w:rsid w:val="0027094C"/>
    <w:rsid w:val="00270F3A"/>
    <w:rsid w:val="0027125F"/>
    <w:rsid w:val="002724F1"/>
    <w:rsid w:val="0027258D"/>
    <w:rsid w:val="00273155"/>
    <w:rsid w:val="00273240"/>
    <w:rsid w:val="0027334B"/>
    <w:rsid w:val="002735EC"/>
    <w:rsid w:val="00273993"/>
    <w:rsid w:val="00274D10"/>
    <w:rsid w:val="00275474"/>
    <w:rsid w:val="00275D53"/>
    <w:rsid w:val="002760DD"/>
    <w:rsid w:val="002762FD"/>
    <w:rsid w:val="00276490"/>
    <w:rsid w:val="0027666D"/>
    <w:rsid w:val="002766D1"/>
    <w:rsid w:val="002773D5"/>
    <w:rsid w:val="00280389"/>
    <w:rsid w:val="00280A30"/>
    <w:rsid w:val="00280A38"/>
    <w:rsid w:val="002823BE"/>
    <w:rsid w:val="00282728"/>
    <w:rsid w:val="00283379"/>
    <w:rsid w:val="002841BF"/>
    <w:rsid w:val="002848F6"/>
    <w:rsid w:val="00285191"/>
    <w:rsid w:val="002856C7"/>
    <w:rsid w:val="0028638B"/>
    <w:rsid w:val="002864DC"/>
    <w:rsid w:val="002878AC"/>
    <w:rsid w:val="00287CEA"/>
    <w:rsid w:val="00287ECF"/>
    <w:rsid w:val="00290504"/>
    <w:rsid w:val="002914E5"/>
    <w:rsid w:val="002914F7"/>
    <w:rsid w:val="00291C05"/>
    <w:rsid w:val="002931D8"/>
    <w:rsid w:val="002945C0"/>
    <w:rsid w:val="00294605"/>
    <w:rsid w:val="00295352"/>
    <w:rsid w:val="00295E59"/>
    <w:rsid w:val="00296FBE"/>
    <w:rsid w:val="002A0399"/>
    <w:rsid w:val="002A089F"/>
    <w:rsid w:val="002A0DD3"/>
    <w:rsid w:val="002A14F3"/>
    <w:rsid w:val="002A17F9"/>
    <w:rsid w:val="002A198A"/>
    <w:rsid w:val="002A1D68"/>
    <w:rsid w:val="002A2322"/>
    <w:rsid w:val="002A38DF"/>
    <w:rsid w:val="002A3A82"/>
    <w:rsid w:val="002A4728"/>
    <w:rsid w:val="002A4B62"/>
    <w:rsid w:val="002A5CED"/>
    <w:rsid w:val="002A5F1D"/>
    <w:rsid w:val="002A740F"/>
    <w:rsid w:val="002A77DC"/>
    <w:rsid w:val="002A78F8"/>
    <w:rsid w:val="002B00EB"/>
    <w:rsid w:val="002B0B7A"/>
    <w:rsid w:val="002B0D2B"/>
    <w:rsid w:val="002B1106"/>
    <w:rsid w:val="002B15D1"/>
    <w:rsid w:val="002B27CC"/>
    <w:rsid w:val="002B2B56"/>
    <w:rsid w:val="002B38D0"/>
    <w:rsid w:val="002B41AC"/>
    <w:rsid w:val="002B4203"/>
    <w:rsid w:val="002B4230"/>
    <w:rsid w:val="002B4840"/>
    <w:rsid w:val="002B4917"/>
    <w:rsid w:val="002B4D11"/>
    <w:rsid w:val="002B4D16"/>
    <w:rsid w:val="002B509F"/>
    <w:rsid w:val="002B67BC"/>
    <w:rsid w:val="002B7742"/>
    <w:rsid w:val="002B7CF4"/>
    <w:rsid w:val="002C0905"/>
    <w:rsid w:val="002C0D13"/>
    <w:rsid w:val="002C1122"/>
    <w:rsid w:val="002C2285"/>
    <w:rsid w:val="002C312F"/>
    <w:rsid w:val="002C35A1"/>
    <w:rsid w:val="002C37EB"/>
    <w:rsid w:val="002C421C"/>
    <w:rsid w:val="002C4DE2"/>
    <w:rsid w:val="002C4E8A"/>
    <w:rsid w:val="002C5416"/>
    <w:rsid w:val="002C5B6D"/>
    <w:rsid w:val="002C5FCE"/>
    <w:rsid w:val="002C64CA"/>
    <w:rsid w:val="002C7745"/>
    <w:rsid w:val="002D07AE"/>
    <w:rsid w:val="002D24D8"/>
    <w:rsid w:val="002D4055"/>
    <w:rsid w:val="002D40DB"/>
    <w:rsid w:val="002D49B3"/>
    <w:rsid w:val="002D4D7E"/>
    <w:rsid w:val="002D50C9"/>
    <w:rsid w:val="002D6C3F"/>
    <w:rsid w:val="002D6E32"/>
    <w:rsid w:val="002D7E4A"/>
    <w:rsid w:val="002E0571"/>
    <w:rsid w:val="002E0C2F"/>
    <w:rsid w:val="002E1364"/>
    <w:rsid w:val="002E173C"/>
    <w:rsid w:val="002E1F8A"/>
    <w:rsid w:val="002E2225"/>
    <w:rsid w:val="002E277B"/>
    <w:rsid w:val="002E28AD"/>
    <w:rsid w:val="002E3890"/>
    <w:rsid w:val="002E44ED"/>
    <w:rsid w:val="002E52FE"/>
    <w:rsid w:val="002E5BB5"/>
    <w:rsid w:val="002E5F94"/>
    <w:rsid w:val="002E6410"/>
    <w:rsid w:val="002F000D"/>
    <w:rsid w:val="002F00B7"/>
    <w:rsid w:val="002F068F"/>
    <w:rsid w:val="002F1A96"/>
    <w:rsid w:val="002F1B13"/>
    <w:rsid w:val="002F29DB"/>
    <w:rsid w:val="002F2B96"/>
    <w:rsid w:val="002F2BC9"/>
    <w:rsid w:val="002F3626"/>
    <w:rsid w:val="002F4E1C"/>
    <w:rsid w:val="002F6B87"/>
    <w:rsid w:val="002F6CE5"/>
    <w:rsid w:val="002F6FDE"/>
    <w:rsid w:val="002F71B3"/>
    <w:rsid w:val="002F75FF"/>
    <w:rsid w:val="00300886"/>
    <w:rsid w:val="00301880"/>
    <w:rsid w:val="00302760"/>
    <w:rsid w:val="00302C6D"/>
    <w:rsid w:val="00302DCE"/>
    <w:rsid w:val="00302F5E"/>
    <w:rsid w:val="00304220"/>
    <w:rsid w:val="003046A7"/>
    <w:rsid w:val="003059F3"/>
    <w:rsid w:val="003062D1"/>
    <w:rsid w:val="00306C5A"/>
    <w:rsid w:val="00307D91"/>
    <w:rsid w:val="00310C39"/>
    <w:rsid w:val="00310ED1"/>
    <w:rsid w:val="003110B0"/>
    <w:rsid w:val="00312201"/>
    <w:rsid w:val="00312602"/>
    <w:rsid w:val="00312D25"/>
    <w:rsid w:val="003133B1"/>
    <w:rsid w:val="00313C62"/>
    <w:rsid w:val="00314AC5"/>
    <w:rsid w:val="00314FE8"/>
    <w:rsid w:val="00315652"/>
    <w:rsid w:val="00315A51"/>
    <w:rsid w:val="00315EF8"/>
    <w:rsid w:val="00316A8D"/>
    <w:rsid w:val="00316CFD"/>
    <w:rsid w:val="00317337"/>
    <w:rsid w:val="003174F8"/>
    <w:rsid w:val="00317916"/>
    <w:rsid w:val="00317E11"/>
    <w:rsid w:val="00320454"/>
    <w:rsid w:val="00321113"/>
    <w:rsid w:val="0032115C"/>
    <w:rsid w:val="003228CE"/>
    <w:rsid w:val="00322900"/>
    <w:rsid w:val="00322C9F"/>
    <w:rsid w:val="0032362A"/>
    <w:rsid w:val="003240AA"/>
    <w:rsid w:val="003248FF"/>
    <w:rsid w:val="00324AF8"/>
    <w:rsid w:val="00325086"/>
    <w:rsid w:val="003250BE"/>
    <w:rsid w:val="0032704E"/>
    <w:rsid w:val="003271D1"/>
    <w:rsid w:val="00330976"/>
    <w:rsid w:val="00330AB3"/>
    <w:rsid w:val="0033135B"/>
    <w:rsid w:val="00331517"/>
    <w:rsid w:val="003318ED"/>
    <w:rsid w:val="00331B35"/>
    <w:rsid w:val="00331CEF"/>
    <w:rsid w:val="00332725"/>
    <w:rsid w:val="003327BC"/>
    <w:rsid w:val="00334DE5"/>
    <w:rsid w:val="00335493"/>
    <w:rsid w:val="00335E9A"/>
    <w:rsid w:val="0033706F"/>
    <w:rsid w:val="00337237"/>
    <w:rsid w:val="003372C6"/>
    <w:rsid w:val="00337757"/>
    <w:rsid w:val="003378AE"/>
    <w:rsid w:val="003406D2"/>
    <w:rsid w:val="00340A32"/>
    <w:rsid w:val="00340D73"/>
    <w:rsid w:val="003414B7"/>
    <w:rsid w:val="00341F3E"/>
    <w:rsid w:val="003424C1"/>
    <w:rsid w:val="0034303A"/>
    <w:rsid w:val="003438F9"/>
    <w:rsid w:val="00344520"/>
    <w:rsid w:val="00345181"/>
    <w:rsid w:val="00345337"/>
    <w:rsid w:val="00345B5A"/>
    <w:rsid w:val="00345B68"/>
    <w:rsid w:val="003460E8"/>
    <w:rsid w:val="00350DB0"/>
    <w:rsid w:val="00352383"/>
    <w:rsid w:val="00352E52"/>
    <w:rsid w:val="00353929"/>
    <w:rsid w:val="00353B59"/>
    <w:rsid w:val="00353B6C"/>
    <w:rsid w:val="00353CED"/>
    <w:rsid w:val="00353DFA"/>
    <w:rsid w:val="00354159"/>
    <w:rsid w:val="00355279"/>
    <w:rsid w:val="00355350"/>
    <w:rsid w:val="003566B0"/>
    <w:rsid w:val="0035702A"/>
    <w:rsid w:val="00357341"/>
    <w:rsid w:val="00360887"/>
    <w:rsid w:val="00361697"/>
    <w:rsid w:val="003618F6"/>
    <w:rsid w:val="00361F79"/>
    <w:rsid w:val="003621A4"/>
    <w:rsid w:val="0036224E"/>
    <w:rsid w:val="0036233B"/>
    <w:rsid w:val="0036275D"/>
    <w:rsid w:val="003635C6"/>
    <w:rsid w:val="00364193"/>
    <w:rsid w:val="003644D7"/>
    <w:rsid w:val="00364CDB"/>
    <w:rsid w:val="00365041"/>
    <w:rsid w:val="003656E6"/>
    <w:rsid w:val="00365AA8"/>
    <w:rsid w:val="00366651"/>
    <w:rsid w:val="00366AB4"/>
    <w:rsid w:val="00367507"/>
    <w:rsid w:val="003709CB"/>
    <w:rsid w:val="00370DF2"/>
    <w:rsid w:val="0037117C"/>
    <w:rsid w:val="003713D5"/>
    <w:rsid w:val="00371D94"/>
    <w:rsid w:val="003720FA"/>
    <w:rsid w:val="00372BC7"/>
    <w:rsid w:val="00373659"/>
    <w:rsid w:val="00373CDA"/>
    <w:rsid w:val="00374CAB"/>
    <w:rsid w:val="0037533B"/>
    <w:rsid w:val="003753C7"/>
    <w:rsid w:val="003754BD"/>
    <w:rsid w:val="00376404"/>
    <w:rsid w:val="00376BBE"/>
    <w:rsid w:val="00376FE9"/>
    <w:rsid w:val="00380C3A"/>
    <w:rsid w:val="00380CFD"/>
    <w:rsid w:val="003810BD"/>
    <w:rsid w:val="0038226B"/>
    <w:rsid w:val="00383136"/>
    <w:rsid w:val="00383E41"/>
    <w:rsid w:val="00384047"/>
    <w:rsid w:val="0038494B"/>
    <w:rsid w:val="0038511B"/>
    <w:rsid w:val="00385DA8"/>
    <w:rsid w:val="00386072"/>
    <w:rsid w:val="00387267"/>
    <w:rsid w:val="00387438"/>
    <w:rsid w:val="00387BE7"/>
    <w:rsid w:val="00390A5F"/>
    <w:rsid w:val="00390B85"/>
    <w:rsid w:val="003913FE"/>
    <w:rsid w:val="0039171B"/>
    <w:rsid w:val="00391EC1"/>
    <w:rsid w:val="0039200D"/>
    <w:rsid w:val="003924EB"/>
    <w:rsid w:val="00392B70"/>
    <w:rsid w:val="00393260"/>
    <w:rsid w:val="0039358B"/>
    <w:rsid w:val="003935CE"/>
    <w:rsid w:val="00393769"/>
    <w:rsid w:val="00393836"/>
    <w:rsid w:val="0039433D"/>
    <w:rsid w:val="00394442"/>
    <w:rsid w:val="0039453A"/>
    <w:rsid w:val="00394AE3"/>
    <w:rsid w:val="00395767"/>
    <w:rsid w:val="003957BC"/>
    <w:rsid w:val="0039584E"/>
    <w:rsid w:val="003966AB"/>
    <w:rsid w:val="00397399"/>
    <w:rsid w:val="0039762F"/>
    <w:rsid w:val="00397A32"/>
    <w:rsid w:val="003A074D"/>
    <w:rsid w:val="003A09BC"/>
    <w:rsid w:val="003A0F83"/>
    <w:rsid w:val="003A25FD"/>
    <w:rsid w:val="003A2755"/>
    <w:rsid w:val="003A297D"/>
    <w:rsid w:val="003A3325"/>
    <w:rsid w:val="003A398D"/>
    <w:rsid w:val="003A5CF6"/>
    <w:rsid w:val="003B101B"/>
    <w:rsid w:val="003B1047"/>
    <w:rsid w:val="003B286C"/>
    <w:rsid w:val="003B33A1"/>
    <w:rsid w:val="003B34A2"/>
    <w:rsid w:val="003B3E90"/>
    <w:rsid w:val="003B430B"/>
    <w:rsid w:val="003B664A"/>
    <w:rsid w:val="003B6B2B"/>
    <w:rsid w:val="003B7A2D"/>
    <w:rsid w:val="003C025E"/>
    <w:rsid w:val="003C05C7"/>
    <w:rsid w:val="003C0D3F"/>
    <w:rsid w:val="003C3029"/>
    <w:rsid w:val="003C3C21"/>
    <w:rsid w:val="003C4BE0"/>
    <w:rsid w:val="003C56A8"/>
    <w:rsid w:val="003C5BB5"/>
    <w:rsid w:val="003C7651"/>
    <w:rsid w:val="003C7A8A"/>
    <w:rsid w:val="003D0B8D"/>
    <w:rsid w:val="003D1872"/>
    <w:rsid w:val="003D28B7"/>
    <w:rsid w:val="003D2A72"/>
    <w:rsid w:val="003D2F65"/>
    <w:rsid w:val="003D33C4"/>
    <w:rsid w:val="003D3678"/>
    <w:rsid w:val="003D3FD1"/>
    <w:rsid w:val="003D4363"/>
    <w:rsid w:val="003D43F4"/>
    <w:rsid w:val="003D67B8"/>
    <w:rsid w:val="003D6B4A"/>
    <w:rsid w:val="003D6E88"/>
    <w:rsid w:val="003D72D1"/>
    <w:rsid w:val="003D7658"/>
    <w:rsid w:val="003E01C3"/>
    <w:rsid w:val="003E092C"/>
    <w:rsid w:val="003E0BC4"/>
    <w:rsid w:val="003E0F45"/>
    <w:rsid w:val="003E1030"/>
    <w:rsid w:val="003E1040"/>
    <w:rsid w:val="003E10E3"/>
    <w:rsid w:val="003E113D"/>
    <w:rsid w:val="003E19AE"/>
    <w:rsid w:val="003E1BAC"/>
    <w:rsid w:val="003E3E04"/>
    <w:rsid w:val="003E44B3"/>
    <w:rsid w:val="003E4516"/>
    <w:rsid w:val="003E4655"/>
    <w:rsid w:val="003E4A62"/>
    <w:rsid w:val="003E4AF5"/>
    <w:rsid w:val="003E4D9D"/>
    <w:rsid w:val="003E51A9"/>
    <w:rsid w:val="003E5DA6"/>
    <w:rsid w:val="003E604B"/>
    <w:rsid w:val="003E672B"/>
    <w:rsid w:val="003E6F99"/>
    <w:rsid w:val="003E7DFF"/>
    <w:rsid w:val="003F053A"/>
    <w:rsid w:val="003F05BC"/>
    <w:rsid w:val="003F06E5"/>
    <w:rsid w:val="003F0CC7"/>
    <w:rsid w:val="003F1162"/>
    <w:rsid w:val="003F1456"/>
    <w:rsid w:val="003F1F13"/>
    <w:rsid w:val="003F3645"/>
    <w:rsid w:val="003F373D"/>
    <w:rsid w:val="003F3AB7"/>
    <w:rsid w:val="003F3DDA"/>
    <w:rsid w:val="003F3EC1"/>
    <w:rsid w:val="003F3FFB"/>
    <w:rsid w:val="003F4299"/>
    <w:rsid w:val="003F4CE5"/>
    <w:rsid w:val="003F4CED"/>
    <w:rsid w:val="003F4F1F"/>
    <w:rsid w:val="003F70FD"/>
    <w:rsid w:val="003F7649"/>
    <w:rsid w:val="003F79A4"/>
    <w:rsid w:val="00400175"/>
    <w:rsid w:val="0040041B"/>
    <w:rsid w:val="00401028"/>
    <w:rsid w:val="00401832"/>
    <w:rsid w:val="00402453"/>
    <w:rsid w:val="00402A9B"/>
    <w:rsid w:val="00402E59"/>
    <w:rsid w:val="004030D9"/>
    <w:rsid w:val="00403116"/>
    <w:rsid w:val="004032A9"/>
    <w:rsid w:val="004033BC"/>
    <w:rsid w:val="004035FE"/>
    <w:rsid w:val="00405CB4"/>
    <w:rsid w:val="004063DE"/>
    <w:rsid w:val="00407101"/>
    <w:rsid w:val="00412F9A"/>
    <w:rsid w:val="00414134"/>
    <w:rsid w:val="00415218"/>
    <w:rsid w:val="004168F9"/>
    <w:rsid w:val="00416D8B"/>
    <w:rsid w:val="0041703D"/>
    <w:rsid w:val="004176EF"/>
    <w:rsid w:val="00417B40"/>
    <w:rsid w:val="004203A0"/>
    <w:rsid w:val="004205A4"/>
    <w:rsid w:val="00420ED6"/>
    <w:rsid w:val="004214D4"/>
    <w:rsid w:val="004215D4"/>
    <w:rsid w:val="004216C8"/>
    <w:rsid w:val="00421D4C"/>
    <w:rsid w:val="00421EAD"/>
    <w:rsid w:val="00421FBC"/>
    <w:rsid w:val="0042297C"/>
    <w:rsid w:val="00422D32"/>
    <w:rsid w:val="00423203"/>
    <w:rsid w:val="004235F1"/>
    <w:rsid w:val="0042391E"/>
    <w:rsid w:val="00423FFF"/>
    <w:rsid w:val="00424967"/>
    <w:rsid w:val="00424CA6"/>
    <w:rsid w:val="00425577"/>
    <w:rsid w:val="00425606"/>
    <w:rsid w:val="00425714"/>
    <w:rsid w:val="0042587B"/>
    <w:rsid w:val="004259D1"/>
    <w:rsid w:val="00426026"/>
    <w:rsid w:val="0042629C"/>
    <w:rsid w:val="004263A3"/>
    <w:rsid w:val="00426BA5"/>
    <w:rsid w:val="00426CB6"/>
    <w:rsid w:val="00426FA2"/>
    <w:rsid w:val="0042706A"/>
    <w:rsid w:val="00432296"/>
    <w:rsid w:val="00432770"/>
    <w:rsid w:val="00432AAC"/>
    <w:rsid w:val="0043367D"/>
    <w:rsid w:val="0043376B"/>
    <w:rsid w:val="00433A00"/>
    <w:rsid w:val="004346B1"/>
    <w:rsid w:val="00437039"/>
    <w:rsid w:val="004373DC"/>
    <w:rsid w:val="004423BD"/>
    <w:rsid w:val="00442FFD"/>
    <w:rsid w:val="004432E3"/>
    <w:rsid w:val="00444640"/>
    <w:rsid w:val="0044491C"/>
    <w:rsid w:val="00444A44"/>
    <w:rsid w:val="00445240"/>
    <w:rsid w:val="0044582B"/>
    <w:rsid w:val="0044745A"/>
    <w:rsid w:val="004476CA"/>
    <w:rsid w:val="00447821"/>
    <w:rsid w:val="004478BB"/>
    <w:rsid w:val="00447BB9"/>
    <w:rsid w:val="0045051A"/>
    <w:rsid w:val="00451F30"/>
    <w:rsid w:val="004526C9"/>
    <w:rsid w:val="00452AAF"/>
    <w:rsid w:val="00452C16"/>
    <w:rsid w:val="004538B9"/>
    <w:rsid w:val="0045473E"/>
    <w:rsid w:val="00454A17"/>
    <w:rsid w:val="00454DE8"/>
    <w:rsid w:val="0045574C"/>
    <w:rsid w:val="00456938"/>
    <w:rsid w:val="00456CEE"/>
    <w:rsid w:val="00457253"/>
    <w:rsid w:val="00457AE6"/>
    <w:rsid w:val="00457BB2"/>
    <w:rsid w:val="00457F26"/>
    <w:rsid w:val="00460410"/>
    <w:rsid w:val="004604CC"/>
    <w:rsid w:val="004609A6"/>
    <w:rsid w:val="00460B07"/>
    <w:rsid w:val="0046178E"/>
    <w:rsid w:val="00461965"/>
    <w:rsid w:val="00461A92"/>
    <w:rsid w:val="00462E73"/>
    <w:rsid w:val="00462F78"/>
    <w:rsid w:val="00463EE0"/>
    <w:rsid w:val="004643CB"/>
    <w:rsid w:val="0046458A"/>
    <w:rsid w:val="0046524A"/>
    <w:rsid w:val="004654FC"/>
    <w:rsid w:val="004663BA"/>
    <w:rsid w:val="0046750A"/>
    <w:rsid w:val="004675BD"/>
    <w:rsid w:val="004677FF"/>
    <w:rsid w:val="0046796C"/>
    <w:rsid w:val="00467AD9"/>
    <w:rsid w:val="00467C27"/>
    <w:rsid w:val="00470732"/>
    <w:rsid w:val="00470B6D"/>
    <w:rsid w:val="00471166"/>
    <w:rsid w:val="00471172"/>
    <w:rsid w:val="00472C08"/>
    <w:rsid w:val="00473004"/>
    <w:rsid w:val="0047321C"/>
    <w:rsid w:val="00473620"/>
    <w:rsid w:val="004737D9"/>
    <w:rsid w:val="00473C8A"/>
    <w:rsid w:val="00473EBB"/>
    <w:rsid w:val="00474307"/>
    <w:rsid w:val="00474A32"/>
    <w:rsid w:val="00474B61"/>
    <w:rsid w:val="00474E58"/>
    <w:rsid w:val="004751D0"/>
    <w:rsid w:val="00475AF5"/>
    <w:rsid w:val="004760A0"/>
    <w:rsid w:val="0047748E"/>
    <w:rsid w:val="00477802"/>
    <w:rsid w:val="00477BD1"/>
    <w:rsid w:val="00481B1D"/>
    <w:rsid w:val="004820BA"/>
    <w:rsid w:val="00482868"/>
    <w:rsid w:val="0048341D"/>
    <w:rsid w:val="00483639"/>
    <w:rsid w:val="00483AA9"/>
    <w:rsid w:val="00484F54"/>
    <w:rsid w:val="00484F7C"/>
    <w:rsid w:val="004854BA"/>
    <w:rsid w:val="004854EB"/>
    <w:rsid w:val="0048586E"/>
    <w:rsid w:val="00485A4E"/>
    <w:rsid w:val="00486917"/>
    <w:rsid w:val="00486B24"/>
    <w:rsid w:val="004879AE"/>
    <w:rsid w:val="0049016C"/>
    <w:rsid w:val="004902AA"/>
    <w:rsid w:val="0049080A"/>
    <w:rsid w:val="00491589"/>
    <w:rsid w:val="00492A40"/>
    <w:rsid w:val="004943F2"/>
    <w:rsid w:val="00494C3D"/>
    <w:rsid w:val="00495974"/>
    <w:rsid w:val="00496A62"/>
    <w:rsid w:val="004A005B"/>
    <w:rsid w:val="004A0428"/>
    <w:rsid w:val="004A13E3"/>
    <w:rsid w:val="004A1A0E"/>
    <w:rsid w:val="004A1DF6"/>
    <w:rsid w:val="004A1FF5"/>
    <w:rsid w:val="004A3516"/>
    <w:rsid w:val="004A3D22"/>
    <w:rsid w:val="004A4036"/>
    <w:rsid w:val="004A583C"/>
    <w:rsid w:val="004A5C53"/>
    <w:rsid w:val="004A628C"/>
    <w:rsid w:val="004B065F"/>
    <w:rsid w:val="004B13AA"/>
    <w:rsid w:val="004B1806"/>
    <w:rsid w:val="004B24E5"/>
    <w:rsid w:val="004B2F42"/>
    <w:rsid w:val="004B310D"/>
    <w:rsid w:val="004B3AED"/>
    <w:rsid w:val="004B40C8"/>
    <w:rsid w:val="004B42EB"/>
    <w:rsid w:val="004B4FE9"/>
    <w:rsid w:val="004B51FD"/>
    <w:rsid w:val="004B6C02"/>
    <w:rsid w:val="004B6D95"/>
    <w:rsid w:val="004B6E1F"/>
    <w:rsid w:val="004B75CB"/>
    <w:rsid w:val="004C0766"/>
    <w:rsid w:val="004C08E5"/>
    <w:rsid w:val="004C0F84"/>
    <w:rsid w:val="004C12AD"/>
    <w:rsid w:val="004C1C88"/>
    <w:rsid w:val="004C2126"/>
    <w:rsid w:val="004C2536"/>
    <w:rsid w:val="004C2BC0"/>
    <w:rsid w:val="004C2D07"/>
    <w:rsid w:val="004C3B02"/>
    <w:rsid w:val="004C435D"/>
    <w:rsid w:val="004C4C0A"/>
    <w:rsid w:val="004C545F"/>
    <w:rsid w:val="004C5FDE"/>
    <w:rsid w:val="004C6328"/>
    <w:rsid w:val="004C66A1"/>
    <w:rsid w:val="004C6836"/>
    <w:rsid w:val="004C7442"/>
    <w:rsid w:val="004D04CD"/>
    <w:rsid w:val="004D0597"/>
    <w:rsid w:val="004D05B1"/>
    <w:rsid w:val="004D0922"/>
    <w:rsid w:val="004D1555"/>
    <w:rsid w:val="004D17E9"/>
    <w:rsid w:val="004D1C93"/>
    <w:rsid w:val="004D2F6F"/>
    <w:rsid w:val="004D4140"/>
    <w:rsid w:val="004D475E"/>
    <w:rsid w:val="004D783C"/>
    <w:rsid w:val="004D79C9"/>
    <w:rsid w:val="004E1251"/>
    <w:rsid w:val="004E22D2"/>
    <w:rsid w:val="004E25A1"/>
    <w:rsid w:val="004E3482"/>
    <w:rsid w:val="004E353C"/>
    <w:rsid w:val="004E460F"/>
    <w:rsid w:val="004E509F"/>
    <w:rsid w:val="004E571A"/>
    <w:rsid w:val="004E6AC0"/>
    <w:rsid w:val="004E6C9A"/>
    <w:rsid w:val="004E6D6A"/>
    <w:rsid w:val="004E72C3"/>
    <w:rsid w:val="004E7D7E"/>
    <w:rsid w:val="004F0035"/>
    <w:rsid w:val="004F06BB"/>
    <w:rsid w:val="004F0A50"/>
    <w:rsid w:val="004F0DB9"/>
    <w:rsid w:val="004F141C"/>
    <w:rsid w:val="004F154A"/>
    <w:rsid w:val="004F2130"/>
    <w:rsid w:val="004F253D"/>
    <w:rsid w:val="004F2D17"/>
    <w:rsid w:val="004F3172"/>
    <w:rsid w:val="004F5314"/>
    <w:rsid w:val="004F58B5"/>
    <w:rsid w:val="004F6B05"/>
    <w:rsid w:val="004F6EC4"/>
    <w:rsid w:val="004F706F"/>
    <w:rsid w:val="004F707B"/>
    <w:rsid w:val="0050006A"/>
    <w:rsid w:val="005001CC"/>
    <w:rsid w:val="005002A2"/>
    <w:rsid w:val="0050090B"/>
    <w:rsid w:val="00500DE3"/>
    <w:rsid w:val="0050115D"/>
    <w:rsid w:val="00501EEC"/>
    <w:rsid w:val="00502648"/>
    <w:rsid w:val="005028EC"/>
    <w:rsid w:val="00502DA3"/>
    <w:rsid w:val="00503481"/>
    <w:rsid w:val="00504A6A"/>
    <w:rsid w:val="0050556D"/>
    <w:rsid w:val="0050592E"/>
    <w:rsid w:val="0051033B"/>
    <w:rsid w:val="005108BD"/>
    <w:rsid w:val="00511BE7"/>
    <w:rsid w:val="00512DE6"/>
    <w:rsid w:val="005133EC"/>
    <w:rsid w:val="005137DA"/>
    <w:rsid w:val="00514745"/>
    <w:rsid w:val="0051562B"/>
    <w:rsid w:val="00515FB8"/>
    <w:rsid w:val="005161B0"/>
    <w:rsid w:val="00517270"/>
    <w:rsid w:val="00517363"/>
    <w:rsid w:val="005174B8"/>
    <w:rsid w:val="00517E86"/>
    <w:rsid w:val="005203F7"/>
    <w:rsid w:val="00520A50"/>
    <w:rsid w:val="00522264"/>
    <w:rsid w:val="00523B13"/>
    <w:rsid w:val="00523CCF"/>
    <w:rsid w:val="005247C8"/>
    <w:rsid w:val="00524B53"/>
    <w:rsid w:val="00524F33"/>
    <w:rsid w:val="00525525"/>
    <w:rsid w:val="00525729"/>
    <w:rsid w:val="005257BE"/>
    <w:rsid w:val="0052664A"/>
    <w:rsid w:val="0052694C"/>
    <w:rsid w:val="005279CA"/>
    <w:rsid w:val="00527A66"/>
    <w:rsid w:val="005300F3"/>
    <w:rsid w:val="00530270"/>
    <w:rsid w:val="00530673"/>
    <w:rsid w:val="005310F8"/>
    <w:rsid w:val="005312D2"/>
    <w:rsid w:val="00531686"/>
    <w:rsid w:val="005317EC"/>
    <w:rsid w:val="00532368"/>
    <w:rsid w:val="00532441"/>
    <w:rsid w:val="00532ABA"/>
    <w:rsid w:val="005334AD"/>
    <w:rsid w:val="005342F5"/>
    <w:rsid w:val="00534668"/>
    <w:rsid w:val="005353FE"/>
    <w:rsid w:val="00535A80"/>
    <w:rsid w:val="00536C19"/>
    <w:rsid w:val="00536F09"/>
    <w:rsid w:val="005379E7"/>
    <w:rsid w:val="00540B69"/>
    <w:rsid w:val="00540C69"/>
    <w:rsid w:val="005424EA"/>
    <w:rsid w:val="005427F3"/>
    <w:rsid w:val="00542D74"/>
    <w:rsid w:val="00543D6B"/>
    <w:rsid w:val="00544180"/>
    <w:rsid w:val="0054435A"/>
    <w:rsid w:val="005444BC"/>
    <w:rsid w:val="00544818"/>
    <w:rsid w:val="00544D6E"/>
    <w:rsid w:val="005453AE"/>
    <w:rsid w:val="00546D48"/>
    <w:rsid w:val="0054718A"/>
    <w:rsid w:val="00550047"/>
    <w:rsid w:val="005504DB"/>
    <w:rsid w:val="005506F6"/>
    <w:rsid w:val="0055071B"/>
    <w:rsid w:val="00551CE9"/>
    <w:rsid w:val="005522B0"/>
    <w:rsid w:val="00552B32"/>
    <w:rsid w:val="0055301A"/>
    <w:rsid w:val="00553BC2"/>
    <w:rsid w:val="00553E8B"/>
    <w:rsid w:val="00554395"/>
    <w:rsid w:val="005555A9"/>
    <w:rsid w:val="0055610D"/>
    <w:rsid w:val="005567CF"/>
    <w:rsid w:val="00556DB7"/>
    <w:rsid w:val="00556FA8"/>
    <w:rsid w:val="005571AC"/>
    <w:rsid w:val="00557D24"/>
    <w:rsid w:val="00557EA5"/>
    <w:rsid w:val="00561525"/>
    <w:rsid w:val="00561FFD"/>
    <w:rsid w:val="00562768"/>
    <w:rsid w:val="005632F1"/>
    <w:rsid w:val="005639E2"/>
    <w:rsid w:val="005644A1"/>
    <w:rsid w:val="00564A16"/>
    <w:rsid w:val="00566104"/>
    <w:rsid w:val="005665CF"/>
    <w:rsid w:val="005666BF"/>
    <w:rsid w:val="00566FFA"/>
    <w:rsid w:val="00567136"/>
    <w:rsid w:val="0056716C"/>
    <w:rsid w:val="00567571"/>
    <w:rsid w:val="00567A5D"/>
    <w:rsid w:val="0057025B"/>
    <w:rsid w:val="00570454"/>
    <w:rsid w:val="00570671"/>
    <w:rsid w:val="00571FA3"/>
    <w:rsid w:val="00572B5C"/>
    <w:rsid w:val="00573606"/>
    <w:rsid w:val="005746D9"/>
    <w:rsid w:val="005752D2"/>
    <w:rsid w:val="005758B2"/>
    <w:rsid w:val="0057597C"/>
    <w:rsid w:val="00576059"/>
    <w:rsid w:val="005763A7"/>
    <w:rsid w:val="00576F74"/>
    <w:rsid w:val="005779F8"/>
    <w:rsid w:val="00577B74"/>
    <w:rsid w:val="005802C5"/>
    <w:rsid w:val="0058082E"/>
    <w:rsid w:val="00580D33"/>
    <w:rsid w:val="00581283"/>
    <w:rsid w:val="00583752"/>
    <w:rsid w:val="00583F79"/>
    <w:rsid w:val="00584BD2"/>
    <w:rsid w:val="00584EEA"/>
    <w:rsid w:val="00585468"/>
    <w:rsid w:val="005869A4"/>
    <w:rsid w:val="00590A49"/>
    <w:rsid w:val="0059147D"/>
    <w:rsid w:val="00591A71"/>
    <w:rsid w:val="005923A7"/>
    <w:rsid w:val="005935D1"/>
    <w:rsid w:val="00593F5B"/>
    <w:rsid w:val="0059430A"/>
    <w:rsid w:val="00594954"/>
    <w:rsid w:val="00594A6F"/>
    <w:rsid w:val="00595477"/>
    <w:rsid w:val="005956BC"/>
    <w:rsid w:val="00595922"/>
    <w:rsid w:val="00595AEC"/>
    <w:rsid w:val="00596CF6"/>
    <w:rsid w:val="00597993"/>
    <w:rsid w:val="005A0949"/>
    <w:rsid w:val="005A17D1"/>
    <w:rsid w:val="005A2FB4"/>
    <w:rsid w:val="005A3281"/>
    <w:rsid w:val="005A337D"/>
    <w:rsid w:val="005A3D32"/>
    <w:rsid w:val="005A4BD9"/>
    <w:rsid w:val="005A4DDD"/>
    <w:rsid w:val="005A5173"/>
    <w:rsid w:val="005A5996"/>
    <w:rsid w:val="005A5E26"/>
    <w:rsid w:val="005A6FFF"/>
    <w:rsid w:val="005A7059"/>
    <w:rsid w:val="005A74AD"/>
    <w:rsid w:val="005A7D40"/>
    <w:rsid w:val="005B0293"/>
    <w:rsid w:val="005B0522"/>
    <w:rsid w:val="005B06A5"/>
    <w:rsid w:val="005B1524"/>
    <w:rsid w:val="005B1B2F"/>
    <w:rsid w:val="005B1CD3"/>
    <w:rsid w:val="005B2907"/>
    <w:rsid w:val="005B2B6F"/>
    <w:rsid w:val="005B3A5A"/>
    <w:rsid w:val="005B3E0B"/>
    <w:rsid w:val="005B4055"/>
    <w:rsid w:val="005B53C1"/>
    <w:rsid w:val="005B55BA"/>
    <w:rsid w:val="005B58BF"/>
    <w:rsid w:val="005B5CD1"/>
    <w:rsid w:val="005B618A"/>
    <w:rsid w:val="005B66E2"/>
    <w:rsid w:val="005B6C87"/>
    <w:rsid w:val="005B6C98"/>
    <w:rsid w:val="005C1654"/>
    <w:rsid w:val="005C182F"/>
    <w:rsid w:val="005C2059"/>
    <w:rsid w:val="005C219F"/>
    <w:rsid w:val="005C23EB"/>
    <w:rsid w:val="005C2F50"/>
    <w:rsid w:val="005C31C3"/>
    <w:rsid w:val="005C3C33"/>
    <w:rsid w:val="005C4439"/>
    <w:rsid w:val="005C5877"/>
    <w:rsid w:val="005C651C"/>
    <w:rsid w:val="005C6E4A"/>
    <w:rsid w:val="005C6EB9"/>
    <w:rsid w:val="005C727E"/>
    <w:rsid w:val="005D1AC9"/>
    <w:rsid w:val="005D236C"/>
    <w:rsid w:val="005D4394"/>
    <w:rsid w:val="005D4822"/>
    <w:rsid w:val="005D49C7"/>
    <w:rsid w:val="005D541F"/>
    <w:rsid w:val="005D591A"/>
    <w:rsid w:val="005D5922"/>
    <w:rsid w:val="005D634E"/>
    <w:rsid w:val="005D7247"/>
    <w:rsid w:val="005E0154"/>
    <w:rsid w:val="005E049B"/>
    <w:rsid w:val="005E0C18"/>
    <w:rsid w:val="005E3491"/>
    <w:rsid w:val="005E377F"/>
    <w:rsid w:val="005E47CA"/>
    <w:rsid w:val="005E4A4A"/>
    <w:rsid w:val="005E5388"/>
    <w:rsid w:val="005E60BA"/>
    <w:rsid w:val="005E64AC"/>
    <w:rsid w:val="005E7343"/>
    <w:rsid w:val="005E74B7"/>
    <w:rsid w:val="005E7889"/>
    <w:rsid w:val="005F17FE"/>
    <w:rsid w:val="005F3DB0"/>
    <w:rsid w:val="005F5255"/>
    <w:rsid w:val="005F5768"/>
    <w:rsid w:val="005F5995"/>
    <w:rsid w:val="005F5E1B"/>
    <w:rsid w:val="005F5E3D"/>
    <w:rsid w:val="005F6779"/>
    <w:rsid w:val="005F75D6"/>
    <w:rsid w:val="005F7FBC"/>
    <w:rsid w:val="006025B4"/>
    <w:rsid w:val="006028E0"/>
    <w:rsid w:val="00602F57"/>
    <w:rsid w:val="0060302B"/>
    <w:rsid w:val="00603FDD"/>
    <w:rsid w:val="006043EC"/>
    <w:rsid w:val="0060598B"/>
    <w:rsid w:val="006063A5"/>
    <w:rsid w:val="00606811"/>
    <w:rsid w:val="006074EA"/>
    <w:rsid w:val="00607995"/>
    <w:rsid w:val="006079A9"/>
    <w:rsid w:val="00607B9D"/>
    <w:rsid w:val="006102E2"/>
    <w:rsid w:val="006104CE"/>
    <w:rsid w:val="00610B7B"/>
    <w:rsid w:val="00611197"/>
    <w:rsid w:val="00612030"/>
    <w:rsid w:val="0061235D"/>
    <w:rsid w:val="00613356"/>
    <w:rsid w:val="00613507"/>
    <w:rsid w:val="00613837"/>
    <w:rsid w:val="006142C9"/>
    <w:rsid w:val="006143B4"/>
    <w:rsid w:val="00614D1D"/>
    <w:rsid w:val="0061533F"/>
    <w:rsid w:val="00615DA8"/>
    <w:rsid w:val="006165B1"/>
    <w:rsid w:val="0061680B"/>
    <w:rsid w:val="006168C0"/>
    <w:rsid w:val="00616DC3"/>
    <w:rsid w:val="00616ECA"/>
    <w:rsid w:val="0062129D"/>
    <w:rsid w:val="00621BB2"/>
    <w:rsid w:val="00621DBA"/>
    <w:rsid w:val="0062238C"/>
    <w:rsid w:val="006229CA"/>
    <w:rsid w:val="00622CF3"/>
    <w:rsid w:val="006237EA"/>
    <w:rsid w:val="0062432F"/>
    <w:rsid w:val="0062451D"/>
    <w:rsid w:val="0062475D"/>
    <w:rsid w:val="00625DC7"/>
    <w:rsid w:val="00626A03"/>
    <w:rsid w:val="0062780D"/>
    <w:rsid w:val="00627CB7"/>
    <w:rsid w:val="0063080C"/>
    <w:rsid w:val="00631E67"/>
    <w:rsid w:val="006337E0"/>
    <w:rsid w:val="006337F2"/>
    <w:rsid w:val="00633B7F"/>
    <w:rsid w:val="00633C85"/>
    <w:rsid w:val="00633C93"/>
    <w:rsid w:val="0063412D"/>
    <w:rsid w:val="00634DC1"/>
    <w:rsid w:val="00634DE8"/>
    <w:rsid w:val="006355B4"/>
    <w:rsid w:val="00635938"/>
    <w:rsid w:val="00635C8B"/>
    <w:rsid w:val="00636569"/>
    <w:rsid w:val="006377AE"/>
    <w:rsid w:val="00637A17"/>
    <w:rsid w:val="00637BC8"/>
    <w:rsid w:val="00640D9F"/>
    <w:rsid w:val="00642242"/>
    <w:rsid w:val="006426DF"/>
    <w:rsid w:val="006435CE"/>
    <w:rsid w:val="00643E80"/>
    <w:rsid w:val="00644CE4"/>
    <w:rsid w:val="00644D19"/>
    <w:rsid w:val="00645DD5"/>
    <w:rsid w:val="00646292"/>
    <w:rsid w:val="006463B2"/>
    <w:rsid w:val="00646F36"/>
    <w:rsid w:val="00647D69"/>
    <w:rsid w:val="006504EB"/>
    <w:rsid w:val="00650812"/>
    <w:rsid w:val="00650AE5"/>
    <w:rsid w:val="00650F64"/>
    <w:rsid w:val="00651423"/>
    <w:rsid w:val="0065168C"/>
    <w:rsid w:val="006529BA"/>
    <w:rsid w:val="00653097"/>
    <w:rsid w:val="00653B26"/>
    <w:rsid w:val="00655194"/>
    <w:rsid w:val="00655910"/>
    <w:rsid w:val="00655C9E"/>
    <w:rsid w:val="006562A3"/>
    <w:rsid w:val="006565F8"/>
    <w:rsid w:val="00656A04"/>
    <w:rsid w:val="00657EB3"/>
    <w:rsid w:val="00661165"/>
    <w:rsid w:val="00661687"/>
    <w:rsid w:val="0066182C"/>
    <w:rsid w:val="00662A59"/>
    <w:rsid w:val="0066351B"/>
    <w:rsid w:val="00663D81"/>
    <w:rsid w:val="00664B35"/>
    <w:rsid w:val="0066514B"/>
    <w:rsid w:val="00665465"/>
    <w:rsid w:val="00665722"/>
    <w:rsid w:val="00665789"/>
    <w:rsid w:val="00665C82"/>
    <w:rsid w:val="006674F5"/>
    <w:rsid w:val="00667E5A"/>
    <w:rsid w:val="00670B48"/>
    <w:rsid w:val="006711FB"/>
    <w:rsid w:val="0067143D"/>
    <w:rsid w:val="00671CAD"/>
    <w:rsid w:val="0067216D"/>
    <w:rsid w:val="00672293"/>
    <w:rsid w:val="00673065"/>
    <w:rsid w:val="0067339F"/>
    <w:rsid w:val="0067690D"/>
    <w:rsid w:val="00676EF3"/>
    <w:rsid w:val="006808B4"/>
    <w:rsid w:val="006809E0"/>
    <w:rsid w:val="00681212"/>
    <w:rsid w:val="006814C7"/>
    <w:rsid w:val="00681A01"/>
    <w:rsid w:val="006823DE"/>
    <w:rsid w:val="0068335C"/>
    <w:rsid w:val="00683E8D"/>
    <w:rsid w:val="00684426"/>
    <w:rsid w:val="00684D52"/>
    <w:rsid w:val="00685071"/>
    <w:rsid w:val="006870B5"/>
    <w:rsid w:val="0068718A"/>
    <w:rsid w:val="00687383"/>
    <w:rsid w:val="00687F10"/>
    <w:rsid w:val="00691194"/>
    <w:rsid w:val="006918E7"/>
    <w:rsid w:val="006923E7"/>
    <w:rsid w:val="00692C06"/>
    <w:rsid w:val="00692E77"/>
    <w:rsid w:val="00693410"/>
    <w:rsid w:val="0069341A"/>
    <w:rsid w:val="00693EEC"/>
    <w:rsid w:val="0069426A"/>
    <w:rsid w:val="00694693"/>
    <w:rsid w:val="006953D1"/>
    <w:rsid w:val="00695A6F"/>
    <w:rsid w:val="00696700"/>
    <w:rsid w:val="00696807"/>
    <w:rsid w:val="00696C82"/>
    <w:rsid w:val="00697773"/>
    <w:rsid w:val="00697974"/>
    <w:rsid w:val="006A0366"/>
    <w:rsid w:val="006A05AD"/>
    <w:rsid w:val="006A1FD7"/>
    <w:rsid w:val="006A2E92"/>
    <w:rsid w:val="006A3176"/>
    <w:rsid w:val="006A34FE"/>
    <w:rsid w:val="006A510F"/>
    <w:rsid w:val="006A5346"/>
    <w:rsid w:val="006A633A"/>
    <w:rsid w:val="006A6913"/>
    <w:rsid w:val="006A69D8"/>
    <w:rsid w:val="006A7ED3"/>
    <w:rsid w:val="006B074C"/>
    <w:rsid w:val="006B0CDB"/>
    <w:rsid w:val="006B0E44"/>
    <w:rsid w:val="006B13F9"/>
    <w:rsid w:val="006B2668"/>
    <w:rsid w:val="006B2B23"/>
    <w:rsid w:val="006B2E18"/>
    <w:rsid w:val="006B2FF3"/>
    <w:rsid w:val="006B3BCE"/>
    <w:rsid w:val="006B3C16"/>
    <w:rsid w:val="006B3DF4"/>
    <w:rsid w:val="006B44F8"/>
    <w:rsid w:val="006B466F"/>
    <w:rsid w:val="006B4D4D"/>
    <w:rsid w:val="006B50FE"/>
    <w:rsid w:val="006B55DF"/>
    <w:rsid w:val="006B57ED"/>
    <w:rsid w:val="006B59B0"/>
    <w:rsid w:val="006B5C51"/>
    <w:rsid w:val="006B5F0B"/>
    <w:rsid w:val="006C1B70"/>
    <w:rsid w:val="006C1CF7"/>
    <w:rsid w:val="006C2A61"/>
    <w:rsid w:val="006C362E"/>
    <w:rsid w:val="006C374C"/>
    <w:rsid w:val="006C37B4"/>
    <w:rsid w:val="006C38A1"/>
    <w:rsid w:val="006C4868"/>
    <w:rsid w:val="006C5605"/>
    <w:rsid w:val="006C5742"/>
    <w:rsid w:val="006C61E6"/>
    <w:rsid w:val="006C6402"/>
    <w:rsid w:val="006C6C0A"/>
    <w:rsid w:val="006C70AE"/>
    <w:rsid w:val="006C759C"/>
    <w:rsid w:val="006D014E"/>
    <w:rsid w:val="006D06A7"/>
    <w:rsid w:val="006D1CA0"/>
    <w:rsid w:val="006D226F"/>
    <w:rsid w:val="006D2AC9"/>
    <w:rsid w:val="006D30A4"/>
    <w:rsid w:val="006D4078"/>
    <w:rsid w:val="006D43C7"/>
    <w:rsid w:val="006D4D56"/>
    <w:rsid w:val="006D547E"/>
    <w:rsid w:val="006D58B8"/>
    <w:rsid w:val="006D5A94"/>
    <w:rsid w:val="006D5D78"/>
    <w:rsid w:val="006E14BE"/>
    <w:rsid w:val="006E162C"/>
    <w:rsid w:val="006E3021"/>
    <w:rsid w:val="006E373F"/>
    <w:rsid w:val="006E462A"/>
    <w:rsid w:val="006E513D"/>
    <w:rsid w:val="006E60F4"/>
    <w:rsid w:val="006E64C4"/>
    <w:rsid w:val="006E64D5"/>
    <w:rsid w:val="006E7A92"/>
    <w:rsid w:val="006F390E"/>
    <w:rsid w:val="006F3F73"/>
    <w:rsid w:val="006F50EB"/>
    <w:rsid w:val="006F51E5"/>
    <w:rsid w:val="006F5F1F"/>
    <w:rsid w:val="006F7B05"/>
    <w:rsid w:val="006F7C92"/>
    <w:rsid w:val="00701F24"/>
    <w:rsid w:val="00702897"/>
    <w:rsid w:val="00702F37"/>
    <w:rsid w:val="00703302"/>
    <w:rsid w:val="00704465"/>
    <w:rsid w:val="00704EFF"/>
    <w:rsid w:val="0070503F"/>
    <w:rsid w:val="00705094"/>
    <w:rsid w:val="00705743"/>
    <w:rsid w:val="007058A6"/>
    <w:rsid w:val="007068C6"/>
    <w:rsid w:val="007069CE"/>
    <w:rsid w:val="00706D5B"/>
    <w:rsid w:val="007073F7"/>
    <w:rsid w:val="00707E88"/>
    <w:rsid w:val="00710438"/>
    <w:rsid w:val="00710B3B"/>
    <w:rsid w:val="007115EC"/>
    <w:rsid w:val="00713465"/>
    <w:rsid w:val="00713C68"/>
    <w:rsid w:val="0071450F"/>
    <w:rsid w:val="0071492E"/>
    <w:rsid w:val="00714F88"/>
    <w:rsid w:val="00715661"/>
    <w:rsid w:val="00715D04"/>
    <w:rsid w:val="00715F41"/>
    <w:rsid w:val="00716C14"/>
    <w:rsid w:val="00717008"/>
    <w:rsid w:val="007173EE"/>
    <w:rsid w:val="007174E9"/>
    <w:rsid w:val="00717519"/>
    <w:rsid w:val="007200B6"/>
    <w:rsid w:val="00720C06"/>
    <w:rsid w:val="00721185"/>
    <w:rsid w:val="00721CBE"/>
    <w:rsid w:val="00722343"/>
    <w:rsid w:val="0072289F"/>
    <w:rsid w:val="0072418B"/>
    <w:rsid w:val="00724501"/>
    <w:rsid w:val="00724630"/>
    <w:rsid w:val="00724BD7"/>
    <w:rsid w:val="00724C19"/>
    <w:rsid w:val="007251FB"/>
    <w:rsid w:val="0072623E"/>
    <w:rsid w:val="0072629E"/>
    <w:rsid w:val="007268CC"/>
    <w:rsid w:val="00727667"/>
    <w:rsid w:val="00730D8D"/>
    <w:rsid w:val="007312C6"/>
    <w:rsid w:val="007317E7"/>
    <w:rsid w:val="00732245"/>
    <w:rsid w:val="007325C2"/>
    <w:rsid w:val="00732D8E"/>
    <w:rsid w:val="0073398C"/>
    <w:rsid w:val="00733BE0"/>
    <w:rsid w:val="007350FE"/>
    <w:rsid w:val="007355E7"/>
    <w:rsid w:val="00735B4E"/>
    <w:rsid w:val="00735BAA"/>
    <w:rsid w:val="00735E43"/>
    <w:rsid w:val="0073629C"/>
    <w:rsid w:val="007367A5"/>
    <w:rsid w:val="0073692C"/>
    <w:rsid w:val="00736C32"/>
    <w:rsid w:val="00736FC1"/>
    <w:rsid w:val="00737207"/>
    <w:rsid w:val="007373BB"/>
    <w:rsid w:val="007378B8"/>
    <w:rsid w:val="007414F3"/>
    <w:rsid w:val="007418CF"/>
    <w:rsid w:val="0074196E"/>
    <w:rsid w:val="00741BEB"/>
    <w:rsid w:val="00742901"/>
    <w:rsid w:val="007434DA"/>
    <w:rsid w:val="00743F71"/>
    <w:rsid w:val="007440E7"/>
    <w:rsid w:val="007449DE"/>
    <w:rsid w:val="00744BBE"/>
    <w:rsid w:val="00745317"/>
    <w:rsid w:val="00745347"/>
    <w:rsid w:val="00745C7F"/>
    <w:rsid w:val="00746688"/>
    <w:rsid w:val="00746D4B"/>
    <w:rsid w:val="00747DC5"/>
    <w:rsid w:val="0075088C"/>
    <w:rsid w:val="00750AEC"/>
    <w:rsid w:val="00750D40"/>
    <w:rsid w:val="00752D84"/>
    <w:rsid w:val="00753017"/>
    <w:rsid w:val="007534E9"/>
    <w:rsid w:val="007541AD"/>
    <w:rsid w:val="00754879"/>
    <w:rsid w:val="00754AC3"/>
    <w:rsid w:val="007550F4"/>
    <w:rsid w:val="00755862"/>
    <w:rsid w:val="007559FA"/>
    <w:rsid w:val="00755D6F"/>
    <w:rsid w:val="00756C06"/>
    <w:rsid w:val="00757190"/>
    <w:rsid w:val="0075729C"/>
    <w:rsid w:val="007579B5"/>
    <w:rsid w:val="00760ADA"/>
    <w:rsid w:val="00760B4C"/>
    <w:rsid w:val="00762FF5"/>
    <w:rsid w:val="0076392B"/>
    <w:rsid w:val="00763974"/>
    <w:rsid w:val="00763E7D"/>
    <w:rsid w:val="00764398"/>
    <w:rsid w:val="007644E5"/>
    <w:rsid w:val="00764AC3"/>
    <w:rsid w:val="007656FE"/>
    <w:rsid w:val="007660ED"/>
    <w:rsid w:val="00766672"/>
    <w:rsid w:val="007675C8"/>
    <w:rsid w:val="007676D2"/>
    <w:rsid w:val="0076775F"/>
    <w:rsid w:val="00767C9C"/>
    <w:rsid w:val="0077094C"/>
    <w:rsid w:val="007711D6"/>
    <w:rsid w:val="00771461"/>
    <w:rsid w:val="00771B06"/>
    <w:rsid w:val="00772A0D"/>
    <w:rsid w:val="00772C77"/>
    <w:rsid w:val="00772C87"/>
    <w:rsid w:val="0077399C"/>
    <w:rsid w:val="00773FDF"/>
    <w:rsid w:val="00775E7F"/>
    <w:rsid w:val="007766C6"/>
    <w:rsid w:val="007803F6"/>
    <w:rsid w:val="00780543"/>
    <w:rsid w:val="00780A76"/>
    <w:rsid w:val="00780A9E"/>
    <w:rsid w:val="007813C5"/>
    <w:rsid w:val="00782031"/>
    <w:rsid w:val="0078251C"/>
    <w:rsid w:val="00782D77"/>
    <w:rsid w:val="00782F80"/>
    <w:rsid w:val="00783167"/>
    <w:rsid w:val="007832DD"/>
    <w:rsid w:val="0078345E"/>
    <w:rsid w:val="00785495"/>
    <w:rsid w:val="007854C8"/>
    <w:rsid w:val="00785565"/>
    <w:rsid w:val="00785697"/>
    <w:rsid w:val="007858D6"/>
    <w:rsid w:val="00786220"/>
    <w:rsid w:val="007864BE"/>
    <w:rsid w:val="00786CA1"/>
    <w:rsid w:val="00787947"/>
    <w:rsid w:val="00791850"/>
    <w:rsid w:val="0079188A"/>
    <w:rsid w:val="007924C9"/>
    <w:rsid w:val="00792770"/>
    <w:rsid w:val="00793003"/>
    <w:rsid w:val="00793292"/>
    <w:rsid w:val="00793511"/>
    <w:rsid w:val="00793E58"/>
    <w:rsid w:val="00793FA5"/>
    <w:rsid w:val="00794385"/>
    <w:rsid w:val="0079476F"/>
    <w:rsid w:val="007947BB"/>
    <w:rsid w:val="007952AB"/>
    <w:rsid w:val="00795594"/>
    <w:rsid w:val="007957CC"/>
    <w:rsid w:val="0079585E"/>
    <w:rsid w:val="007958ED"/>
    <w:rsid w:val="00795956"/>
    <w:rsid w:val="00795EDE"/>
    <w:rsid w:val="007961C5"/>
    <w:rsid w:val="00796419"/>
    <w:rsid w:val="00797046"/>
    <w:rsid w:val="00797498"/>
    <w:rsid w:val="00797F99"/>
    <w:rsid w:val="007A0011"/>
    <w:rsid w:val="007A0210"/>
    <w:rsid w:val="007A0241"/>
    <w:rsid w:val="007A12FB"/>
    <w:rsid w:val="007A1667"/>
    <w:rsid w:val="007A2164"/>
    <w:rsid w:val="007A28CA"/>
    <w:rsid w:val="007A2B99"/>
    <w:rsid w:val="007A2CCC"/>
    <w:rsid w:val="007A36CA"/>
    <w:rsid w:val="007A4F8A"/>
    <w:rsid w:val="007A5A8C"/>
    <w:rsid w:val="007A69F0"/>
    <w:rsid w:val="007A6F66"/>
    <w:rsid w:val="007A75C7"/>
    <w:rsid w:val="007A764F"/>
    <w:rsid w:val="007A77C0"/>
    <w:rsid w:val="007A79F4"/>
    <w:rsid w:val="007B0D70"/>
    <w:rsid w:val="007B0E8B"/>
    <w:rsid w:val="007B16DA"/>
    <w:rsid w:val="007B2B07"/>
    <w:rsid w:val="007B306F"/>
    <w:rsid w:val="007B33DA"/>
    <w:rsid w:val="007B359B"/>
    <w:rsid w:val="007B5552"/>
    <w:rsid w:val="007B5710"/>
    <w:rsid w:val="007B7139"/>
    <w:rsid w:val="007B74F8"/>
    <w:rsid w:val="007B7C85"/>
    <w:rsid w:val="007C0CB7"/>
    <w:rsid w:val="007C14A3"/>
    <w:rsid w:val="007C163C"/>
    <w:rsid w:val="007C236A"/>
    <w:rsid w:val="007C37DF"/>
    <w:rsid w:val="007C457A"/>
    <w:rsid w:val="007C6998"/>
    <w:rsid w:val="007C7224"/>
    <w:rsid w:val="007C7623"/>
    <w:rsid w:val="007C7F6F"/>
    <w:rsid w:val="007D0064"/>
    <w:rsid w:val="007D04D5"/>
    <w:rsid w:val="007D06E1"/>
    <w:rsid w:val="007D1573"/>
    <w:rsid w:val="007D2997"/>
    <w:rsid w:val="007D2B61"/>
    <w:rsid w:val="007D43F4"/>
    <w:rsid w:val="007D48E0"/>
    <w:rsid w:val="007D4C66"/>
    <w:rsid w:val="007D4F3D"/>
    <w:rsid w:val="007D4F57"/>
    <w:rsid w:val="007D5168"/>
    <w:rsid w:val="007D56C1"/>
    <w:rsid w:val="007D65A7"/>
    <w:rsid w:val="007D665F"/>
    <w:rsid w:val="007D750F"/>
    <w:rsid w:val="007D79CB"/>
    <w:rsid w:val="007E0180"/>
    <w:rsid w:val="007E0699"/>
    <w:rsid w:val="007E08FD"/>
    <w:rsid w:val="007E09FA"/>
    <w:rsid w:val="007E0C53"/>
    <w:rsid w:val="007E1B77"/>
    <w:rsid w:val="007E1FEA"/>
    <w:rsid w:val="007E2971"/>
    <w:rsid w:val="007E3938"/>
    <w:rsid w:val="007E501D"/>
    <w:rsid w:val="007E66E1"/>
    <w:rsid w:val="007E6B50"/>
    <w:rsid w:val="007E7D6C"/>
    <w:rsid w:val="007E7F4A"/>
    <w:rsid w:val="007F0327"/>
    <w:rsid w:val="007F08EE"/>
    <w:rsid w:val="007F09AC"/>
    <w:rsid w:val="007F0A9D"/>
    <w:rsid w:val="007F13C4"/>
    <w:rsid w:val="007F1D59"/>
    <w:rsid w:val="007F1E3C"/>
    <w:rsid w:val="007F220E"/>
    <w:rsid w:val="007F350F"/>
    <w:rsid w:val="007F3FAF"/>
    <w:rsid w:val="007F40FF"/>
    <w:rsid w:val="007F41B9"/>
    <w:rsid w:val="007F42C1"/>
    <w:rsid w:val="007F5772"/>
    <w:rsid w:val="007F58C4"/>
    <w:rsid w:val="007F60C5"/>
    <w:rsid w:val="007F63F1"/>
    <w:rsid w:val="007F7325"/>
    <w:rsid w:val="00800519"/>
    <w:rsid w:val="008009C8"/>
    <w:rsid w:val="0080184C"/>
    <w:rsid w:val="008026D4"/>
    <w:rsid w:val="008037B5"/>
    <w:rsid w:val="0080415E"/>
    <w:rsid w:val="008048DE"/>
    <w:rsid w:val="00804B05"/>
    <w:rsid w:val="0080518C"/>
    <w:rsid w:val="00806A3D"/>
    <w:rsid w:val="00806E11"/>
    <w:rsid w:val="00806FAD"/>
    <w:rsid w:val="008076B2"/>
    <w:rsid w:val="008077D4"/>
    <w:rsid w:val="008077D7"/>
    <w:rsid w:val="008078D1"/>
    <w:rsid w:val="00807E15"/>
    <w:rsid w:val="00810A27"/>
    <w:rsid w:val="0081101C"/>
    <w:rsid w:val="00811BC8"/>
    <w:rsid w:val="008139D1"/>
    <w:rsid w:val="0081539D"/>
    <w:rsid w:val="00815B6F"/>
    <w:rsid w:val="00815FD3"/>
    <w:rsid w:val="008165B4"/>
    <w:rsid w:val="00816708"/>
    <w:rsid w:val="0081694F"/>
    <w:rsid w:val="00816A52"/>
    <w:rsid w:val="00816C08"/>
    <w:rsid w:val="00816FAF"/>
    <w:rsid w:val="008170A0"/>
    <w:rsid w:val="008177A5"/>
    <w:rsid w:val="00817B94"/>
    <w:rsid w:val="00820D86"/>
    <w:rsid w:val="00821D01"/>
    <w:rsid w:val="00823B01"/>
    <w:rsid w:val="008242D6"/>
    <w:rsid w:val="00825220"/>
    <w:rsid w:val="0082640A"/>
    <w:rsid w:val="008264E3"/>
    <w:rsid w:val="00827CF8"/>
    <w:rsid w:val="008306F7"/>
    <w:rsid w:val="00830D19"/>
    <w:rsid w:val="00830E67"/>
    <w:rsid w:val="00830E71"/>
    <w:rsid w:val="008318D1"/>
    <w:rsid w:val="00831B21"/>
    <w:rsid w:val="008320D2"/>
    <w:rsid w:val="00832421"/>
    <w:rsid w:val="00832C3A"/>
    <w:rsid w:val="0083519D"/>
    <w:rsid w:val="0083526A"/>
    <w:rsid w:val="00836DD1"/>
    <w:rsid w:val="00836DEC"/>
    <w:rsid w:val="00836F3A"/>
    <w:rsid w:val="00836F8E"/>
    <w:rsid w:val="00837790"/>
    <w:rsid w:val="00841C12"/>
    <w:rsid w:val="00841D19"/>
    <w:rsid w:val="008426BD"/>
    <w:rsid w:val="00842B6D"/>
    <w:rsid w:val="00842C48"/>
    <w:rsid w:val="00843CDB"/>
    <w:rsid w:val="00844331"/>
    <w:rsid w:val="008459D3"/>
    <w:rsid w:val="0084658C"/>
    <w:rsid w:val="00846C1C"/>
    <w:rsid w:val="008470C8"/>
    <w:rsid w:val="00850B5A"/>
    <w:rsid w:val="00851C76"/>
    <w:rsid w:val="00852AC6"/>
    <w:rsid w:val="00854A58"/>
    <w:rsid w:val="00854AEA"/>
    <w:rsid w:val="00854F78"/>
    <w:rsid w:val="00855D8B"/>
    <w:rsid w:val="00855F9E"/>
    <w:rsid w:val="00856A17"/>
    <w:rsid w:val="0086018A"/>
    <w:rsid w:val="008601B2"/>
    <w:rsid w:val="008606E5"/>
    <w:rsid w:val="00861FB7"/>
    <w:rsid w:val="00862061"/>
    <w:rsid w:val="008620B3"/>
    <w:rsid w:val="00863279"/>
    <w:rsid w:val="00863D73"/>
    <w:rsid w:val="00864900"/>
    <w:rsid w:val="00864E07"/>
    <w:rsid w:val="00865A63"/>
    <w:rsid w:val="0086671F"/>
    <w:rsid w:val="00867FF9"/>
    <w:rsid w:val="00870DD7"/>
    <w:rsid w:val="00870E8B"/>
    <w:rsid w:val="00870F5F"/>
    <w:rsid w:val="0087153D"/>
    <w:rsid w:val="00872086"/>
    <w:rsid w:val="00872AC8"/>
    <w:rsid w:val="00873872"/>
    <w:rsid w:val="00873FB8"/>
    <w:rsid w:val="008746D6"/>
    <w:rsid w:val="008747CA"/>
    <w:rsid w:val="00874EA2"/>
    <w:rsid w:val="0087557A"/>
    <w:rsid w:val="00875B96"/>
    <w:rsid w:val="00876738"/>
    <w:rsid w:val="0087689D"/>
    <w:rsid w:val="00876FD3"/>
    <w:rsid w:val="00877335"/>
    <w:rsid w:val="0087775C"/>
    <w:rsid w:val="00877A09"/>
    <w:rsid w:val="008808DF"/>
    <w:rsid w:val="00881663"/>
    <w:rsid w:val="00883BBA"/>
    <w:rsid w:val="008844C4"/>
    <w:rsid w:val="008848B0"/>
    <w:rsid w:val="00884993"/>
    <w:rsid w:val="00884C55"/>
    <w:rsid w:val="00885BC0"/>
    <w:rsid w:val="0088604F"/>
    <w:rsid w:val="008864E6"/>
    <w:rsid w:val="00886BFD"/>
    <w:rsid w:val="0088705D"/>
    <w:rsid w:val="008870CF"/>
    <w:rsid w:val="0088736A"/>
    <w:rsid w:val="00887835"/>
    <w:rsid w:val="008909D8"/>
    <w:rsid w:val="0089130D"/>
    <w:rsid w:val="00891C1D"/>
    <w:rsid w:val="008924EB"/>
    <w:rsid w:val="00893067"/>
    <w:rsid w:val="008939D8"/>
    <w:rsid w:val="00893E7A"/>
    <w:rsid w:val="00894229"/>
    <w:rsid w:val="00894FA6"/>
    <w:rsid w:val="00895E17"/>
    <w:rsid w:val="00896EF6"/>
    <w:rsid w:val="008972D3"/>
    <w:rsid w:val="008978B4"/>
    <w:rsid w:val="008A02AA"/>
    <w:rsid w:val="008A03F1"/>
    <w:rsid w:val="008A209F"/>
    <w:rsid w:val="008A2387"/>
    <w:rsid w:val="008A2AF5"/>
    <w:rsid w:val="008A3209"/>
    <w:rsid w:val="008A3F7A"/>
    <w:rsid w:val="008A4469"/>
    <w:rsid w:val="008A5084"/>
    <w:rsid w:val="008A5663"/>
    <w:rsid w:val="008A5D1A"/>
    <w:rsid w:val="008A691F"/>
    <w:rsid w:val="008B095E"/>
    <w:rsid w:val="008B22F3"/>
    <w:rsid w:val="008B25CF"/>
    <w:rsid w:val="008B40DD"/>
    <w:rsid w:val="008B4789"/>
    <w:rsid w:val="008B4A97"/>
    <w:rsid w:val="008B4EA5"/>
    <w:rsid w:val="008B585A"/>
    <w:rsid w:val="008B5FB8"/>
    <w:rsid w:val="008B6465"/>
    <w:rsid w:val="008B77E3"/>
    <w:rsid w:val="008B7BE4"/>
    <w:rsid w:val="008C0EB3"/>
    <w:rsid w:val="008C0EF4"/>
    <w:rsid w:val="008C1256"/>
    <w:rsid w:val="008C2251"/>
    <w:rsid w:val="008C27A2"/>
    <w:rsid w:val="008C37AF"/>
    <w:rsid w:val="008C4533"/>
    <w:rsid w:val="008C579A"/>
    <w:rsid w:val="008C5918"/>
    <w:rsid w:val="008C617F"/>
    <w:rsid w:val="008C6879"/>
    <w:rsid w:val="008C6DE7"/>
    <w:rsid w:val="008C7213"/>
    <w:rsid w:val="008C76DD"/>
    <w:rsid w:val="008C7C20"/>
    <w:rsid w:val="008C7CE4"/>
    <w:rsid w:val="008D0AFD"/>
    <w:rsid w:val="008D2DC1"/>
    <w:rsid w:val="008D30C0"/>
    <w:rsid w:val="008D5775"/>
    <w:rsid w:val="008D6A8B"/>
    <w:rsid w:val="008D6E01"/>
    <w:rsid w:val="008D6E4E"/>
    <w:rsid w:val="008D6F66"/>
    <w:rsid w:val="008D7C3D"/>
    <w:rsid w:val="008E015F"/>
    <w:rsid w:val="008E0506"/>
    <w:rsid w:val="008E072D"/>
    <w:rsid w:val="008E135E"/>
    <w:rsid w:val="008E1389"/>
    <w:rsid w:val="008E14E5"/>
    <w:rsid w:val="008E2218"/>
    <w:rsid w:val="008E2B0F"/>
    <w:rsid w:val="008E2B7F"/>
    <w:rsid w:val="008E30F9"/>
    <w:rsid w:val="008E3324"/>
    <w:rsid w:val="008E410F"/>
    <w:rsid w:val="008E47A4"/>
    <w:rsid w:val="008E4889"/>
    <w:rsid w:val="008E4C76"/>
    <w:rsid w:val="008E57FA"/>
    <w:rsid w:val="008E6424"/>
    <w:rsid w:val="008E698D"/>
    <w:rsid w:val="008E7129"/>
    <w:rsid w:val="008E7324"/>
    <w:rsid w:val="008E75D0"/>
    <w:rsid w:val="008F059B"/>
    <w:rsid w:val="008F07C3"/>
    <w:rsid w:val="008F13B4"/>
    <w:rsid w:val="008F192C"/>
    <w:rsid w:val="008F1E47"/>
    <w:rsid w:val="008F2E9C"/>
    <w:rsid w:val="008F3A15"/>
    <w:rsid w:val="008F5A38"/>
    <w:rsid w:val="008F5B98"/>
    <w:rsid w:val="008F5D8E"/>
    <w:rsid w:val="008F5EFF"/>
    <w:rsid w:val="008F6B49"/>
    <w:rsid w:val="008F72E6"/>
    <w:rsid w:val="00900EFE"/>
    <w:rsid w:val="00901371"/>
    <w:rsid w:val="0090141A"/>
    <w:rsid w:val="009017E6"/>
    <w:rsid w:val="00901DB6"/>
    <w:rsid w:val="009024EC"/>
    <w:rsid w:val="00903394"/>
    <w:rsid w:val="00903EA7"/>
    <w:rsid w:val="00903EC3"/>
    <w:rsid w:val="00904523"/>
    <w:rsid w:val="00904768"/>
    <w:rsid w:val="00904DB1"/>
    <w:rsid w:val="009052E7"/>
    <w:rsid w:val="0090631C"/>
    <w:rsid w:val="0090655A"/>
    <w:rsid w:val="0090727A"/>
    <w:rsid w:val="009073C9"/>
    <w:rsid w:val="00907494"/>
    <w:rsid w:val="009101A7"/>
    <w:rsid w:val="009103E3"/>
    <w:rsid w:val="00911285"/>
    <w:rsid w:val="00911B1E"/>
    <w:rsid w:val="00911CBE"/>
    <w:rsid w:val="0091314A"/>
    <w:rsid w:val="00913C37"/>
    <w:rsid w:val="009146C3"/>
    <w:rsid w:val="00914FDD"/>
    <w:rsid w:val="009153E0"/>
    <w:rsid w:val="009158DF"/>
    <w:rsid w:val="00915F1C"/>
    <w:rsid w:val="009162BF"/>
    <w:rsid w:val="00917997"/>
    <w:rsid w:val="00917C95"/>
    <w:rsid w:val="009204A0"/>
    <w:rsid w:val="009204CF"/>
    <w:rsid w:val="00920C89"/>
    <w:rsid w:val="00921E59"/>
    <w:rsid w:val="00922FD0"/>
    <w:rsid w:val="0092368F"/>
    <w:rsid w:val="00923E08"/>
    <w:rsid w:val="00924984"/>
    <w:rsid w:val="00925855"/>
    <w:rsid w:val="00925E0C"/>
    <w:rsid w:val="00926478"/>
    <w:rsid w:val="0093043C"/>
    <w:rsid w:val="0093215F"/>
    <w:rsid w:val="0093393C"/>
    <w:rsid w:val="00933CB5"/>
    <w:rsid w:val="009340F5"/>
    <w:rsid w:val="009344D8"/>
    <w:rsid w:val="009345CC"/>
    <w:rsid w:val="00934BB7"/>
    <w:rsid w:val="00935A2A"/>
    <w:rsid w:val="00935DC7"/>
    <w:rsid w:val="009364AF"/>
    <w:rsid w:val="0093655E"/>
    <w:rsid w:val="00937654"/>
    <w:rsid w:val="0093776A"/>
    <w:rsid w:val="00937A3C"/>
    <w:rsid w:val="00941543"/>
    <w:rsid w:val="00942C5C"/>
    <w:rsid w:val="00942C78"/>
    <w:rsid w:val="0094366E"/>
    <w:rsid w:val="009439EF"/>
    <w:rsid w:val="00943ADC"/>
    <w:rsid w:val="0094425A"/>
    <w:rsid w:val="009466C9"/>
    <w:rsid w:val="00950639"/>
    <w:rsid w:val="009516C8"/>
    <w:rsid w:val="00952690"/>
    <w:rsid w:val="009526CD"/>
    <w:rsid w:val="009528F2"/>
    <w:rsid w:val="00952E1C"/>
    <w:rsid w:val="00955B31"/>
    <w:rsid w:val="00955D4D"/>
    <w:rsid w:val="00956274"/>
    <w:rsid w:val="0095675D"/>
    <w:rsid w:val="0095695D"/>
    <w:rsid w:val="009570A8"/>
    <w:rsid w:val="009570B7"/>
    <w:rsid w:val="009603A6"/>
    <w:rsid w:val="009607DB"/>
    <w:rsid w:val="0096092A"/>
    <w:rsid w:val="009610BE"/>
    <w:rsid w:val="0096131F"/>
    <w:rsid w:val="009616CB"/>
    <w:rsid w:val="00961EA1"/>
    <w:rsid w:val="0096386F"/>
    <w:rsid w:val="00964871"/>
    <w:rsid w:val="00966082"/>
    <w:rsid w:val="009660E3"/>
    <w:rsid w:val="009665FB"/>
    <w:rsid w:val="009679B9"/>
    <w:rsid w:val="0097001E"/>
    <w:rsid w:val="009702B2"/>
    <w:rsid w:val="00970D6B"/>
    <w:rsid w:val="00971234"/>
    <w:rsid w:val="00971E5F"/>
    <w:rsid w:val="009725EC"/>
    <w:rsid w:val="00972E86"/>
    <w:rsid w:val="00973802"/>
    <w:rsid w:val="00974FA8"/>
    <w:rsid w:val="00975A3D"/>
    <w:rsid w:val="00975EB7"/>
    <w:rsid w:val="0097612B"/>
    <w:rsid w:val="009762B9"/>
    <w:rsid w:val="00976800"/>
    <w:rsid w:val="00976F13"/>
    <w:rsid w:val="009815A1"/>
    <w:rsid w:val="00981AD5"/>
    <w:rsid w:val="0098256F"/>
    <w:rsid w:val="00982D54"/>
    <w:rsid w:val="00982EE0"/>
    <w:rsid w:val="00984268"/>
    <w:rsid w:val="00984279"/>
    <w:rsid w:val="00984978"/>
    <w:rsid w:val="00984A3F"/>
    <w:rsid w:val="00984D54"/>
    <w:rsid w:val="009850E3"/>
    <w:rsid w:val="00987102"/>
    <w:rsid w:val="009905B6"/>
    <w:rsid w:val="00990B07"/>
    <w:rsid w:val="0099190D"/>
    <w:rsid w:val="00991F71"/>
    <w:rsid w:val="00992EA1"/>
    <w:rsid w:val="00993291"/>
    <w:rsid w:val="00994353"/>
    <w:rsid w:val="00994AA1"/>
    <w:rsid w:val="00994D34"/>
    <w:rsid w:val="009959F5"/>
    <w:rsid w:val="0099687E"/>
    <w:rsid w:val="00996A08"/>
    <w:rsid w:val="00996C0D"/>
    <w:rsid w:val="00996DD1"/>
    <w:rsid w:val="0099703D"/>
    <w:rsid w:val="009977DB"/>
    <w:rsid w:val="00997DEE"/>
    <w:rsid w:val="009A02D2"/>
    <w:rsid w:val="009A09F6"/>
    <w:rsid w:val="009A1B13"/>
    <w:rsid w:val="009A27F3"/>
    <w:rsid w:val="009A27F6"/>
    <w:rsid w:val="009A382E"/>
    <w:rsid w:val="009A5851"/>
    <w:rsid w:val="009A598A"/>
    <w:rsid w:val="009A64CE"/>
    <w:rsid w:val="009A7275"/>
    <w:rsid w:val="009A74DC"/>
    <w:rsid w:val="009A785F"/>
    <w:rsid w:val="009A79C5"/>
    <w:rsid w:val="009A7F9A"/>
    <w:rsid w:val="009B0237"/>
    <w:rsid w:val="009B0328"/>
    <w:rsid w:val="009B0FD3"/>
    <w:rsid w:val="009B1976"/>
    <w:rsid w:val="009B1FA1"/>
    <w:rsid w:val="009B4219"/>
    <w:rsid w:val="009B4B89"/>
    <w:rsid w:val="009B53BB"/>
    <w:rsid w:val="009B6053"/>
    <w:rsid w:val="009B61D5"/>
    <w:rsid w:val="009B629B"/>
    <w:rsid w:val="009B62E6"/>
    <w:rsid w:val="009B69E1"/>
    <w:rsid w:val="009B6F96"/>
    <w:rsid w:val="009C1266"/>
    <w:rsid w:val="009C12E3"/>
    <w:rsid w:val="009C231A"/>
    <w:rsid w:val="009C4070"/>
    <w:rsid w:val="009C46C6"/>
    <w:rsid w:val="009C5D30"/>
    <w:rsid w:val="009D0126"/>
    <w:rsid w:val="009D01B9"/>
    <w:rsid w:val="009D08AA"/>
    <w:rsid w:val="009D0AEE"/>
    <w:rsid w:val="009D19DB"/>
    <w:rsid w:val="009D1F2A"/>
    <w:rsid w:val="009D1F77"/>
    <w:rsid w:val="009D212E"/>
    <w:rsid w:val="009D23E4"/>
    <w:rsid w:val="009D275E"/>
    <w:rsid w:val="009D2AA1"/>
    <w:rsid w:val="009D336D"/>
    <w:rsid w:val="009D38DE"/>
    <w:rsid w:val="009D3EF2"/>
    <w:rsid w:val="009D3FAF"/>
    <w:rsid w:val="009D5138"/>
    <w:rsid w:val="009D606A"/>
    <w:rsid w:val="009E01FB"/>
    <w:rsid w:val="009E13D0"/>
    <w:rsid w:val="009E147D"/>
    <w:rsid w:val="009E14AA"/>
    <w:rsid w:val="009E162E"/>
    <w:rsid w:val="009E214D"/>
    <w:rsid w:val="009E290A"/>
    <w:rsid w:val="009E2E5F"/>
    <w:rsid w:val="009E2F3D"/>
    <w:rsid w:val="009E3988"/>
    <w:rsid w:val="009E3CB1"/>
    <w:rsid w:val="009E3DC6"/>
    <w:rsid w:val="009E42D4"/>
    <w:rsid w:val="009E43A6"/>
    <w:rsid w:val="009E4CE6"/>
    <w:rsid w:val="009E5090"/>
    <w:rsid w:val="009E5720"/>
    <w:rsid w:val="009E6279"/>
    <w:rsid w:val="009E6E0D"/>
    <w:rsid w:val="009E7460"/>
    <w:rsid w:val="009F06EE"/>
    <w:rsid w:val="009F0BD1"/>
    <w:rsid w:val="009F0C1E"/>
    <w:rsid w:val="009F10CB"/>
    <w:rsid w:val="009F1174"/>
    <w:rsid w:val="009F2B2A"/>
    <w:rsid w:val="009F397C"/>
    <w:rsid w:val="009F3BB6"/>
    <w:rsid w:val="009F409C"/>
    <w:rsid w:val="009F473F"/>
    <w:rsid w:val="009F4C93"/>
    <w:rsid w:val="009F4F4C"/>
    <w:rsid w:val="009F53D9"/>
    <w:rsid w:val="009F54E1"/>
    <w:rsid w:val="009F691D"/>
    <w:rsid w:val="009F75D1"/>
    <w:rsid w:val="009F7D93"/>
    <w:rsid w:val="00A008F5"/>
    <w:rsid w:val="00A00C58"/>
    <w:rsid w:val="00A0111D"/>
    <w:rsid w:val="00A02407"/>
    <w:rsid w:val="00A03B73"/>
    <w:rsid w:val="00A04548"/>
    <w:rsid w:val="00A0497F"/>
    <w:rsid w:val="00A0760F"/>
    <w:rsid w:val="00A07C9C"/>
    <w:rsid w:val="00A07CF3"/>
    <w:rsid w:val="00A109A6"/>
    <w:rsid w:val="00A1164D"/>
    <w:rsid w:val="00A11DCE"/>
    <w:rsid w:val="00A12320"/>
    <w:rsid w:val="00A13571"/>
    <w:rsid w:val="00A13A99"/>
    <w:rsid w:val="00A14135"/>
    <w:rsid w:val="00A15E60"/>
    <w:rsid w:val="00A17019"/>
    <w:rsid w:val="00A17514"/>
    <w:rsid w:val="00A20BC6"/>
    <w:rsid w:val="00A20C2E"/>
    <w:rsid w:val="00A21168"/>
    <w:rsid w:val="00A213BA"/>
    <w:rsid w:val="00A2216C"/>
    <w:rsid w:val="00A2255A"/>
    <w:rsid w:val="00A227C0"/>
    <w:rsid w:val="00A23044"/>
    <w:rsid w:val="00A24A5A"/>
    <w:rsid w:val="00A25B42"/>
    <w:rsid w:val="00A26B6E"/>
    <w:rsid w:val="00A26F55"/>
    <w:rsid w:val="00A3087B"/>
    <w:rsid w:val="00A3151D"/>
    <w:rsid w:val="00A317CE"/>
    <w:rsid w:val="00A32602"/>
    <w:rsid w:val="00A34905"/>
    <w:rsid w:val="00A35857"/>
    <w:rsid w:val="00A35977"/>
    <w:rsid w:val="00A35CBB"/>
    <w:rsid w:val="00A36467"/>
    <w:rsid w:val="00A369F2"/>
    <w:rsid w:val="00A37444"/>
    <w:rsid w:val="00A37690"/>
    <w:rsid w:val="00A37828"/>
    <w:rsid w:val="00A41942"/>
    <w:rsid w:val="00A423FB"/>
    <w:rsid w:val="00A42E5C"/>
    <w:rsid w:val="00A4311A"/>
    <w:rsid w:val="00A4315A"/>
    <w:rsid w:val="00A4371C"/>
    <w:rsid w:val="00A4415F"/>
    <w:rsid w:val="00A44CA8"/>
    <w:rsid w:val="00A4529A"/>
    <w:rsid w:val="00A456DA"/>
    <w:rsid w:val="00A50811"/>
    <w:rsid w:val="00A51804"/>
    <w:rsid w:val="00A51D5F"/>
    <w:rsid w:val="00A5351B"/>
    <w:rsid w:val="00A542F2"/>
    <w:rsid w:val="00A54415"/>
    <w:rsid w:val="00A558CE"/>
    <w:rsid w:val="00A55FE0"/>
    <w:rsid w:val="00A56F1C"/>
    <w:rsid w:val="00A57BA5"/>
    <w:rsid w:val="00A6041E"/>
    <w:rsid w:val="00A60DF9"/>
    <w:rsid w:val="00A62107"/>
    <w:rsid w:val="00A62218"/>
    <w:rsid w:val="00A636A3"/>
    <w:rsid w:val="00A63A8A"/>
    <w:rsid w:val="00A63AE3"/>
    <w:rsid w:val="00A64A51"/>
    <w:rsid w:val="00A64A71"/>
    <w:rsid w:val="00A653E9"/>
    <w:rsid w:val="00A65883"/>
    <w:rsid w:val="00A6687C"/>
    <w:rsid w:val="00A66BE7"/>
    <w:rsid w:val="00A66F25"/>
    <w:rsid w:val="00A674E3"/>
    <w:rsid w:val="00A67D67"/>
    <w:rsid w:val="00A704A9"/>
    <w:rsid w:val="00A708E0"/>
    <w:rsid w:val="00A70AF7"/>
    <w:rsid w:val="00A7241F"/>
    <w:rsid w:val="00A72944"/>
    <w:rsid w:val="00A733CF"/>
    <w:rsid w:val="00A7422D"/>
    <w:rsid w:val="00A74498"/>
    <w:rsid w:val="00A74B7D"/>
    <w:rsid w:val="00A74C2A"/>
    <w:rsid w:val="00A76D68"/>
    <w:rsid w:val="00A7780F"/>
    <w:rsid w:val="00A7789F"/>
    <w:rsid w:val="00A77F55"/>
    <w:rsid w:val="00A80D49"/>
    <w:rsid w:val="00A81454"/>
    <w:rsid w:val="00A833B0"/>
    <w:rsid w:val="00A834FF"/>
    <w:rsid w:val="00A83C18"/>
    <w:rsid w:val="00A850C3"/>
    <w:rsid w:val="00A85864"/>
    <w:rsid w:val="00A86FEF"/>
    <w:rsid w:val="00A87429"/>
    <w:rsid w:val="00A87EEE"/>
    <w:rsid w:val="00A90441"/>
    <w:rsid w:val="00A90ADB"/>
    <w:rsid w:val="00A9173F"/>
    <w:rsid w:val="00A91771"/>
    <w:rsid w:val="00A91A5A"/>
    <w:rsid w:val="00A924D4"/>
    <w:rsid w:val="00A92C24"/>
    <w:rsid w:val="00A92E19"/>
    <w:rsid w:val="00A94024"/>
    <w:rsid w:val="00A956A5"/>
    <w:rsid w:val="00A95C81"/>
    <w:rsid w:val="00A96ECF"/>
    <w:rsid w:val="00A97523"/>
    <w:rsid w:val="00AA023D"/>
    <w:rsid w:val="00AA0365"/>
    <w:rsid w:val="00AA0465"/>
    <w:rsid w:val="00AA09FD"/>
    <w:rsid w:val="00AA16F5"/>
    <w:rsid w:val="00AA18DA"/>
    <w:rsid w:val="00AA23F6"/>
    <w:rsid w:val="00AA30F9"/>
    <w:rsid w:val="00AA3FCC"/>
    <w:rsid w:val="00AA4A56"/>
    <w:rsid w:val="00AA5423"/>
    <w:rsid w:val="00AA583D"/>
    <w:rsid w:val="00AA61C8"/>
    <w:rsid w:val="00AA63A5"/>
    <w:rsid w:val="00AA6712"/>
    <w:rsid w:val="00AA6BC7"/>
    <w:rsid w:val="00AA70F4"/>
    <w:rsid w:val="00AA7B63"/>
    <w:rsid w:val="00AB1821"/>
    <w:rsid w:val="00AB1EDB"/>
    <w:rsid w:val="00AB2C08"/>
    <w:rsid w:val="00AB5B62"/>
    <w:rsid w:val="00AB7848"/>
    <w:rsid w:val="00AC0A53"/>
    <w:rsid w:val="00AC0B69"/>
    <w:rsid w:val="00AC0FB5"/>
    <w:rsid w:val="00AC1AB0"/>
    <w:rsid w:val="00AC1EFE"/>
    <w:rsid w:val="00AC2E29"/>
    <w:rsid w:val="00AC3966"/>
    <w:rsid w:val="00AC3DC6"/>
    <w:rsid w:val="00AC3EC8"/>
    <w:rsid w:val="00AC444C"/>
    <w:rsid w:val="00AC50DF"/>
    <w:rsid w:val="00AC6B92"/>
    <w:rsid w:val="00AD2A0C"/>
    <w:rsid w:val="00AD2E54"/>
    <w:rsid w:val="00AD33AD"/>
    <w:rsid w:val="00AD3AB2"/>
    <w:rsid w:val="00AD3E80"/>
    <w:rsid w:val="00AD4603"/>
    <w:rsid w:val="00AD4B37"/>
    <w:rsid w:val="00AD4EB9"/>
    <w:rsid w:val="00AD5084"/>
    <w:rsid w:val="00AD50EF"/>
    <w:rsid w:val="00AD50FF"/>
    <w:rsid w:val="00AD5481"/>
    <w:rsid w:val="00AD5CDC"/>
    <w:rsid w:val="00AD60D7"/>
    <w:rsid w:val="00AD6E3E"/>
    <w:rsid w:val="00AD70AF"/>
    <w:rsid w:val="00AD7421"/>
    <w:rsid w:val="00AE07B2"/>
    <w:rsid w:val="00AE0C86"/>
    <w:rsid w:val="00AE26A8"/>
    <w:rsid w:val="00AE2F15"/>
    <w:rsid w:val="00AE3B29"/>
    <w:rsid w:val="00AE4359"/>
    <w:rsid w:val="00AE4538"/>
    <w:rsid w:val="00AE47C5"/>
    <w:rsid w:val="00AE5019"/>
    <w:rsid w:val="00AE6278"/>
    <w:rsid w:val="00AE6BB1"/>
    <w:rsid w:val="00AE6C73"/>
    <w:rsid w:val="00AE775E"/>
    <w:rsid w:val="00AE7999"/>
    <w:rsid w:val="00AF048A"/>
    <w:rsid w:val="00AF07D3"/>
    <w:rsid w:val="00AF1203"/>
    <w:rsid w:val="00AF1783"/>
    <w:rsid w:val="00AF3C01"/>
    <w:rsid w:val="00AF47A1"/>
    <w:rsid w:val="00AF4DCA"/>
    <w:rsid w:val="00AF598C"/>
    <w:rsid w:val="00AF6771"/>
    <w:rsid w:val="00B0086D"/>
    <w:rsid w:val="00B017EA"/>
    <w:rsid w:val="00B0243E"/>
    <w:rsid w:val="00B02DB7"/>
    <w:rsid w:val="00B03D4F"/>
    <w:rsid w:val="00B0408A"/>
    <w:rsid w:val="00B05FCC"/>
    <w:rsid w:val="00B06052"/>
    <w:rsid w:val="00B06F8A"/>
    <w:rsid w:val="00B07855"/>
    <w:rsid w:val="00B10503"/>
    <w:rsid w:val="00B10A91"/>
    <w:rsid w:val="00B116D7"/>
    <w:rsid w:val="00B11E83"/>
    <w:rsid w:val="00B12507"/>
    <w:rsid w:val="00B14CD3"/>
    <w:rsid w:val="00B173BE"/>
    <w:rsid w:val="00B17AF8"/>
    <w:rsid w:val="00B17BC3"/>
    <w:rsid w:val="00B202EB"/>
    <w:rsid w:val="00B21175"/>
    <w:rsid w:val="00B21427"/>
    <w:rsid w:val="00B2181D"/>
    <w:rsid w:val="00B218DB"/>
    <w:rsid w:val="00B21CE6"/>
    <w:rsid w:val="00B22583"/>
    <w:rsid w:val="00B225B7"/>
    <w:rsid w:val="00B236A9"/>
    <w:rsid w:val="00B2387E"/>
    <w:rsid w:val="00B24A59"/>
    <w:rsid w:val="00B24B94"/>
    <w:rsid w:val="00B25002"/>
    <w:rsid w:val="00B252FC"/>
    <w:rsid w:val="00B257CE"/>
    <w:rsid w:val="00B26B6E"/>
    <w:rsid w:val="00B278A1"/>
    <w:rsid w:val="00B27AA6"/>
    <w:rsid w:val="00B3071B"/>
    <w:rsid w:val="00B31013"/>
    <w:rsid w:val="00B31DB5"/>
    <w:rsid w:val="00B32F6C"/>
    <w:rsid w:val="00B33341"/>
    <w:rsid w:val="00B3388B"/>
    <w:rsid w:val="00B340E4"/>
    <w:rsid w:val="00B340FD"/>
    <w:rsid w:val="00B343BC"/>
    <w:rsid w:val="00B34C53"/>
    <w:rsid w:val="00B351FB"/>
    <w:rsid w:val="00B356BB"/>
    <w:rsid w:val="00B35D9D"/>
    <w:rsid w:val="00B3692E"/>
    <w:rsid w:val="00B36CBB"/>
    <w:rsid w:val="00B37514"/>
    <w:rsid w:val="00B4195D"/>
    <w:rsid w:val="00B42F44"/>
    <w:rsid w:val="00B43238"/>
    <w:rsid w:val="00B43F49"/>
    <w:rsid w:val="00B44122"/>
    <w:rsid w:val="00B447E1"/>
    <w:rsid w:val="00B44927"/>
    <w:rsid w:val="00B44AB7"/>
    <w:rsid w:val="00B44C01"/>
    <w:rsid w:val="00B465CB"/>
    <w:rsid w:val="00B46DD8"/>
    <w:rsid w:val="00B4747A"/>
    <w:rsid w:val="00B504BE"/>
    <w:rsid w:val="00B50F32"/>
    <w:rsid w:val="00B51760"/>
    <w:rsid w:val="00B51A27"/>
    <w:rsid w:val="00B51F17"/>
    <w:rsid w:val="00B53216"/>
    <w:rsid w:val="00B5353A"/>
    <w:rsid w:val="00B53BE3"/>
    <w:rsid w:val="00B544F6"/>
    <w:rsid w:val="00B55E36"/>
    <w:rsid w:val="00B56727"/>
    <w:rsid w:val="00B57478"/>
    <w:rsid w:val="00B6006C"/>
    <w:rsid w:val="00B61135"/>
    <w:rsid w:val="00B61423"/>
    <w:rsid w:val="00B62697"/>
    <w:rsid w:val="00B632E1"/>
    <w:rsid w:val="00B63802"/>
    <w:rsid w:val="00B66420"/>
    <w:rsid w:val="00B676CB"/>
    <w:rsid w:val="00B67CAC"/>
    <w:rsid w:val="00B67F1D"/>
    <w:rsid w:val="00B7039F"/>
    <w:rsid w:val="00B70838"/>
    <w:rsid w:val="00B70D2E"/>
    <w:rsid w:val="00B71EC1"/>
    <w:rsid w:val="00B72028"/>
    <w:rsid w:val="00B72723"/>
    <w:rsid w:val="00B75627"/>
    <w:rsid w:val="00B76AAC"/>
    <w:rsid w:val="00B77331"/>
    <w:rsid w:val="00B808D2"/>
    <w:rsid w:val="00B80910"/>
    <w:rsid w:val="00B80CEE"/>
    <w:rsid w:val="00B80F9D"/>
    <w:rsid w:val="00B819C4"/>
    <w:rsid w:val="00B838FD"/>
    <w:rsid w:val="00B84413"/>
    <w:rsid w:val="00B84471"/>
    <w:rsid w:val="00B8492A"/>
    <w:rsid w:val="00B8501F"/>
    <w:rsid w:val="00B85421"/>
    <w:rsid w:val="00B85A35"/>
    <w:rsid w:val="00B85CAB"/>
    <w:rsid w:val="00B8679C"/>
    <w:rsid w:val="00B867F3"/>
    <w:rsid w:val="00B86D58"/>
    <w:rsid w:val="00B86E6B"/>
    <w:rsid w:val="00B86F4D"/>
    <w:rsid w:val="00B876CC"/>
    <w:rsid w:val="00B87855"/>
    <w:rsid w:val="00B87D8D"/>
    <w:rsid w:val="00B905A0"/>
    <w:rsid w:val="00B9199C"/>
    <w:rsid w:val="00B91E11"/>
    <w:rsid w:val="00B92811"/>
    <w:rsid w:val="00B92F75"/>
    <w:rsid w:val="00B931ED"/>
    <w:rsid w:val="00B93823"/>
    <w:rsid w:val="00B93FB1"/>
    <w:rsid w:val="00B9461B"/>
    <w:rsid w:val="00B94DB3"/>
    <w:rsid w:val="00B95131"/>
    <w:rsid w:val="00B96B7B"/>
    <w:rsid w:val="00B96E9F"/>
    <w:rsid w:val="00B9715D"/>
    <w:rsid w:val="00B978D5"/>
    <w:rsid w:val="00B97C6E"/>
    <w:rsid w:val="00B97FCC"/>
    <w:rsid w:val="00BA1BC9"/>
    <w:rsid w:val="00BA1DE1"/>
    <w:rsid w:val="00BA243B"/>
    <w:rsid w:val="00BA2958"/>
    <w:rsid w:val="00BA34C9"/>
    <w:rsid w:val="00BA3C2A"/>
    <w:rsid w:val="00BA3F5E"/>
    <w:rsid w:val="00BA408A"/>
    <w:rsid w:val="00BA45D5"/>
    <w:rsid w:val="00BA4949"/>
    <w:rsid w:val="00BA4EA6"/>
    <w:rsid w:val="00BA54BC"/>
    <w:rsid w:val="00BA5C18"/>
    <w:rsid w:val="00BA60D3"/>
    <w:rsid w:val="00BA6117"/>
    <w:rsid w:val="00BA61A2"/>
    <w:rsid w:val="00BA6212"/>
    <w:rsid w:val="00BA652A"/>
    <w:rsid w:val="00BA66E7"/>
    <w:rsid w:val="00BA6753"/>
    <w:rsid w:val="00BA6C18"/>
    <w:rsid w:val="00BA7D1B"/>
    <w:rsid w:val="00BA7E88"/>
    <w:rsid w:val="00BA7F2D"/>
    <w:rsid w:val="00BB00D5"/>
    <w:rsid w:val="00BB0277"/>
    <w:rsid w:val="00BB0722"/>
    <w:rsid w:val="00BB0AB7"/>
    <w:rsid w:val="00BB25E4"/>
    <w:rsid w:val="00BB29A5"/>
    <w:rsid w:val="00BB2ED3"/>
    <w:rsid w:val="00BB3AC2"/>
    <w:rsid w:val="00BB4437"/>
    <w:rsid w:val="00BB46C3"/>
    <w:rsid w:val="00BB4C2E"/>
    <w:rsid w:val="00BB5036"/>
    <w:rsid w:val="00BB5809"/>
    <w:rsid w:val="00BB593C"/>
    <w:rsid w:val="00BB5C36"/>
    <w:rsid w:val="00BB6E29"/>
    <w:rsid w:val="00BB7055"/>
    <w:rsid w:val="00BB70BA"/>
    <w:rsid w:val="00BC016B"/>
    <w:rsid w:val="00BC097E"/>
    <w:rsid w:val="00BC0B23"/>
    <w:rsid w:val="00BC0DC3"/>
    <w:rsid w:val="00BC1A68"/>
    <w:rsid w:val="00BC2049"/>
    <w:rsid w:val="00BC213E"/>
    <w:rsid w:val="00BC3243"/>
    <w:rsid w:val="00BC3F2A"/>
    <w:rsid w:val="00BC42D6"/>
    <w:rsid w:val="00BC466E"/>
    <w:rsid w:val="00BC55A1"/>
    <w:rsid w:val="00BC597E"/>
    <w:rsid w:val="00BC667A"/>
    <w:rsid w:val="00BC6CA5"/>
    <w:rsid w:val="00BC6E33"/>
    <w:rsid w:val="00BC724E"/>
    <w:rsid w:val="00BD26CC"/>
    <w:rsid w:val="00BD2FA5"/>
    <w:rsid w:val="00BD305A"/>
    <w:rsid w:val="00BD3863"/>
    <w:rsid w:val="00BD44E1"/>
    <w:rsid w:val="00BD4842"/>
    <w:rsid w:val="00BD4C55"/>
    <w:rsid w:val="00BD4EB6"/>
    <w:rsid w:val="00BD55FD"/>
    <w:rsid w:val="00BD5706"/>
    <w:rsid w:val="00BD5EFB"/>
    <w:rsid w:val="00BD6EFD"/>
    <w:rsid w:val="00BD750A"/>
    <w:rsid w:val="00BD7CFC"/>
    <w:rsid w:val="00BD7FC4"/>
    <w:rsid w:val="00BE09C9"/>
    <w:rsid w:val="00BE1F66"/>
    <w:rsid w:val="00BE31E8"/>
    <w:rsid w:val="00BE5676"/>
    <w:rsid w:val="00BE5B2D"/>
    <w:rsid w:val="00BE7460"/>
    <w:rsid w:val="00BF01C3"/>
    <w:rsid w:val="00BF0919"/>
    <w:rsid w:val="00BF1827"/>
    <w:rsid w:val="00BF2114"/>
    <w:rsid w:val="00BF267B"/>
    <w:rsid w:val="00BF2D00"/>
    <w:rsid w:val="00BF306A"/>
    <w:rsid w:val="00BF31C8"/>
    <w:rsid w:val="00BF35E0"/>
    <w:rsid w:val="00BF413C"/>
    <w:rsid w:val="00BF531A"/>
    <w:rsid w:val="00BF6621"/>
    <w:rsid w:val="00BF6828"/>
    <w:rsid w:val="00BF6DFF"/>
    <w:rsid w:val="00BF73E0"/>
    <w:rsid w:val="00BF7C6C"/>
    <w:rsid w:val="00C001AE"/>
    <w:rsid w:val="00C00A42"/>
    <w:rsid w:val="00C00D4D"/>
    <w:rsid w:val="00C01EF1"/>
    <w:rsid w:val="00C02052"/>
    <w:rsid w:val="00C022C7"/>
    <w:rsid w:val="00C028E5"/>
    <w:rsid w:val="00C02F38"/>
    <w:rsid w:val="00C04202"/>
    <w:rsid w:val="00C046B7"/>
    <w:rsid w:val="00C04A7D"/>
    <w:rsid w:val="00C04B96"/>
    <w:rsid w:val="00C05A93"/>
    <w:rsid w:val="00C05CCD"/>
    <w:rsid w:val="00C05D25"/>
    <w:rsid w:val="00C06323"/>
    <w:rsid w:val="00C06DBD"/>
    <w:rsid w:val="00C0725A"/>
    <w:rsid w:val="00C11111"/>
    <w:rsid w:val="00C11371"/>
    <w:rsid w:val="00C11AE0"/>
    <w:rsid w:val="00C128EC"/>
    <w:rsid w:val="00C12AAB"/>
    <w:rsid w:val="00C12B21"/>
    <w:rsid w:val="00C12C0D"/>
    <w:rsid w:val="00C12F47"/>
    <w:rsid w:val="00C1391E"/>
    <w:rsid w:val="00C13A8F"/>
    <w:rsid w:val="00C14A71"/>
    <w:rsid w:val="00C163BD"/>
    <w:rsid w:val="00C165A5"/>
    <w:rsid w:val="00C2129F"/>
    <w:rsid w:val="00C21328"/>
    <w:rsid w:val="00C21D20"/>
    <w:rsid w:val="00C22447"/>
    <w:rsid w:val="00C22482"/>
    <w:rsid w:val="00C22971"/>
    <w:rsid w:val="00C22DBF"/>
    <w:rsid w:val="00C23EF6"/>
    <w:rsid w:val="00C23F75"/>
    <w:rsid w:val="00C2419E"/>
    <w:rsid w:val="00C24D6A"/>
    <w:rsid w:val="00C252E1"/>
    <w:rsid w:val="00C2556A"/>
    <w:rsid w:val="00C2577A"/>
    <w:rsid w:val="00C26ED4"/>
    <w:rsid w:val="00C27629"/>
    <w:rsid w:val="00C27FC7"/>
    <w:rsid w:val="00C30231"/>
    <w:rsid w:val="00C30424"/>
    <w:rsid w:val="00C30D79"/>
    <w:rsid w:val="00C32BEF"/>
    <w:rsid w:val="00C33462"/>
    <w:rsid w:val="00C33942"/>
    <w:rsid w:val="00C33FD2"/>
    <w:rsid w:val="00C34513"/>
    <w:rsid w:val="00C34F28"/>
    <w:rsid w:val="00C35B4A"/>
    <w:rsid w:val="00C35C15"/>
    <w:rsid w:val="00C37401"/>
    <w:rsid w:val="00C377D9"/>
    <w:rsid w:val="00C405B7"/>
    <w:rsid w:val="00C41140"/>
    <w:rsid w:val="00C42088"/>
    <w:rsid w:val="00C421BC"/>
    <w:rsid w:val="00C42405"/>
    <w:rsid w:val="00C43DF6"/>
    <w:rsid w:val="00C44C54"/>
    <w:rsid w:val="00C472FA"/>
    <w:rsid w:val="00C504D8"/>
    <w:rsid w:val="00C509B0"/>
    <w:rsid w:val="00C50B3E"/>
    <w:rsid w:val="00C51874"/>
    <w:rsid w:val="00C51C97"/>
    <w:rsid w:val="00C52D4E"/>
    <w:rsid w:val="00C53E46"/>
    <w:rsid w:val="00C553D1"/>
    <w:rsid w:val="00C554F5"/>
    <w:rsid w:val="00C57638"/>
    <w:rsid w:val="00C57DA3"/>
    <w:rsid w:val="00C57FAE"/>
    <w:rsid w:val="00C6063F"/>
    <w:rsid w:val="00C60D33"/>
    <w:rsid w:val="00C60DD4"/>
    <w:rsid w:val="00C6171B"/>
    <w:rsid w:val="00C62F40"/>
    <w:rsid w:val="00C634C7"/>
    <w:rsid w:val="00C64A93"/>
    <w:rsid w:val="00C65B99"/>
    <w:rsid w:val="00C6773B"/>
    <w:rsid w:val="00C67A86"/>
    <w:rsid w:val="00C67B0C"/>
    <w:rsid w:val="00C70E3E"/>
    <w:rsid w:val="00C71247"/>
    <w:rsid w:val="00C72032"/>
    <w:rsid w:val="00C724AC"/>
    <w:rsid w:val="00C72A0B"/>
    <w:rsid w:val="00C73215"/>
    <w:rsid w:val="00C7352D"/>
    <w:rsid w:val="00C73D1A"/>
    <w:rsid w:val="00C75DE6"/>
    <w:rsid w:val="00C76286"/>
    <w:rsid w:val="00C77157"/>
    <w:rsid w:val="00C77F8C"/>
    <w:rsid w:val="00C8092C"/>
    <w:rsid w:val="00C81222"/>
    <w:rsid w:val="00C8322D"/>
    <w:rsid w:val="00C839AB"/>
    <w:rsid w:val="00C844A3"/>
    <w:rsid w:val="00C84849"/>
    <w:rsid w:val="00C849D6"/>
    <w:rsid w:val="00C84F5D"/>
    <w:rsid w:val="00C85121"/>
    <w:rsid w:val="00C8535B"/>
    <w:rsid w:val="00C85849"/>
    <w:rsid w:val="00C8727A"/>
    <w:rsid w:val="00C87926"/>
    <w:rsid w:val="00C87BB5"/>
    <w:rsid w:val="00C90233"/>
    <w:rsid w:val="00C902ED"/>
    <w:rsid w:val="00C90BDB"/>
    <w:rsid w:val="00C92178"/>
    <w:rsid w:val="00C929B5"/>
    <w:rsid w:val="00C932BA"/>
    <w:rsid w:val="00C9437D"/>
    <w:rsid w:val="00C94491"/>
    <w:rsid w:val="00C95A38"/>
    <w:rsid w:val="00C9649E"/>
    <w:rsid w:val="00C97351"/>
    <w:rsid w:val="00C97DB9"/>
    <w:rsid w:val="00CA103F"/>
    <w:rsid w:val="00CA2733"/>
    <w:rsid w:val="00CA2AE2"/>
    <w:rsid w:val="00CA3029"/>
    <w:rsid w:val="00CA3292"/>
    <w:rsid w:val="00CA3C7E"/>
    <w:rsid w:val="00CA3CC4"/>
    <w:rsid w:val="00CA40A4"/>
    <w:rsid w:val="00CA56A7"/>
    <w:rsid w:val="00CA58EA"/>
    <w:rsid w:val="00CA6371"/>
    <w:rsid w:val="00CA7566"/>
    <w:rsid w:val="00CA7992"/>
    <w:rsid w:val="00CA7C1B"/>
    <w:rsid w:val="00CA7FF9"/>
    <w:rsid w:val="00CB0E5A"/>
    <w:rsid w:val="00CB115A"/>
    <w:rsid w:val="00CB1C98"/>
    <w:rsid w:val="00CB22EA"/>
    <w:rsid w:val="00CB2DF2"/>
    <w:rsid w:val="00CB3717"/>
    <w:rsid w:val="00CB41BC"/>
    <w:rsid w:val="00CB4253"/>
    <w:rsid w:val="00CB43C8"/>
    <w:rsid w:val="00CB55A4"/>
    <w:rsid w:val="00CB596C"/>
    <w:rsid w:val="00CB5AD5"/>
    <w:rsid w:val="00CB6072"/>
    <w:rsid w:val="00CB6735"/>
    <w:rsid w:val="00CB6E2F"/>
    <w:rsid w:val="00CB77DA"/>
    <w:rsid w:val="00CB7900"/>
    <w:rsid w:val="00CC0491"/>
    <w:rsid w:val="00CC0EF3"/>
    <w:rsid w:val="00CC0FE0"/>
    <w:rsid w:val="00CC10CC"/>
    <w:rsid w:val="00CC1927"/>
    <w:rsid w:val="00CC1F80"/>
    <w:rsid w:val="00CC2F91"/>
    <w:rsid w:val="00CC35F1"/>
    <w:rsid w:val="00CC369C"/>
    <w:rsid w:val="00CC3856"/>
    <w:rsid w:val="00CC3B18"/>
    <w:rsid w:val="00CC3B54"/>
    <w:rsid w:val="00CC46E5"/>
    <w:rsid w:val="00CC5016"/>
    <w:rsid w:val="00CC5F66"/>
    <w:rsid w:val="00CC6075"/>
    <w:rsid w:val="00CC60CB"/>
    <w:rsid w:val="00CC7808"/>
    <w:rsid w:val="00CC7D25"/>
    <w:rsid w:val="00CD0ADF"/>
    <w:rsid w:val="00CD0CAF"/>
    <w:rsid w:val="00CD15A0"/>
    <w:rsid w:val="00CD176D"/>
    <w:rsid w:val="00CD255F"/>
    <w:rsid w:val="00CD308C"/>
    <w:rsid w:val="00CD37CF"/>
    <w:rsid w:val="00CD398F"/>
    <w:rsid w:val="00CD4560"/>
    <w:rsid w:val="00CD4709"/>
    <w:rsid w:val="00CD4CD8"/>
    <w:rsid w:val="00CD615F"/>
    <w:rsid w:val="00CD6224"/>
    <w:rsid w:val="00CD68B0"/>
    <w:rsid w:val="00CD7228"/>
    <w:rsid w:val="00CD73B4"/>
    <w:rsid w:val="00CD7649"/>
    <w:rsid w:val="00CE0B8F"/>
    <w:rsid w:val="00CE13BD"/>
    <w:rsid w:val="00CE25D9"/>
    <w:rsid w:val="00CE279C"/>
    <w:rsid w:val="00CE334F"/>
    <w:rsid w:val="00CE44BB"/>
    <w:rsid w:val="00CE4538"/>
    <w:rsid w:val="00CE475E"/>
    <w:rsid w:val="00CE5399"/>
    <w:rsid w:val="00CE5B5D"/>
    <w:rsid w:val="00CE655A"/>
    <w:rsid w:val="00CE65EF"/>
    <w:rsid w:val="00CE6A17"/>
    <w:rsid w:val="00CE76C9"/>
    <w:rsid w:val="00CE7B93"/>
    <w:rsid w:val="00CF15DF"/>
    <w:rsid w:val="00CF1BEC"/>
    <w:rsid w:val="00CF1E79"/>
    <w:rsid w:val="00CF2779"/>
    <w:rsid w:val="00CF2F64"/>
    <w:rsid w:val="00CF4312"/>
    <w:rsid w:val="00CF486C"/>
    <w:rsid w:val="00CF62F9"/>
    <w:rsid w:val="00CF6914"/>
    <w:rsid w:val="00CF6CC0"/>
    <w:rsid w:val="00CF6E19"/>
    <w:rsid w:val="00CF7716"/>
    <w:rsid w:val="00CF7DF6"/>
    <w:rsid w:val="00D008C4"/>
    <w:rsid w:val="00D010D7"/>
    <w:rsid w:val="00D0186D"/>
    <w:rsid w:val="00D01DA5"/>
    <w:rsid w:val="00D02595"/>
    <w:rsid w:val="00D025A8"/>
    <w:rsid w:val="00D026B2"/>
    <w:rsid w:val="00D02D60"/>
    <w:rsid w:val="00D02D82"/>
    <w:rsid w:val="00D034F6"/>
    <w:rsid w:val="00D03D3E"/>
    <w:rsid w:val="00D03EA3"/>
    <w:rsid w:val="00D04F49"/>
    <w:rsid w:val="00D0523D"/>
    <w:rsid w:val="00D0555C"/>
    <w:rsid w:val="00D060E6"/>
    <w:rsid w:val="00D06219"/>
    <w:rsid w:val="00D06479"/>
    <w:rsid w:val="00D067F1"/>
    <w:rsid w:val="00D06FF6"/>
    <w:rsid w:val="00D0709C"/>
    <w:rsid w:val="00D07555"/>
    <w:rsid w:val="00D102E0"/>
    <w:rsid w:val="00D10541"/>
    <w:rsid w:val="00D10CBD"/>
    <w:rsid w:val="00D11E5B"/>
    <w:rsid w:val="00D1225B"/>
    <w:rsid w:val="00D12463"/>
    <w:rsid w:val="00D126A4"/>
    <w:rsid w:val="00D1348C"/>
    <w:rsid w:val="00D13B9B"/>
    <w:rsid w:val="00D144F6"/>
    <w:rsid w:val="00D14710"/>
    <w:rsid w:val="00D156B3"/>
    <w:rsid w:val="00D15FE6"/>
    <w:rsid w:val="00D16365"/>
    <w:rsid w:val="00D163B0"/>
    <w:rsid w:val="00D16A8A"/>
    <w:rsid w:val="00D16C05"/>
    <w:rsid w:val="00D1731E"/>
    <w:rsid w:val="00D175FE"/>
    <w:rsid w:val="00D218AF"/>
    <w:rsid w:val="00D21E65"/>
    <w:rsid w:val="00D22376"/>
    <w:rsid w:val="00D226D4"/>
    <w:rsid w:val="00D2294A"/>
    <w:rsid w:val="00D23D7E"/>
    <w:rsid w:val="00D23E1C"/>
    <w:rsid w:val="00D251AE"/>
    <w:rsid w:val="00D26BC6"/>
    <w:rsid w:val="00D2703B"/>
    <w:rsid w:val="00D27E7B"/>
    <w:rsid w:val="00D30328"/>
    <w:rsid w:val="00D306E1"/>
    <w:rsid w:val="00D309C3"/>
    <w:rsid w:val="00D31F31"/>
    <w:rsid w:val="00D320C7"/>
    <w:rsid w:val="00D3275B"/>
    <w:rsid w:val="00D32CFC"/>
    <w:rsid w:val="00D32EC8"/>
    <w:rsid w:val="00D33397"/>
    <w:rsid w:val="00D3378F"/>
    <w:rsid w:val="00D344FE"/>
    <w:rsid w:val="00D3560B"/>
    <w:rsid w:val="00D3618A"/>
    <w:rsid w:val="00D3621A"/>
    <w:rsid w:val="00D363D2"/>
    <w:rsid w:val="00D365A5"/>
    <w:rsid w:val="00D37443"/>
    <w:rsid w:val="00D379FB"/>
    <w:rsid w:val="00D40AAA"/>
    <w:rsid w:val="00D40E9D"/>
    <w:rsid w:val="00D4154E"/>
    <w:rsid w:val="00D4198A"/>
    <w:rsid w:val="00D41AEF"/>
    <w:rsid w:val="00D42261"/>
    <w:rsid w:val="00D44277"/>
    <w:rsid w:val="00D44F12"/>
    <w:rsid w:val="00D44FE4"/>
    <w:rsid w:val="00D4521D"/>
    <w:rsid w:val="00D45303"/>
    <w:rsid w:val="00D45BFF"/>
    <w:rsid w:val="00D45C02"/>
    <w:rsid w:val="00D46842"/>
    <w:rsid w:val="00D46CDD"/>
    <w:rsid w:val="00D47A53"/>
    <w:rsid w:val="00D51118"/>
    <w:rsid w:val="00D51B38"/>
    <w:rsid w:val="00D52A37"/>
    <w:rsid w:val="00D52DB8"/>
    <w:rsid w:val="00D52E6D"/>
    <w:rsid w:val="00D53A67"/>
    <w:rsid w:val="00D53AAA"/>
    <w:rsid w:val="00D55010"/>
    <w:rsid w:val="00D56570"/>
    <w:rsid w:val="00D565BA"/>
    <w:rsid w:val="00D56744"/>
    <w:rsid w:val="00D572CB"/>
    <w:rsid w:val="00D575ED"/>
    <w:rsid w:val="00D57765"/>
    <w:rsid w:val="00D607E5"/>
    <w:rsid w:val="00D60884"/>
    <w:rsid w:val="00D61003"/>
    <w:rsid w:val="00D63026"/>
    <w:rsid w:val="00D6318C"/>
    <w:rsid w:val="00D639CA"/>
    <w:rsid w:val="00D63C1A"/>
    <w:rsid w:val="00D63F3D"/>
    <w:rsid w:val="00D64702"/>
    <w:rsid w:val="00D65C6C"/>
    <w:rsid w:val="00D66410"/>
    <w:rsid w:val="00D666F6"/>
    <w:rsid w:val="00D6778E"/>
    <w:rsid w:val="00D67C81"/>
    <w:rsid w:val="00D67F9D"/>
    <w:rsid w:val="00D67FE6"/>
    <w:rsid w:val="00D703ED"/>
    <w:rsid w:val="00D704C3"/>
    <w:rsid w:val="00D71235"/>
    <w:rsid w:val="00D716D2"/>
    <w:rsid w:val="00D7195A"/>
    <w:rsid w:val="00D71B08"/>
    <w:rsid w:val="00D741B2"/>
    <w:rsid w:val="00D75015"/>
    <w:rsid w:val="00D750AC"/>
    <w:rsid w:val="00D752A7"/>
    <w:rsid w:val="00D756B6"/>
    <w:rsid w:val="00D75D6C"/>
    <w:rsid w:val="00D760CE"/>
    <w:rsid w:val="00D77402"/>
    <w:rsid w:val="00D802A1"/>
    <w:rsid w:val="00D81EF6"/>
    <w:rsid w:val="00D82E43"/>
    <w:rsid w:val="00D839C8"/>
    <w:rsid w:val="00D8423C"/>
    <w:rsid w:val="00D84429"/>
    <w:rsid w:val="00D84830"/>
    <w:rsid w:val="00D84F63"/>
    <w:rsid w:val="00D861C6"/>
    <w:rsid w:val="00D86A6F"/>
    <w:rsid w:val="00D86F22"/>
    <w:rsid w:val="00D877A4"/>
    <w:rsid w:val="00D900CD"/>
    <w:rsid w:val="00D9013B"/>
    <w:rsid w:val="00D909B0"/>
    <w:rsid w:val="00D91CE8"/>
    <w:rsid w:val="00D91D85"/>
    <w:rsid w:val="00D92275"/>
    <w:rsid w:val="00D93637"/>
    <w:rsid w:val="00D94581"/>
    <w:rsid w:val="00D94F8B"/>
    <w:rsid w:val="00D95425"/>
    <w:rsid w:val="00D9609C"/>
    <w:rsid w:val="00D96BFA"/>
    <w:rsid w:val="00D96CC3"/>
    <w:rsid w:val="00D96F34"/>
    <w:rsid w:val="00D97D55"/>
    <w:rsid w:val="00D97E6E"/>
    <w:rsid w:val="00D97F5D"/>
    <w:rsid w:val="00DA06EC"/>
    <w:rsid w:val="00DA092B"/>
    <w:rsid w:val="00DA1FE3"/>
    <w:rsid w:val="00DA25A1"/>
    <w:rsid w:val="00DA27AF"/>
    <w:rsid w:val="00DA2B6C"/>
    <w:rsid w:val="00DA30D1"/>
    <w:rsid w:val="00DA3D75"/>
    <w:rsid w:val="00DA4F3B"/>
    <w:rsid w:val="00DA5785"/>
    <w:rsid w:val="00DA5B27"/>
    <w:rsid w:val="00DA668F"/>
    <w:rsid w:val="00DA7647"/>
    <w:rsid w:val="00DB0775"/>
    <w:rsid w:val="00DB10F2"/>
    <w:rsid w:val="00DB168B"/>
    <w:rsid w:val="00DB231D"/>
    <w:rsid w:val="00DB25FE"/>
    <w:rsid w:val="00DB2833"/>
    <w:rsid w:val="00DB3BE3"/>
    <w:rsid w:val="00DB3D72"/>
    <w:rsid w:val="00DB4599"/>
    <w:rsid w:val="00DB4F8A"/>
    <w:rsid w:val="00DB5321"/>
    <w:rsid w:val="00DB5BB3"/>
    <w:rsid w:val="00DB6530"/>
    <w:rsid w:val="00DB682E"/>
    <w:rsid w:val="00DB6FE1"/>
    <w:rsid w:val="00DB73B1"/>
    <w:rsid w:val="00DC0A61"/>
    <w:rsid w:val="00DC0B21"/>
    <w:rsid w:val="00DC196C"/>
    <w:rsid w:val="00DC1970"/>
    <w:rsid w:val="00DC1C73"/>
    <w:rsid w:val="00DC1DB7"/>
    <w:rsid w:val="00DC1DDA"/>
    <w:rsid w:val="00DC2473"/>
    <w:rsid w:val="00DC41E0"/>
    <w:rsid w:val="00DC4FC4"/>
    <w:rsid w:val="00DC511A"/>
    <w:rsid w:val="00DC5A88"/>
    <w:rsid w:val="00DC6F8B"/>
    <w:rsid w:val="00DC7FF4"/>
    <w:rsid w:val="00DD2978"/>
    <w:rsid w:val="00DD3186"/>
    <w:rsid w:val="00DD3C09"/>
    <w:rsid w:val="00DD3FF2"/>
    <w:rsid w:val="00DD671B"/>
    <w:rsid w:val="00DD75C7"/>
    <w:rsid w:val="00DD77CC"/>
    <w:rsid w:val="00DD7A17"/>
    <w:rsid w:val="00DD7C61"/>
    <w:rsid w:val="00DE037C"/>
    <w:rsid w:val="00DE0420"/>
    <w:rsid w:val="00DE0646"/>
    <w:rsid w:val="00DE087A"/>
    <w:rsid w:val="00DE12B9"/>
    <w:rsid w:val="00DE28ED"/>
    <w:rsid w:val="00DE2A28"/>
    <w:rsid w:val="00DE3BD9"/>
    <w:rsid w:val="00DE43F6"/>
    <w:rsid w:val="00DE491C"/>
    <w:rsid w:val="00DE502C"/>
    <w:rsid w:val="00DE504E"/>
    <w:rsid w:val="00DE5DB0"/>
    <w:rsid w:val="00DE72D3"/>
    <w:rsid w:val="00DE73F4"/>
    <w:rsid w:val="00DE7437"/>
    <w:rsid w:val="00DE7D69"/>
    <w:rsid w:val="00DF0334"/>
    <w:rsid w:val="00DF0763"/>
    <w:rsid w:val="00DF1A16"/>
    <w:rsid w:val="00DF2150"/>
    <w:rsid w:val="00DF2279"/>
    <w:rsid w:val="00DF28E6"/>
    <w:rsid w:val="00DF4313"/>
    <w:rsid w:val="00DF44F0"/>
    <w:rsid w:val="00DF628D"/>
    <w:rsid w:val="00DF67D3"/>
    <w:rsid w:val="00DF6A23"/>
    <w:rsid w:val="00DF6A47"/>
    <w:rsid w:val="00E005FB"/>
    <w:rsid w:val="00E00E49"/>
    <w:rsid w:val="00E011BE"/>
    <w:rsid w:val="00E01CE9"/>
    <w:rsid w:val="00E02BB6"/>
    <w:rsid w:val="00E03832"/>
    <w:rsid w:val="00E04316"/>
    <w:rsid w:val="00E0464F"/>
    <w:rsid w:val="00E04CEF"/>
    <w:rsid w:val="00E04F63"/>
    <w:rsid w:val="00E05663"/>
    <w:rsid w:val="00E05BE5"/>
    <w:rsid w:val="00E05C2B"/>
    <w:rsid w:val="00E06717"/>
    <w:rsid w:val="00E06C40"/>
    <w:rsid w:val="00E07CBF"/>
    <w:rsid w:val="00E07DD0"/>
    <w:rsid w:val="00E10627"/>
    <w:rsid w:val="00E10D71"/>
    <w:rsid w:val="00E11BA0"/>
    <w:rsid w:val="00E12A45"/>
    <w:rsid w:val="00E1356A"/>
    <w:rsid w:val="00E13713"/>
    <w:rsid w:val="00E13A54"/>
    <w:rsid w:val="00E13C6A"/>
    <w:rsid w:val="00E15C1C"/>
    <w:rsid w:val="00E164CC"/>
    <w:rsid w:val="00E16635"/>
    <w:rsid w:val="00E17383"/>
    <w:rsid w:val="00E178BB"/>
    <w:rsid w:val="00E17AAD"/>
    <w:rsid w:val="00E21E1D"/>
    <w:rsid w:val="00E239A0"/>
    <w:rsid w:val="00E23DF6"/>
    <w:rsid w:val="00E26146"/>
    <w:rsid w:val="00E263EF"/>
    <w:rsid w:val="00E265E7"/>
    <w:rsid w:val="00E27661"/>
    <w:rsid w:val="00E302EF"/>
    <w:rsid w:val="00E322AD"/>
    <w:rsid w:val="00E32578"/>
    <w:rsid w:val="00E32917"/>
    <w:rsid w:val="00E33258"/>
    <w:rsid w:val="00E363DB"/>
    <w:rsid w:val="00E3641A"/>
    <w:rsid w:val="00E365E1"/>
    <w:rsid w:val="00E368BB"/>
    <w:rsid w:val="00E36B11"/>
    <w:rsid w:val="00E37142"/>
    <w:rsid w:val="00E37259"/>
    <w:rsid w:val="00E40514"/>
    <w:rsid w:val="00E407ED"/>
    <w:rsid w:val="00E408E3"/>
    <w:rsid w:val="00E40908"/>
    <w:rsid w:val="00E40C90"/>
    <w:rsid w:val="00E41147"/>
    <w:rsid w:val="00E414ED"/>
    <w:rsid w:val="00E41564"/>
    <w:rsid w:val="00E420BF"/>
    <w:rsid w:val="00E44F1A"/>
    <w:rsid w:val="00E4654F"/>
    <w:rsid w:val="00E46D7D"/>
    <w:rsid w:val="00E4759E"/>
    <w:rsid w:val="00E47865"/>
    <w:rsid w:val="00E50F5B"/>
    <w:rsid w:val="00E511A8"/>
    <w:rsid w:val="00E5141B"/>
    <w:rsid w:val="00E518B2"/>
    <w:rsid w:val="00E524CA"/>
    <w:rsid w:val="00E529E8"/>
    <w:rsid w:val="00E52C52"/>
    <w:rsid w:val="00E53262"/>
    <w:rsid w:val="00E5637B"/>
    <w:rsid w:val="00E57B09"/>
    <w:rsid w:val="00E60122"/>
    <w:rsid w:val="00E60C69"/>
    <w:rsid w:val="00E6159E"/>
    <w:rsid w:val="00E61E1C"/>
    <w:rsid w:val="00E6234C"/>
    <w:rsid w:val="00E62630"/>
    <w:rsid w:val="00E63036"/>
    <w:rsid w:val="00E631D1"/>
    <w:rsid w:val="00E639B0"/>
    <w:rsid w:val="00E63A9D"/>
    <w:rsid w:val="00E64826"/>
    <w:rsid w:val="00E649F0"/>
    <w:rsid w:val="00E662E0"/>
    <w:rsid w:val="00E67706"/>
    <w:rsid w:val="00E70125"/>
    <w:rsid w:val="00E71283"/>
    <w:rsid w:val="00E71BE7"/>
    <w:rsid w:val="00E7217B"/>
    <w:rsid w:val="00E7239D"/>
    <w:rsid w:val="00E729F4"/>
    <w:rsid w:val="00E7316B"/>
    <w:rsid w:val="00E731C4"/>
    <w:rsid w:val="00E756D6"/>
    <w:rsid w:val="00E767B5"/>
    <w:rsid w:val="00E77CC5"/>
    <w:rsid w:val="00E77F55"/>
    <w:rsid w:val="00E800D1"/>
    <w:rsid w:val="00E83D04"/>
    <w:rsid w:val="00E84767"/>
    <w:rsid w:val="00E84B54"/>
    <w:rsid w:val="00E852C7"/>
    <w:rsid w:val="00E85B1E"/>
    <w:rsid w:val="00E865CD"/>
    <w:rsid w:val="00E866BC"/>
    <w:rsid w:val="00E86AD3"/>
    <w:rsid w:val="00E86F19"/>
    <w:rsid w:val="00E871EA"/>
    <w:rsid w:val="00E87434"/>
    <w:rsid w:val="00E87657"/>
    <w:rsid w:val="00E90762"/>
    <w:rsid w:val="00E90867"/>
    <w:rsid w:val="00E90D02"/>
    <w:rsid w:val="00E90D71"/>
    <w:rsid w:val="00E90DAB"/>
    <w:rsid w:val="00E91A29"/>
    <w:rsid w:val="00E91CBE"/>
    <w:rsid w:val="00E920FC"/>
    <w:rsid w:val="00E92483"/>
    <w:rsid w:val="00E92489"/>
    <w:rsid w:val="00E926E6"/>
    <w:rsid w:val="00E92FBA"/>
    <w:rsid w:val="00E93053"/>
    <w:rsid w:val="00E935C3"/>
    <w:rsid w:val="00E93959"/>
    <w:rsid w:val="00E96AB3"/>
    <w:rsid w:val="00E96DB2"/>
    <w:rsid w:val="00E97CA6"/>
    <w:rsid w:val="00E97D88"/>
    <w:rsid w:val="00EA007C"/>
    <w:rsid w:val="00EA17AE"/>
    <w:rsid w:val="00EA17C8"/>
    <w:rsid w:val="00EA23B9"/>
    <w:rsid w:val="00EA35E6"/>
    <w:rsid w:val="00EA3A3B"/>
    <w:rsid w:val="00EA435A"/>
    <w:rsid w:val="00EA44C5"/>
    <w:rsid w:val="00EA5DE5"/>
    <w:rsid w:val="00EA5EAE"/>
    <w:rsid w:val="00EA66D1"/>
    <w:rsid w:val="00EA69F1"/>
    <w:rsid w:val="00EA6F60"/>
    <w:rsid w:val="00EA7556"/>
    <w:rsid w:val="00EB07CB"/>
    <w:rsid w:val="00EB08F4"/>
    <w:rsid w:val="00EB2468"/>
    <w:rsid w:val="00EB3C1B"/>
    <w:rsid w:val="00EB3C26"/>
    <w:rsid w:val="00EB4F2D"/>
    <w:rsid w:val="00EB5488"/>
    <w:rsid w:val="00EB5BE6"/>
    <w:rsid w:val="00EB5E78"/>
    <w:rsid w:val="00EB5F12"/>
    <w:rsid w:val="00EB6BE4"/>
    <w:rsid w:val="00EB6C55"/>
    <w:rsid w:val="00EB6DD8"/>
    <w:rsid w:val="00EB70A3"/>
    <w:rsid w:val="00EC034E"/>
    <w:rsid w:val="00EC0C4B"/>
    <w:rsid w:val="00EC11CB"/>
    <w:rsid w:val="00EC2514"/>
    <w:rsid w:val="00EC297C"/>
    <w:rsid w:val="00EC33D5"/>
    <w:rsid w:val="00EC357D"/>
    <w:rsid w:val="00EC3C10"/>
    <w:rsid w:val="00EC4479"/>
    <w:rsid w:val="00EC4751"/>
    <w:rsid w:val="00EC4830"/>
    <w:rsid w:val="00EC66DE"/>
    <w:rsid w:val="00EC7424"/>
    <w:rsid w:val="00EC7F04"/>
    <w:rsid w:val="00ED0930"/>
    <w:rsid w:val="00ED0AAC"/>
    <w:rsid w:val="00ED0B21"/>
    <w:rsid w:val="00ED122D"/>
    <w:rsid w:val="00ED2495"/>
    <w:rsid w:val="00ED2856"/>
    <w:rsid w:val="00ED31AF"/>
    <w:rsid w:val="00ED325B"/>
    <w:rsid w:val="00ED3997"/>
    <w:rsid w:val="00ED5F75"/>
    <w:rsid w:val="00ED65C4"/>
    <w:rsid w:val="00ED6AB0"/>
    <w:rsid w:val="00ED778A"/>
    <w:rsid w:val="00EE02F4"/>
    <w:rsid w:val="00EE1A2E"/>
    <w:rsid w:val="00EE1CBE"/>
    <w:rsid w:val="00EE2890"/>
    <w:rsid w:val="00EE2C82"/>
    <w:rsid w:val="00EE3368"/>
    <w:rsid w:val="00EE3D10"/>
    <w:rsid w:val="00EE45E7"/>
    <w:rsid w:val="00EE469A"/>
    <w:rsid w:val="00EE4EC3"/>
    <w:rsid w:val="00EE4EEF"/>
    <w:rsid w:val="00EE5293"/>
    <w:rsid w:val="00EE5AB3"/>
    <w:rsid w:val="00EE7D7C"/>
    <w:rsid w:val="00EF004A"/>
    <w:rsid w:val="00EF01C4"/>
    <w:rsid w:val="00EF051C"/>
    <w:rsid w:val="00EF085F"/>
    <w:rsid w:val="00EF0926"/>
    <w:rsid w:val="00EF0976"/>
    <w:rsid w:val="00EF0AA8"/>
    <w:rsid w:val="00EF176A"/>
    <w:rsid w:val="00EF2208"/>
    <w:rsid w:val="00EF2692"/>
    <w:rsid w:val="00EF4375"/>
    <w:rsid w:val="00EF4F1D"/>
    <w:rsid w:val="00EF5780"/>
    <w:rsid w:val="00EF5E37"/>
    <w:rsid w:val="00EF63B5"/>
    <w:rsid w:val="00EF690D"/>
    <w:rsid w:val="00EF6955"/>
    <w:rsid w:val="00EF6CDB"/>
    <w:rsid w:val="00EF77F9"/>
    <w:rsid w:val="00EF7879"/>
    <w:rsid w:val="00F007CE"/>
    <w:rsid w:val="00F00D56"/>
    <w:rsid w:val="00F00D73"/>
    <w:rsid w:val="00F00EC6"/>
    <w:rsid w:val="00F012D1"/>
    <w:rsid w:val="00F0254F"/>
    <w:rsid w:val="00F03242"/>
    <w:rsid w:val="00F0345B"/>
    <w:rsid w:val="00F037F0"/>
    <w:rsid w:val="00F04936"/>
    <w:rsid w:val="00F04C14"/>
    <w:rsid w:val="00F055DB"/>
    <w:rsid w:val="00F0569D"/>
    <w:rsid w:val="00F067AD"/>
    <w:rsid w:val="00F0704A"/>
    <w:rsid w:val="00F10E7A"/>
    <w:rsid w:val="00F11D23"/>
    <w:rsid w:val="00F11E49"/>
    <w:rsid w:val="00F11F4A"/>
    <w:rsid w:val="00F13DE6"/>
    <w:rsid w:val="00F13E8A"/>
    <w:rsid w:val="00F144CE"/>
    <w:rsid w:val="00F148F4"/>
    <w:rsid w:val="00F15004"/>
    <w:rsid w:val="00F1624F"/>
    <w:rsid w:val="00F1795A"/>
    <w:rsid w:val="00F20CBE"/>
    <w:rsid w:val="00F21509"/>
    <w:rsid w:val="00F22B91"/>
    <w:rsid w:val="00F24B57"/>
    <w:rsid w:val="00F25242"/>
    <w:rsid w:val="00F2573F"/>
    <w:rsid w:val="00F25C6F"/>
    <w:rsid w:val="00F25D2F"/>
    <w:rsid w:val="00F269C1"/>
    <w:rsid w:val="00F26DA9"/>
    <w:rsid w:val="00F26EAD"/>
    <w:rsid w:val="00F26F9B"/>
    <w:rsid w:val="00F27853"/>
    <w:rsid w:val="00F27A3C"/>
    <w:rsid w:val="00F27FC7"/>
    <w:rsid w:val="00F3021B"/>
    <w:rsid w:val="00F3023E"/>
    <w:rsid w:val="00F321F1"/>
    <w:rsid w:val="00F32949"/>
    <w:rsid w:val="00F32A26"/>
    <w:rsid w:val="00F32F9A"/>
    <w:rsid w:val="00F32FAB"/>
    <w:rsid w:val="00F33C1F"/>
    <w:rsid w:val="00F34E23"/>
    <w:rsid w:val="00F34F42"/>
    <w:rsid w:val="00F34F7D"/>
    <w:rsid w:val="00F35C16"/>
    <w:rsid w:val="00F35C69"/>
    <w:rsid w:val="00F367DE"/>
    <w:rsid w:val="00F36CB1"/>
    <w:rsid w:val="00F41132"/>
    <w:rsid w:val="00F41B0F"/>
    <w:rsid w:val="00F4563F"/>
    <w:rsid w:val="00F4600F"/>
    <w:rsid w:val="00F467B3"/>
    <w:rsid w:val="00F469FB"/>
    <w:rsid w:val="00F46A3F"/>
    <w:rsid w:val="00F46EB8"/>
    <w:rsid w:val="00F47022"/>
    <w:rsid w:val="00F4738F"/>
    <w:rsid w:val="00F4741D"/>
    <w:rsid w:val="00F4788D"/>
    <w:rsid w:val="00F50A7E"/>
    <w:rsid w:val="00F50B04"/>
    <w:rsid w:val="00F50C7B"/>
    <w:rsid w:val="00F510B5"/>
    <w:rsid w:val="00F511DA"/>
    <w:rsid w:val="00F52188"/>
    <w:rsid w:val="00F5289E"/>
    <w:rsid w:val="00F52C10"/>
    <w:rsid w:val="00F530D3"/>
    <w:rsid w:val="00F533FA"/>
    <w:rsid w:val="00F537D9"/>
    <w:rsid w:val="00F53CE5"/>
    <w:rsid w:val="00F54B93"/>
    <w:rsid w:val="00F54B99"/>
    <w:rsid w:val="00F54CAB"/>
    <w:rsid w:val="00F55399"/>
    <w:rsid w:val="00F55622"/>
    <w:rsid w:val="00F55893"/>
    <w:rsid w:val="00F55C6B"/>
    <w:rsid w:val="00F5612D"/>
    <w:rsid w:val="00F56198"/>
    <w:rsid w:val="00F562B3"/>
    <w:rsid w:val="00F569E3"/>
    <w:rsid w:val="00F56D2A"/>
    <w:rsid w:val="00F606F9"/>
    <w:rsid w:val="00F60983"/>
    <w:rsid w:val="00F6153E"/>
    <w:rsid w:val="00F61825"/>
    <w:rsid w:val="00F62C70"/>
    <w:rsid w:val="00F62D68"/>
    <w:rsid w:val="00F63CDA"/>
    <w:rsid w:val="00F6555D"/>
    <w:rsid w:val="00F65784"/>
    <w:rsid w:val="00F6770D"/>
    <w:rsid w:val="00F6789E"/>
    <w:rsid w:val="00F7031E"/>
    <w:rsid w:val="00F71086"/>
    <w:rsid w:val="00F71A12"/>
    <w:rsid w:val="00F7233C"/>
    <w:rsid w:val="00F7281D"/>
    <w:rsid w:val="00F73D16"/>
    <w:rsid w:val="00F7491C"/>
    <w:rsid w:val="00F7492C"/>
    <w:rsid w:val="00F750E9"/>
    <w:rsid w:val="00F75848"/>
    <w:rsid w:val="00F771C5"/>
    <w:rsid w:val="00F774B9"/>
    <w:rsid w:val="00F77E58"/>
    <w:rsid w:val="00F80E40"/>
    <w:rsid w:val="00F811E9"/>
    <w:rsid w:val="00F818A1"/>
    <w:rsid w:val="00F82A22"/>
    <w:rsid w:val="00F836AF"/>
    <w:rsid w:val="00F840B0"/>
    <w:rsid w:val="00F845B1"/>
    <w:rsid w:val="00F84616"/>
    <w:rsid w:val="00F847F0"/>
    <w:rsid w:val="00F850E0"/>
    <w:rsid w:val="00F85434"/>
    <w:rsid w:val="00F8586C"/>
    <w:rsid w:val="00F85CA0"/>
    <w:rsid w:val="00F866CB"/>
    <w:rsid w:val="00F86B42"/>
    <w:rsid w:val="00F902ED"/>
    <w:rsid w:val="00F90E04"/>
    <w:rsid w:val="00F91C37"/>
    <w:rsid w:val="00F92046"/>
    <w:rsid w:val="00F93411"/>
    <w:rsid w:val="00F94377"/>
    <w:rsid w:val="00F94AE6"/>
    <w:rsid w:val="00F95898"/>
    <w:rsid w:val="00F95A54"/>
    <w:rsid w:val="00F967B3"/>
    <w:rsid w:val="00F970D4"/>
    <w:rsid w:val="00F9717C"/>
    <w:rsid w:val="00F97669"/>
    <w:rsid w:val="00F97752"/>
    <w:rsid w:val="00FA0063"/>
    <w:rsid w:val="00FA131A"/>
    <w:rsid w:val="00FA15EF"/>
    <w:rsid w:val="00FA21E5"/>
    <w:rsid w:val="00FA26C7"/>
    <w:rsid w:val="00FA2FFC"/>
    <w:rsid w:val="00FA3990"/>
    <w:rsid w:val="00FA40DF"/>
    <w:rsid w:val="00FA43B4"/>
    <w:rsid w:val="00FA7BC9"/>
    <w:rsid w:val="00FB055B"/>
    <w:rsid w:val="00FB0AEA"/>
    <w:rsid w:val="00FB0B2F"/>
    <w:rsid w:val="00FB2495"/>
    <w:rsid w:val="00FB357C"/>
    <w:rsid w:val="00FB37BC"/>
    <w:rsid w:val="00FB449C"/>
    <w:rsid w:val="00FB4C62"/>
    <w:rsid w:val="00FB5290"/>
    <w:rsid w:val="00FB5417"/>
    <w:rsid w:val="00FB5BE5"/>
    <w:rsid w:val="00FB5FE5"/>
    <w:rsid w:val="00FB637C"/>
    <w:rsid w:val="00FB6CC4"/>
    <w:rsid w:val="00FB6F79"/>
    <w:rsid w:val="00FB7896"/>
    <w:rsid w:val="00FC063F"/>
    <w:rsid w:val="00FC0687"/>
    <w:rsid w:val="00FC0784"/>
    <w:rsid w:val="00FC090B"/>
    <w:rsid w:val="00FC0F02"/>
    <w:rsid w:val="00FC12B2"/>
    <w:rsid w:val="00FC1A53"/>
    <w:rsid w:val="00FC2C7C"/>
    <w:rsid w:val="00FC300F"/>
    <w:rsid w:val="00FC3464"/>
    <w:rsid w:val="00FC3684"/>
    <w:rsid w:val="00FC3C3D"/>
    <w:rsid w:val="00FC5416"/>
    <w:rsid w:val="00FC54B8"/>
    <w:rsid w:val="00FC70F9"/>
    <w:rsid w:val="00FC71A2"/>
    <w:rsid w:val="00FC76FC"/>
    <w:rsid w:val="00FD1A6E"/>
    <w:rsid w:val="00FD1F15"/>
    <w:rsid w:val="00FD1F3B"/>
    <w:rsid w:val="00FD2124"/>
    <w:rsid w:val="00FD33EC"/>
    <w:rsid w:val="00FD4019"/>
    <w:rsid w:val="00FD541B"/>
    <w:rsid w:val="00FD57C8"/>
    <w:rsid w:val="00FD5DFD"/>
    <w:rsid w:val="00FD6810"/>
    <w:rsid w:val="00FD7473"/>
    <w:rsid w:val="00FE03A7"/>
    <w:rsid w:val="00FE0580"/>
    <w:rsid w:val="00FE18F4"/>
    <w:rsid w:val="00FE2453"/>
    <w:rsid w:val="00FE25E7"/>
    <w:rsid w:val="00FE262D"/>
    <w:rsid w:val="00FE4A52"/>
    <w:rsid w:val="00FE4BB2"/>
    <w:rsid w:val="00FE50AA"/>
    <w:rsid w:val="00FE55F7"/>
    <w:rsid w:val="00FF0D69"/>
    <w:rsid w:val="00FF12DE"/>
    <w:rsid w:val="00FF1BE6"/>
    <w:rsid w:val="00FF2EC5"/>
    <w:rsid w:val="00FF3754"/>
    <w:rsid w:val="00FF4839"/>
    <w:rsid w:val="00FF490A"/>
    <w:rsid w:val="00FF51D8"/>
    <w:rsid w:val="00FF54FC"/>
    <w:rsid w:val="00FF5661"/>
    <w:rsid w:val="00FF5BE6"/>
    <w:rsid w:val="00FF6535"/>
    <w:rsid w:val="00FF6AAE"/>
    <w:rsid w:val="00FF78C8"/>
    <w:rsid w:val="00FF7AE4"/>
    <w:rsid w:val="00FF7D2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06D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73"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lsdException w:name="List Number 3" w:semiHidden="1" w:uiPriority="2"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3DA"/>
    <w:pPr>
      <w:autoSpaceDE w:val="0"/>
      <w:autoSpaceDN w:val="0"/>
      <w:adjustRightInd w:val="0"/>
      <w:spacing w:before="120" w:after="120" w:line="240" w:lineRule="auto"/>
      <w:jc w:val="both"/>
    </w:pPr>
    <w:rPr>
      <w:rFonts w:ascii="Calibri" w:hAnsi="Calibri" w:cs="Arial"/>
      <w:spacing w:val="-2"/>
      <w:szCs w:val="20"/>
      <w:lang w:eastAsia="ko-KR"/>
    </w:rPr>
  </w:style>
  <w:style w:type="paragraph" w:styleId="Heading1">
    <w:name w:val="heading 1"/>
    <w:aliases w:val="First level subhead"/>
    <w:basedOn w:val="GoodPracticeExample"/>
    <w:next w:val="Normal"/>
    <w:link w:val="Heading1Char"/>
    <w:uiPriority w:val="9"/>
    <w:qFormat/>
    <w:rsid w:val="00301880"/>
    <w:pPr>
      <w:outlineLvl w:val="0"/>
    </w:pPr>
    <w:rPr>
      <w:b/>
      <w:bCs/>
    </w:rPr>
  </w:style>
  <w:style w:type="paragraph" w:styleId="Heading2">
    <w:name w:val="heading 2"/>
    <w:aliases w:val="level 2,Section,Section1,Section2,ALK_K2,no subsections"/>
    <w:basedOn w:val="Heading1"/>
    <w:next w:val="Normal"/>
    <w:link w:val="Heading2Char"/>
    <w:uiPriority w:val="9"/>
    <w:unhideWhenUsed/>
    <w:qFormat/>
    <w:rsid w:val="00301880"/>
    <w:pPr>
      <w:pBdr>
        <w:top w:val="none" w:sz="0" w:space="0" w:color="auto"/>
        <w:bottom w:val="none" w:sz="0" w:space="0" w:color="auto"/>
      </w:pBdr>
      <w:ind w:left="576" w:hanging="576"/>
      <w:outlineLvl w:val="1"/>
    </w:pPr>
    <w:rPr>
      <w:color w:val="65C5B4" w:themeColor="accent2"/>
      <w:lang w:val="en-US"/>
    </w:rPr>
  </w:style>
  <w:style w:type="paragraph" w:styleId="Heading3">
    <w:name w:val="heading 3"/>
    <w:basedOn w:val="BodyText"/>
    <w:next w:val="Normal"/>
    <w:link w:val="Heading3Char"/>
    <w:uiPriority w:val="9"/>
    <w:unhideWhenUsed/>
    <w:qFormat/>
    <w:rsid w:val="003C7651"/>
    <w:pPr>
      <w:numPr>
        <w:ilvl w:val="2"/>
        <w:numId w:val="25"/>
      </w:numPr>
      <w:outlineLvl w:val="2"/>
    </w:pPr>
    <w:rPr>
      <w:b/>
      <w:color w:val="007C89"/>
      <w:sz w:val="24"/>
      <w:lang w:val="en-GB" w:eastAsia="en-AU"/>
    </w:rPr>
  </w:style>
  <w:style w:type="paragraph" w:styleId="Heading4">
    <w:name w:val="heading 4"/>
    <w:aliases w:val="Map Title"/>
    <w:basedOn w:val="BodyText"/>
    <w:next w:val="Normal"/>
    <w:link w:val="Heading4Char"/>
    <w:uiPriority w:val="1"/>
    <w:unhideWhenUsed/>
    <w:qFormat/>
    <w:rsid w:val="007B5710"/>
    <w:pPr>
      <w:numPr>
        <w:ilvl w:val="3"/>
        <w:numId w:val="25"/>
      </w:numPr>
      <w:spacing w:before="240"/>
      <w:outlineLvl w:val="3"/>
    </w:pPr>
    <w:rPr>
      <w:b/>
      <w:sz w:val="22"/>
    </w:rPr>
  </w:style>
  <w:style w:type="paragraph" w:styleId="Heading5">
    <w:name w:val="heading 5"/>
    <w:aliases w:val="Block Label"/>
    <w:basedOn w:val="Normal"/>
    <w:next w:val="Normal"/>
    <w:link w:val="Heading5Char"/>
    <w:uiPriority w:val="1"/>
    <w:unhideWhenUsed/>
    <w:qFormat/>
    <w:rsid w:val="00B51A27"/>
    <w:pPr>
      <w:keepNext/>
      <w:keepLines/>
      <w:numPr>
        <w:ilvl w:val="4"/>
        <w:numId w:val="25"/>
      </w:numPr>
      <w:spacing w:before="40" w:after="0"/>
      <w:outlineLvl w:val="4"/>
    </w:pPr>
    <w:rPr>
      <w:rFonts w:asciiTheme="majorHAnsi" w:eastAsiaTheme="majorEastAsia" w:hAnsiTheme="majorHAnsi" w:cstheme="majorBidi"/>
      <w:color w:val="005C66" w:themeColor="accent1" w:themeShade="BF"/>
    </w:rPr>
  </w:style>
  <w:style w:type="paragraph" w:styleId="Heading6">
    <w:name w:val="heading 6"/>
    <w:basedOn w:val="Normal"/>
    <w:next w:val="Normal"/>
    <w:link w:val="Heading6Char"/>
    <w:uiPriority w:val="9"/>
    <w:unhideWhenUsed/>
    <w:qFormat/>
    <w:rsid w:val="00301880"/>
    <w:pPr>
      <w:numPr>
        <w:ilvl w:val="5"/>
        <w:numId w:val="25"/>
      </w:numPr>
      <w:autoSpaceDE/>
      <w:autoSpaceDN/>
      <w:adjustRightInd/>
      <w:spacing w:before="240" w:line="264" w:lineRule="auto"/>
      <w:contextualSpacing/>
      <w:jc w:val="left"/>
      <w:outlineLvl w:val="5"/>
    </w:pPr>
    <w:rPr>
      <w:rFonts w:ascii="Arial" w:eastAsia="Arial" w:hAnsi="Arial" w:cs="Times New Roman"/>
      <w:b/>
      <w:spacing w:val="0"/>
      <w:sz w:val="20"/>
      <w:lang w:eastAsia="en-US"/>
    </w:rPr>
  </w:style>
  <w:style w:type="paragraph" w:styleId="Heading7">
    <w:name w:val="heading 7"/>
    <w:basedOn w:val="Normal"/>
    <w:next w:val="Normal"/>
    <w:link w:val="Heading7Char"/>
    <w:uiPriority w:val="99"/>
    <w:unhideWhenUsed/>
    <w:qFormat/>
    <w:rsid w:val="00301880"/>
    <w:pPr>
      <w:keepNext/>
      <w:keepLines/>
      <w:numPr>
        <w:ilvl w:val="6"/>
        <w:numId w:val="25"/>
      </w:numPr>
      <w:autoSpaceDE/>
      <w:autoSpaceDN/>
      <w:adjustRightInd/>
      <w:spacing w:before="200" w:after="0" w:line="264" w:lineRule="auto"/>
      <w:jc w:val="left"/>
      <w:outlineLvl w:val="6"/>
    </w:pPr>
    <w:rPr>
      <w:rFonts w:ascii="Arial" w:eastAsia="MS PGothic" w:hAnsi="Arial" w:cs="Times New Roman"/>
      <w:i/>
      <w:iCs/>
      <w:color w:val="404040"/>
      <w:spacing w:val="0"/>
      <w:sz w:val="20"/>
      <w:lang w:eastAsia="en-US"/>
    </w:rPr>
  </w:style>
  <w:style w:type="paragraph" w:styleId="Heading8">
    <w:name w:val="heading 8"/>
    <w:basedOn w:val="Normal"/>
    <w:next w:val="Normal"/>
    <w:link w:val="Heading8Char"/>
    <w:uiPriority w:val="99"/>
    <w:unhideWhenUsed/>
    <w:qFormat/>
    <w:rsid w:val="00301880"/>
    <w:pPr>
      <w:keepNext/>
      <w:keepLines/>
      <w:numPr>
        <w:ilvl w:val="7"/>
        <w:numId w:val="25"/>
      </w:numPr>
      <w:autoSpaceDE/>
      <w:autoSpaceDN/>
      <w:adjustRightInd/>
      <w:spacing w:before="200" w:after="0" w:line="264" w:lineRule="auto"/>
      <w:jc w:val="left"/>
      <w:outlineLvl w:val="7"/>
    </w:pPr>
    <w:rPr>
      <w:rFonts w:ascii="Arial" w:eastAsia="MS PGothic" w:hAnsi="Arial" w:cs="Times New Roman"/>
      <w:color w:val="404040"/>
      <w:spacing w:val="0"/>
      <w:sz w:val="20"/>
      <w:lang w:eastAsia="en-US"/>
    </w:rPr>
  </w:style>
  <w:style w:type="paragraph" w:styleId="Heading9">
    <w:name w:val="heading 9"/>
    <w:basedOn w:val="Normal"/>
    <w:next w:val="Normal"/>
    <w:link w:val="Heading9Char"/>
    <w:uiPriority w:val="99"/>
    <w:unhideWhenUsed/>
    <w:qFormat/>
    <w:rsid w:val="00301880"/>
    <w:pPr>
      <w:keepNext/>
      <w:keepLines/>
      <w:numPr>
        <w:ilvl w:val="8"/>
        <w:numId w:val="25"/>
      </w:numPr>
      <w:autoSpaceDE/>
      <w:autoSpaceDN/>
      <w:adjustRightInd/>
      <w:spacing w:before="200" w:after="0" w:line="264" w:lineRule="auto"/>
      <w:jc w:val="left"/>
      <w:outlineLvl w:val="8"/>
    </w:pPr>
    <w:rPr>
      <w:rFonts w:ascii="Arial" w:eastAsia="MS PGothic" w:hAnsi="Arial" w:cs="Times New Roman"/>
      <w:i/>
      <w:iCs/>
      <w:color w:val="404040"/>
      <w:spacing w:val="0"/>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ffey table,DPS Table Grid,Basic Table,McLL Table General Text"/>
    <w:basedOn w:val="TableNormal"/>
    <w:uiPriority w:val="39"/>
    <w:rsid w:val="002135C3"/>
    <w:pPr>
      <w:spacing w:after="0" w:line="240" w:lineRule="auto"/>
    </w:pPr>
    <w:rPr>
      <w:rFonts w:ascii="Helvetica LT Std" w:hAnsi="Helvetica LT Std"/>
      <w:sz w:val="18"/>
    </w:rPr>
    <w:tblPr>
      <w:tblBorders>
        <w:top w:val="single" w:sz="4" w:space="0" w:color="049CD5"/>
        <w:bottom w:val="single" w:sz="4" w:space="0" w:color="049CD5"/>
        <w:insideH w:val="single" w:sz="4" w:space="0" w:color="049CD5"/>
      </w:tblBorders>
    </w:tblPr>
    <w:tcPr>
      <w:shd w:val="clear" w:color="auto" w:fill="FFFFFF" w:themeFill="background1"/>
      <w:vAlign w:val="center"/>
    </w:tcPr>
    <w:tblStylePr w:type="firstRow">
      <w:rPr>
        <w:rFonts w:ascii="TimesNewRomanPSMT" w:hAnsi="TimesNewRomanPSMT"/>
        <w:b/>
        <w:color w:val="FFFFFF" w:themeColor="background1"/>
        <w:sz w:val="18"/>
      </w:rPr>
      <w:tblPr/>
      <w:tcPr>
        <w:shd w:val="clear" w:color="auto" w:fill="049CD5"/>
      </w:tcPr>
    </w:tblStylePr>
  </w:style>
  <w:style w:type="paragraph" w:styleId="BodyText">
    <w:name w:val="Body Text"/>
    <w:basedOn w:val="Normal"/>
    <w:link w:val="BodyTextChar"/>
    <w:uiPriority w:val="99"/>
    <w:qFormat/>
    <w:rsid w:val="00F62D68"/>
    <w:pPr>
      <w:spacing w:line="252" w:lineRule="auto"/>
      <w:jc w:val="left"/>
    </w:pPr>
    <w:rPr>
      <w:rFonts w:ascii="Calibri Light" w:hAnsi="Calibri Light"/>
      <w:spacing w:val="0"/>
      <w:sz w:val="20"/>
      <w:szCs w:val="19"/>
    </w:rPr>
  </w:style>
  <w:style w:type="character" w:customStyle="1" w:styleId="BodyTextChar">
    <w:name w:val="Body Text Char"/>
    <w:basedOn w:val="DefaultParagraphFont"/>
    <w:link w:val="BodyText"/>
    <w:uiPriority w:val="99"/>
    <w:rsid w:val="00F62D68"/>
    <w:rPr>
      <w:rFonts w:ascii="Calibri Light" w:eastAsia="Batang" w:hAnsi="Calibri Light" w:cs="Arial"/>
      <w:sz w:val="20"/>
      <w:szCs w:val="19"/>
      <w:lang w:eastAsia="ko-KR"/>
    </w:rPr>
  </w:style>
  <w:style w:type="paragraph" w:customStyle="1" w:styleId="Bigtext">
    <w:name w:val="Big text"/>
    <w:qFormat/>
    <w:rsid w:val="00057283"/>
    <w:pPr>
      <w:spacing w:before="160" w:line="240" w:lineRule="auto"/>
    </w:pPr>
    <w:rPr>
      <w:b/>
      <w:color w:val="838E99"/>
      <w:sz w:val="24"/>
      <w:szCs w:val="20"/>
    </w:rPr>
  </w:style>
  <w:style w:type="character" w:customStyle="1" w:styleId="Heading1Char">
    <w:name w:val="Heading 1 Char"/>
    <w:aliases w:val="First level subhead Char"/>
    <w:basedOn w:val="DefaultParagraphFont"/>
    <w:link w:val="Heading1"/>
    <w:uiPriority w:val="9"/>
    <w:rsid w:val="00301880"/>
    <w:rPr>
      <w:b/>
      <w:bCs/>
      <w:color w:val="495966"/>
      <w:spacing w:val="-6"/>
      <w:sz w:val="24"/>
      <w:szCs w:val="20"/>
    </w:rPr>
  </w:style>
  <w:style w:type="paragraph" w:styleId="Header">
    <w:name w:val="header"/>
    <w:basedOn w:val="Normal"/>
    <w:link w:val="HeaderChar"/>
    <w:uiPriority w:val="99"/>
    <w:unhideWhenUsed/>
    <w:rsid w:val="00AD70AF"/>
    <w:pPr>
      <w:tabs>
        <w:tab w:val="center" w:pos="4513"/>
        <w:tab w:val="right" w:pos="9026"/>
      </w:tabs>
      <w:spacing w:after="0"/>
    </w:pPr>
  </w:style>
  <w:style w:type="character" w:customStyle="1" w:styleId="HeaderChar">
    <w:name w:val="Header Char"/>
    <w:basedOn w:val="DefaultParagraphFont"/>
    <w:link w:val="Header"/>
    <w:uiPriority w:val="99"/>
    <w:rsid w:val="00AD70AF"/>
  </w:style>
  <w:style w:type="paragraph" w:styleId="Footer">
    <w:name w:val="footer"/>
    <w:basedOn w:val="Normal"/>
    <w:link w:val="FooterChar"/>
    <w:uiPriority w:val="99"/>
    <w:unhideWhenUsed/>
    <w:rsid w:val="00AD70AF"/>
    <w:pPr>
      <w:tabs>
        <w:tab w:val="center" w:pos="4513"/>
        <w:tab w:val="right" w:pos="9026"/>
      </w:tabs>
      <w:spacing w:after="0"/>
    </w:pPr>
  </w:style>
  <w:style w:type="character" w:customStyle="1" w:styleId="FooterChar">
    <w:name w:val="Footer Char"/>
    <w:basedOn w:val="DefaultParagraphFont"/>
    <w:link w:val="Footer"/>
    <w:uiPriority w:val="99"/>
    <w:rsid w:val="00AD70AF"/>
  </w:style>
  <w:style w:type="paragraph" w:styleId="ListParagraph">
    <w:name w:val="List Paragraph"/>
    <w:aliases w:val="Bullet Level 1,References,Paragraphe de liste1,List Paragraph1,Liste couleur - Accent 11,LIST OF TABLES.,Numbered List Paragraph,123 List Paragraph,Celula,Liste 1,Colorful List - Accent 11,Dot pt,F5 List Paragraph,No Spacing1,sub-section"/>
    <w:link w:val="ListParagraphChar"/>
    <w:uiPriority w:val="34"/>
    <w:qFormat/>
    <w:rsid w:val="00B0086D"/>
    <w:pPr>
      <w:numPr>
        <w:numId w:val="9"/>
      </w:numPr>
      <w:spacing w:before="100" w:beforeAutospacing="1" w:after="100" w:afterAutospacing="1" w:line="260" w:lineRule="atLeast"/>
      <w:contextualSpacing/>
      <w:jc w:val="both"/>
    </w:pPr>
    <w:rPr>
      <w:rFonts w:ascii="Calibri" w:hAnsi="Calibri" w:cs="Calibri"/>
      <w:spacing w:val="-6"/>
      <w:sz w:val="20"/>
      <w:szCs w:val="20"/>
    </w:rPr>
  </w:style>
  <w:style w:type="character" w:styleId="CommentReference">
    <w:name w:val="annotation reference"/>
    <w:basedOn w:val="DefaultParagraphFont"/>
    <w:uiPriority w:val="99"/>
    <w:unhideWhenUsed/>
    <w:rsid w:val="00AD2E54"/>
    <w:rPr>
      <w:sz w:val="16"/>
      <w:szCs w:val="16"/>
    </w:rPr>
  </w:style>
  <w:style w:type="paragraph" w:styleId="CommentText">
    <w:name w:val="annotation text"/>
    <w:basedOn w:val="Normal"/>
    <w:link w:val="CommentTextChar"/>
    <w:uiPriority w:val="99"/>
    <w:unhideWhenUsed/>
    <w:rsid w:val="00AD2E54"/>
    <w:rPr>
      <w:sz w:val="20"/>
    </w:rPr>
  </w:style>
  <w:style w:type="character" w:customStyle="1" w:styleId="CommentTextChar">
    <w:name w:val="Comment Text Char"/>
    <w:basedOn w:val="DefaultParagraphFont"/>
    <w:link w:val="CommentText"/>
    <w:uiPriority w:val="99"/>
    <w:rsid w:val="00AD2E54"/>
    <w:rPr>
      <w:sz w:val="20"/>
      <w:szCs w:val="20"/>
    </w:rPr>
  </w:style>
  <w:style w:type="character" w:customStyle="1" w:styleId="ListParagraphChar">
    <w:name w:val="List Paragraph Char"/>
    <w:aliases w:val="Bullet Level 1 Char,References Char,Paragraphe de liste1 Char,List Paragraph1 Char,Liste couleur - Accent 11 Char,LIST OF TABLES. Char,Numbered List Paragraph Char,123 List Paragraph Char,Celula Char,Liste 1 Char,Dot pt Char"/>
    <w:basedOn w:val="DefaultParagraphFont"/>
    <w:link w:val="ListParagraph"/>
    <w:uiPriority w:val="34"/>
    <w:qFormat/>
    <w:rsid w:val="00B0086D"/>
    <w:rPr>
      <w:rFonts w:ascii="Calibri" w:hAnsi="Calibri" w:cs="Calibri"/>
      <w:spacing w:val="-6"/>
      <w:sz w:val="20"/>
      <w:szCs w:val="20"/>
    </w:rPr>
  </w:style>
  <w:style w:type="paragraph" w:styleId="BalloonText">
    <w:name w:val="Balloon Text"/>
    <w:basedOn w:val="Normal"/>
    <w:link w:val="BalloonTextChar"/>
    <w:uiPriority w:val="99"/>
    <w:semiHidden/>
    <w:unhideWhenUsed/>
    <w:rsid w:val="00AD2E5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E54"/>
    <w:rPr>
      <w:rFonts w:ascii="Segoe UI" w:hAnsi="Segoe UI" w:cs="Segoe UI"/>
      <w:sz w:val="18"/>
      <w:szCs w:val="18"/>
    </w:rPr>
  </w:style>
  <w:style w:type="paragraph" w:styleId="TOCHeading">
    <w:name w:val="TOC Heading"/>
    <w:basedOn w:val="Heading1"/>
    <w:next w:val="Normal"/>
    <w:uiPriority w:val="39"/>
    <w:unhideWhenUsed/>
    <w:qFormat/>
    <w:rsid w:val="008B4A97"/>
    <w:pPr>
      <w:keepNext/>
      <w:keepLines/>
      <w:spacing w:before="240" w:after="0"/>
      <w:outlineLvl w:val="9"/>
    </w:pPr>
    <w:rPr>
      <w:rFonts w:asciiTheme="majorHAnsi" w:eastAsiaTheme="majorEastAsia" w:hAnsiTheme="majorHAnsi" w:cstheme="majorBidi"/>
      <w:b w:val="0"/>
      <w:color w:val="005C66" w:themeColor="accent1" w:themeShade="BF"/>
      <w:sz w:val="32"/>
      <w:szCs w:val="32"/>
      <w:lang w:val="en-US"/>
    </w:rPr>
  </w:style>
  <w:style w:type="paragraph" w:styleId="TOC1">
    <w:name w:val="toc 1"/>
    <w:basedOn w:val="TOCHeading"/>
    <w:next w:val="Normal"/>
    <w:autoRedefine/>
    <w:uiPriority w:val="39"/>
    <w:unhideWhenUsed/>
    <w:rsid w:val="00E420BF"/>
    <w:pPr>
      <w:tabs>
        <w:tab w:val="right" w:pos="9638"/>
      </w:tabs>
      <w:spacing w:before="200" w:after="120"/>
    </w:pPr>
    <w:rPr>
      <w:b/>
      <w:caps/>
      <w:noProof/>
      <w:color w:val="495966"/>
      <w:sz w:val="24"/>
      <w:szCs w:val="24"/>
    </w:rPr>
  </w:style>
  <w:style w:type="character" w:styleId="Hyperlink">
    <w:name w:val="Hyperlink"/>
    <w:basedOn w:val="DefaultParagraphFont"/>
    <w:uiPriority w:val="99"/>
    <w:unhideWhenUsed/>
    <w:rsid w:val="008B4A97"/>
    <w:rPr>
      <w:color w:val="0563C1" w:themeColor="hyperlink"/>
      <w:u w:val="single"/>
    </w:rPr>
  </w:style>
  <w:style w:type="character" w:customStyle="1" w:styleId="Heading2Char">
    <w:name w:val="Heading 2 Char"/>
    <w:aliases w:val="level 2 Char,Section Char,Section1 Char,Section2 Char,ALK_K2 Char,no subsections Char"/>
    <w:basedOn w:val="DefaultParagraphFont"/>
    <w:link w:val="Heading2"/>
    <w:uiPriority w:val="9"/>
    <w:rsid w:val="00301880"/>
    <w:rPr>
      <w:b/>
      <w:bCs/>
      <w:color w:val="65C5B4" w:themeColor="accent2"/>
      <w:spacing w:val="-6"/>
      <w:sz w:val="24"/>
      <w:szCs w:val="20"/>
      <w:lang w:val="en-US"/>
    </w:rPr>
  </w:style>
  <w:style w:type="paragraph" w:styleId="TOC2">
    <w:name w:val="toc 2"/>
    <w:basedOn w:val="Normal"/>
    <w:next w:val="Normal"/>
    <w:autoRedefine/>
    <w:uiPriority w:val="39"/>
    <w:unhideWhenUsed/>
    <w:rsid w:val="00B31013"/>
    <w:pPr>
      <w:tabs>
        <w:tab w:val="right" w:pos="9628"/>
      </w:tabs>
      <w:spacing w:after="100"/>
    </w:pPr>
    <w:rPr>
      <w:noProof/>
      <w:color w:val="495966"/>
      <w:sz w:val="20"/>
    </w:rPr>
  </w:style>
  <w:style w:type="table" w:customStyle="1" w:styleId="TableGridLight1">
    <w:name w:val="Table Grid Light1"/>
    <w:basedOn w:val="TableNormal"/>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99"/>
    <w:qFormat/>
    <w:rsid w:val="00314AC5"/>
    <w:rPr>
      <w:b/>
      <w:bCs/>
      <w:i/>
      <w:iCs/>
      <w:color w:val="007C89" w:themeColor="accent1"/>
    </w:rPr>
  </w:style>
  <w:style w:type="paragraph" w:styleId="FootnoteText">
    <w:name w:val="footnote text"/>
    <w:aliases w:val="(NECG) Footnote Text,ALTS FOOTNOTE,ALTS FOOTNOTE Char Char Char,single space,Fußnotentextf,Footnote text,fn,Schriftart: 9 pt,Schriftart: 10 pt,Schriftart: 8 pt,WB-Fußnotentext,Footnote Text2,Footnote Text11,ALTS FOOTNOTE11,ALTS FOOTNOTE2,f"/>
    <w:basedOn w:val="Normal"/>
    <w:link w:val="FootnoteTextChar"/>
    <w:uiPriority w:val="99"/>
    <w:unhideWhenUsed/>
    <w:qFormat/>
    <w:rsid w:val="00870DD7"/>
    <w:pPr>
      <w:spacing w:before="40" w:after="40" w:line="230" w:lineRule="auto"/>
    </w:pPr>
    <w:rPr>
      <w:sz w:val="16"/>
      <w:lang w:val="en-US"/>
    </w:rPr>
  </w:style>
  <w:style w:type="character" w:customStyle="1" w:styleId="FootnoteTextChar">
    <w:name w:val="Footnote Text Char"/>
    <w:aliases w:val="(NECG) Footnote Text Char,ALTS FOOTNOTE Char,ALTS FOOTNOTE Char Char Char Char,single space Char,Fußnotentextf Char,Footnote text Char,fn Char,Schriftart: 9 pt Char,Schriftart: 10 pt Char,Schriftart: 8 pt Char,WB-Fußnotentext Char"/>
    <w:basedOn w:val="DefaultParagraphFont"/>
    <w:link w:val="FootnoteText"/>
    <w:uiPriority w:val="99"/>
    <w:rsid w:val="00870DD7"/>
    <w:rPr>
      <w:rFonts w:ascii="Calibri" w:hAnsi="Calibri" w:cs="Calibri"/>
      <w:sz w:val="16"/>
      <w:szCs w:val="20"/>
      <w:lang w:val="en-US"/>
    </w:rPr>
  </w:style>
  <w:style w:type="character" w:styleId="FootnoteReference">
    <w:name w:val="footnote reference"/>
    <w:aliases w:val="(NECG) Footnote Reference,Footnote symbol,Footnote,Voetnootverwijzing,Times 10 Point,Exposant 3 Point,Appel note de bas de p,BVI fnr,Footnote Reference Superscript,Footnote symboFußnotenzeichen,Footnote sign,EN Footnote Reference,fr,o"/>
    <w:basedOn w:val="DefaultParagraphFont"/>
    <w:uiPriority w:val="99"/>
    <w:unhideWhenUsed/>
    <w:qFormat/>
    <w:rsid w:val="00314AC5"/>
    <w:rPr>
      <w:vertAlign w:val="superscript"/>
    </w:rPr>
  </w:style>
  <w:style w:type="paragraph" w:customStyle="1" w:styleId="BodytextStyle">
    <w:name w:val="Body text Style"/>
    <w:basedOn w:val="BodyText"/>
    <w:link w:val="BodytextStyleChar"/>
    <w:rsid w:val="001515F8"/>
    <w:rPr>
      <w:sz w:val="22"/>
    </w:rPr>
  </w:style>
  <w:style w:type="character" w:customStyle="1" w:styleId="BodytextStyleChar">
    <w:name w:val="Body text Style Char"/>
    <w:basedOn w:val="DefaultParagraphFont"/>
    <w:link w:val="BodytextStyle"/>
    <w:locked/>
    <w:rsid w:val="001515F8"/>
    <w:rPr>
      <w:rFonts w:ascii="Calibri" w:eastAsia="Batang" w:hAnsi="Calibri" w:cs="Arial"/>
      <w:szCs w:val="20"/>
      <w:lang w:eastAsia="ko-KR"/>
    </w:rPr>
  </w:style>
  <w:style w:type="paragraph" w:customStyle="1" w:styleId="Normal0">
    <w:name w:val="[Normal]"/>
    <w:uiPriority w:val="99"/>
    <w:rsid w:val="00314AC5"/>
    <w:pPr>
      <w:widowControl w:val="0"/>
      <w:autoSpaceDE w:val="0"/>
      <w:autoSpaceDN w:val="0"/>
      <w:adjustRightInd w:val="0"/>
      <w:spacing w:after="0" w:line="240" w:lineRule="auto"/>
    </w:pPr>
    <w:rPr>
      <w:rFonts w:ascii="Arial" w:hAnsi="Arial" w:cs="Arial"/>
      <w:sz w:val="24"/>
      <w:szCs w:val="24"/>
    </w:rPr>
  </w:style>
  <w:style w:type="character" w:customStyle="1" w:styleId="Heading3Char">
    <w:name w:val="Heading 3 Char"/>
    <w:basedOn w:val="DefaultParagraphFont"/>
    <w:link w:val="Heading3"/>
    <w:uiPriority w:val="9"/>
    <w:rsid w:val="003C7651"/>
    <w:rPr>
      <w:rFonts w:ascii="Calibri Light" w:eastAsia="Batang" w:hAnsi="Calibri Light" w:cs="Arial"/>
      <w:b/>
      <w:color w:val="007C89"/>
      <w:sz w:val="24"/>
      <w:szCs w:val="19"/>
      <w:lang w:val="en-GB" w:eastAsia="en-AU"/>
    </w:rPr>
  </w:style>
  <w:style w:type="paragraph" w:customStyle="1" w:styleId="NumberedList">
    <w:name w:val="Numbered List"/>
    <w:basedOn w:val="Normal"/>
    <w:rsid w:val="0088705D"/>
    <w:pPr>
      <w:numPr>
        <w:numId w:val="1"/>
      </w:numPr>
    </w:pPr>
    <w:rPr>
      <w:sz w:val="20"/>
    </w:rPr>
  </w:style>
  <w:style w:type="character" w:customStyle="1" w:styleId="Heading4Char">
    <w:name w:val="Heading 4 Char"/>
    <w:aliases w:val="Map Title Char"/>
    <w:basedOn w:val="DefaultParagraphFont"/>
    <w:link w:val="Heading4"/>
    <w:uiPriority w:val="1"/>
    <w:rsid w:val="007B5710"/>
    <w:rPr>
      <w:rFonts w:ascii="Calibri Light" w:eastAsia="Batang" w:hAnsi="Calibri Light" w:cs="Arial"/>
      <w:b/>
      <w:szCs w:val="19"/>
      <w:lang w:eastAsia="ko-KR"/>
    </w:rPr>
  </w:style>
  <w:style w:type="paragraph" w:customStyle="1" w:styleId="GoodPracticeExample">
    <w:name w:val="Good Practice Example"/>
    <w:qFormat/>
    <w:rsid w:val="00AD4EB9"/>
    <w:pPr>
      <w:pBdr>
        <w:top w:val="single" w:sz="24" w:space="1" w:color="65C5B4"/>
        <w:bottom w:val="single" w:sz="24" w:space="1" w:color="65C5B4"/>
      </w:pBdr>
    </w:pPr>
    <w:rPr>
      <w:color w:val="495966"/>
      <w:spacing w:val="-6"/>
      <w:sz w:val="24"/>
      <w:szCs w:val="20"/>
    </w:rPr>
  </w:style>
  <w:style w:type="paragraph" w:customStyle="1" w:styleId="Findings">
    <w:name w:val="Findings"/>
    <w:qFormat/>
    <w:rsid w:val="00115F81"/>
    <w:pPr>
      <w:pBdr>
        <w:top w:val="single" w:sz="36" w:space="1" w:color="D9D9D9" w:themeColor="background1" w:themeShade="D9"/>
        <w:bottom w:val="single" w:sz="36" w:space="1" w:color="D9D9D9" w:themeColor="background1" w:themeShade="D9"/>
      </w:pBdr>
      <w:spacing w:line="240" w:lineRule="auto"/>
    </w:pPr>
    <w:rPr>
      <w:b/>
      <w:color w:val="B6592E"/>
      <w:sz w:val="28"/>
    </w:rPr>
  </w:style>
  <w:style w:type="paragraph" w:customStyle="1" w:styleId="Tableheading">
    <w:name w:val="Table heading"/>
    <w:qFormat/>
    <w:rsid w:val="009E2E5F"/>
    <w:pPr>
      <w:spacing w:before="120" w:after="120"/>
    </w:pPr>
    <w:rPr>
      <w:b/>
      <w:color w:val="FFFFFF" w:themeColor="background1"/>
      <w:spacing w:val="-6"/>
      <w:sz w:val="20"/>
      <w:szCs w:val="20"/>
    </w:rPr>
  </w:style>
  <w:style w:type="paragraph" w:styleId="TOC3">
    <w:name w:val="toc 3"/>
    <w:basedOn w:val="Normal"/>
    <w:next w:val="Normal"/>
    <w:autoRedefine/>
    <w:uiPriority w:val="39"/>
    <w:unhideWhenUsed/>
    <w:rsid w:val="004432E3"/>
    <w:pPr>
      <w:tabs>
        <w:tab w:val="right" w:pos="9628"/>
      </w:tabs>
      <w:spacing w:after="100"/>
      <w:ind w:left="440"/>
    </w:pPr>
    <w:rPr>
      <w:i/>
      <w:noProof/>
      <w:color w:val="495966"/>
      <w:sz w:val="20"/>
    </w:rPr>
  </w:style>
  <w:style w:type="character" w:styleId="Emphasis">
    <w:name w:val="Emphasis"/>
    <w:basedOn w:val="DefaultParagraphFont"/>
    <w:uiPriority w:val="99"/>
    <w:qFormat/>
    <w:rsid w:val="002440DF"/>
    <w:rPr>
      <w:i/>
      <w:iCs/>
    </w:rPr>
  </w:style>
  <w:style w:type="paragraph" w:styleId="CommentSubject">
    <w:name w:val="annotation subject"/>
    <w:basedOn w:val="CommentText"/>
    <w:next w:val="CommentText"/>
    <w:link w:val="CommentSubjectChar"/>
    <w:uiPriority w:val="99"/>
    <w:semiHidden/>
    <w:unhideWhenUsed/>
    <w:rsid w:val="003E3E04"/>
    <w:pPr>
      <w:spacing w:after="160"/>
    </w:pPr>
    <w:rPr>
      <w:b/>
      <w:bCs/>
    </w:rPr>
  </w:style>
  <w:style w:type="character" w:customStyle="1" w:styleId="CommentSubjectChar">
    <w:name w:val="Comment Subject Char"/>
    <w:basedOn w:val="CommentTextChar"/>
    <w:link w:val="CommentSubject"/>
    <w:uiPriority w:val="99"/>
    <w:semiHidden/>
    <w:rsid w:val="003E3E04"/>
    <w:rPr>
      <w:b/>
      <w:bCs/>
      <w:sz w:val="20"/>
      <w:szCs w:val="20"/>
    </w:rPr>
  </w:style>
  <w:style w:type="paragraph" w:customStyle="1" w:styleId="BodyCopy">
    <w:name w:val="Body Copy"/>
    <w:link w:val="BodyCopyChar"/>
    <w:qFormat/>
    <w:rsid w:val="00180E17"/>
    <w:pPr>
      <w:suppressAutoHyphens/>
      <w:autoSpaceDE w:val="0"/>
      <w:autoSpaceDN w:val="0"/>
      <w:adjustRightInd w:val="0"/>
      <w:spacing w:before="77" w:after="113" w:line="250" w:lineRule="atLeast"/>
      <w:textAlignment w:val="center"/>
    </w:pPr>
    <w:rPr>
      <w:rFonts w:ascii="Arial" w:hAnsi="Arial" w:cs="Arial (TT)"/>
      <w:color w:val="000000"/>
      <w:sz w:val="20"/>
      <w:szCs w:val="20"/>
      <w:lang w:val="en-GB"/>
    </w:rPr>
  </w:style>
  <w:style w:type="character" w:customStyle="1" w:styleId="BodyCopyChar">
    <w:name w:val="Body Copy Char"/>
    <w:basedOn w:val="DefaultParagraphFont"/>
    <w:link w:val="BodyCopy"/>
    <w:rsid w:val="00180E17"/>
    <w:rPr>
      <w:rFonts w:ascii="Arial" w:hAnsi="Arial" w:cs="Arial (TT)"/>
      <w:color w:val="000000"/>
      <w:sz w:val="20"/>
      <w:szCs w:val="20"/>
      <w:lang w:val="en-GB"/>
    </w:rPr>
  </w:style>
  <w:style w:type="character" w:customStyle="1" w:styleId="UnresolvedMention1">
    <w:name w:val="Unresolved Mention1"/>
    <w:basedOn w:val="DefaultParagraphFont"/>
    <w:uiPriority w:val="99"/>
    <w:semiHidden/>
    <w:unhideWhenUsed/>
    <w:rsid w:val="00922FD0"/>
    <w:rPr>
      <w:color w:val="605E5C"/>
      <w:shd w:val="clear" w:color="auto" w:fill="E1DFDD"/>
    </w:rPr>
  </w:style>
  <w:style w:type="paragraph" w:customStyle="1" w:styleId="Bullet1">
    <w:name w:val="Bullet 1"/>
    <w:basedOn w:val="Normal"/>
    <w:qFormat/>
    <w:rsid w:val="000A1398"/>
    <w:pPr>
      <w:numPr>
        <w:numId w:val="3"/>
      </w:numPr>
      <w:tabs>
        <w:tab w:val="left" w:pos="567"/>
      </w:tabs>
      <w:suppressAutoHyphens/>
      <w:autoSpaceDE/>
      <w:autoSpaceDN/>
      <w:adjustRightInd/>
      <w:spacing w:before="60" w:after="60" w:line="260" w:lineRule="atLeast"/>
    </w:pPr>
    <w:rPr>
      <w:rFonts w:asciiTheme="minorHAnsi" w:hAnsiTheme="minorHAnsi" w:cstheme="minorBidi"/>
      <w:color w:val="44546A" w:themeColor="text2"/>
      <w:lang w:val="en-GB"/>
    </w:rPr>
  </w:style>
  <w:style w:type="paragraph" w:customStyle="1" w:styleId="Bullet2">
    <w:name w:val="Bullet 2"/>
    <w:basedOn w:val="Bullet1"/>
    <w:qFormat/>
    <w:rsid w:val="000A1398"/>
    <w:pPr>
      <w:numPr>
        <w:ilvl w:val="1"/>
      </w:numPr>
      <w:tabs>
        <w:tab w:val="clear" w:pos="568"/>
        <w:tab w:val="left" w:pos="851"/>
      </w:tabs>
    </w:pPr>
  </w:style>
  <w:style w:type="paragraph" w:customStyle="1" w:styleId="Bullet3">
    <w:name w:val="Bullet 3"/>
    <w:basedOn w:val="Bullet2"/>
    <w:qFormat/>
    <w:rsid w:val="000A1398"/>
    <w:pPr>
      <w:numPr>
        <w:ilvl w:val="2"/>
      </w:numPr>
      <w:tabs>
        <w:tab w:val="clear" w:pos="852"/>
        <w:tab w:val="left" w:pos="1134"/>
      </w:tabs>
    </w:pPr>
  </w:style>
  <w:style w:type="numbering" w:customStyle="1" w:styleId="BulletsList">
    <w:name w:val="Bullets List"/>
    <w:uiPriority w:val="99"/>
    <w:rsid w:val="000A1398"/>
    <w:pPr>
      <w:numPr>
        <w:numId w:val="2"/>
      </w:numPr>
    </w:pPr>
  </w:style>
  <w:style w:type="paragraph" w:styleId="Revision">
    <w:name w:val="Revision"/>
    <w:hidden/>
    <w:uiPriority w:val="99"/>
    <w:semiHidden/>
    <w:rsid w:val="00033797"/>
    <w:pPr>
      <w:spacing w:after="0" w:line="240" w:lineRule="auto"/>
    </w:pPr>
    <w:rPr>
      <w:rFonts w:ascii="Calibri" w:hAnsi="Calibri" w:cs="Calibri"/>
    </w:rPr>
  </w:style>
  <w:style w:type="character" w:customStyle="1" w:styleId="UnresolvedMention2">
    <w:name w:val="Unresolved Mention2"/>
    <w:basedOn w:val="DefaultParagraphFont"/>
    <w:uiPriority w:val="99"/>
    <w:semiHidden/>
    <w:unhideWhenUsed/>
    <w:rsid w:val="000D7E82"/>
    <w:rPr>
      <w:color w:val="605E5C"/>
      <w:shd w:val="clear" w:color="auto" w:fill="E1DFDD"/>
    </w:rPr>
  </w:style>
  <w:style w:type="table" w:customStyle="1" w:styleId="TableGridLight10">
    <w:name w:val="Table Grid Light10"/>
    <w:basedOn w:val="TableNormal"/>
    <w:next w:val="TableGridLight1"/>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next w:val="TableGridLight1"/>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4">
    <w:name w:val="Table Grid Light4"/>
    <w:basedOn w:val="TableNormal"/>
    <w:next w:val="TableGridLight1"/>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5">
    <w:name w:val="Table Grid Light5"/>
    <w:basedOn w:val="TableNormal"/>
    <w:next w:val="TableGridLight1"/>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3B6B2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sestudybody">
    <w:name w:val="Case study body"/>
    <w:basedOn w:val="Normal"/>
    <w:link w:val="CasestudybodyChar"/>
    <w:qFormat/>
    <w:rsid w:val="003E0BC4"/>
    <w:rPr>
      <w:rFonts w:ascii="Franklin Gothic Book" w:hAnsi="Franklin Gothic Book"/>
      <w:color w:val="104B87"/>
      <w:sz w:val="18"/>
    </w:rPr>
  </w:style>
  <w:style w:type="character" w:customStyle="1" w:styleId="CasestudybodyChar">
    <w:name w:val="Case study body Char"/>
    <w:basedOn w:val="DefaultParagraphFont"/>
    <w:link w:val="Casestudybody"/>
    <w:rsid w:val="003E0BC4"/>
    <w:rPr>
      <w:rFonts w:ascii="Franklin Gothic Book" w:hAnsi="Franklin Gothic Book" w:cs="Calibri"/>
      <w:color w:val="104B87"/>
      <w:sz w:val="18"/>
    </w:rPr>
  </w:style>
  <w:style w:type="paragraph" w:customStyle="1" w:styleId="AppendixHeading">
    <w:name w:val="Appendix Heading"/>
    <w:basedOn w:val="BodyText"/>
    <w:next w:val="BodyText"/>
    <w:uiPriority w:val="99"/>
    <w:rsid w:val="000771DA"/>
    <w:pPr>
      <w:pageBreakBefore/>
      <w:autoSpaceDE/>
      <w:autoSpaceDN/>
      <w:adjustRightInd/>
      <w:spacing w:before="6720" w:after="0" w:line="240" w:lineRule="atLeast"/>
      <w:jc w:val="right"/>
      <w:outlineLvl w:val="6"/>
    </w:pPr>
    <w:rPr>
      <w:rFonts w:asciiTheme="minorHAnsi" w:hAnsiTheme="minorHAnsi" w:cstheme="minorBidi"/>
      <w:b/>
      <w:sz w:val="36"/>
      <w:szCs w:val="22"/>
    </w:rPr>
  </w:style>
  <w:style w:type="numbering" w:customStyle="1" w:styleId="Headings">
    <w:name w:val="Headings"/>
    <w:uiPriority w:val="99"/>
    <w:rsid w:val="000771DA"/>
    <w:pPr>
      <w:numPr>
        <w:numId w:val="4"/>
      </w:numPr>
    </w:pPr>
  </w:style>
  <w:style w:type="paragraph" w:customStyle="1" w:styleId="BodyBullet">
    <w:name w:val="Body Bullet"/>
    <w:basedOn w:val="BodyText"/>
    <w:link w:val="BodyBulletChar"/>
    <w:qFormat/>
    <w:rsid w:val="00D365A5"/>
    <w:pPr>
      <w:numPr>
        <w:numId w:val="5"/>
      </w:numPr>
      <w:tabs>
        <w:tab w:val="clear" w:pos="360"/>
      </w:tabs>
      <w:autoSpaceDE/>
      <w:autoSpaceDN/>
      <w:adjustRightInd/>
      <w:spacing w:line="240" w:lineRule="atLeast"/>
      <w:ind w:left="426" w:hanging="284"/>
    </w:pPr>
    <w:rPr>
      <w:rFonts w:cstheme="minorBidi"/>
      <w:szCs w:val="22"/>
    </w:rPr>
  </w:style>
  <w:style w:type="character" w:customStyle="1" w:styleId="BodyBulletChar">
    <w:name w:val="Body Bullet Char"/>
    <w:basedOn w:val="DefaultParagraphFont"/>
    <w:link w:val="BodyBullet"/>
    <w:rsid w:val="00D365A5"/>
    <w:rPr>
      <w:rFonts w:ascii="Calibri Light" w:eastAsia="Batang" w:hAnsi="Calibri Light"/>
      <w:sz w:val="20"/>
      <w:lang w:eastAsia="ko-KR"/>
    </w:rPr>
  </w:style>
  <w:style w:type="paragraph" w:customStyle="1" w:styleId="BodyBullets">
    <w:name w:val="Body Bullets"/>
    <w:link w:val="BodyBulletsChar"/>
    <w:qFormat/>
    <w:rsid w:val="00673065"/>
    <w:pPr>
      <w:numPr>
        <w:numId w:val="6"/>
      </w:numPr>
      <w:tabs>
        <w:tab w:val="left" w:pos="284"/>
      </w:tabs>
      <w:spacing w:before="57" w:after="113" w:line="250" w:lineRule="atLeast"/>
    </w:pPr>
    <w:rPr>
      <w:rFonts w:ascii="Arial" w:hAnsi="Arial"/>
      <w:color w:val="000000"/>
      <w:sz w:val="20"/>
      <w:szCs w:val="20"/>
    </w:rPr>
  </w:style>
  <w:style w:type="paragraph" w:customStyle="1" w:styleId="Pa1">
    <w:name w:val="Pa1"/>
    <w:basedOn w:val="Normal"/>
    <w:next w:val="Normal"/>
    <w:uiPriority w:val="99"/>
    <w:rsid w:val="00E90762"/>
    <w:pPr>
      <w:spacing w:after="0" w:line="191" w:lineRule="atLeast"/>
    </w:pPr>
    <w:rPr>
      <w:rFonts w:ascii="Helvetica 55 Roman" w:hAnsi="Helvetica 55 Roman" w:cstheme="minorBidi"/>
      <w:sz w:val="24"/>
      <w:szCs w:val="24"/>
    </w:rPr>
  </w:style>
  <w:style w:type="character" w:customStyle="1" w:styleId="Heading5Char">
    <w:name w:val="Heading 5 Char"/>
    <w:aliases w:val="Block Label Char"/>
    <w:basedOn w:val="DefaultParagraphFont"/>
    <w:link w:val="Heading5"/>
    <w:uiPriority w:val="1"/>
    <w:rsid w:val="00B51A27"/>
    <w:rPr>
      <w:rFonts w:asciiTheme="majorHAnsi" w:eastAsiaTheme="majorEastAsia" w:hAnsiTheme="majorHAnsi" w:cstheme="majorBidi"/>
      <w:color w:val="005C66" w:themeColor="accent1" w:themeShade="BF"/>
      <w:spacing w:val="-2"/>
      <w:szCs w:val="20"/>
      <w:lang w:eastAsia="ko-KR"/>
    </w:rPr>
  </w:style>
  <w:style w:type="table" w:customStyle="1" w:styleId="CoffeyColour2Green">
    <w:name w:val="Coffey Colour 2 (Green)"/>
    <w:basedOn w:val="TableNormal"/>
    <w:uiPriority w:val="99"/>
    <w:rsid w:val="003C56A8"/>
    <w:pPr>
      <w:spacing w:before="100" w:beforeAutospacing="1" w:after="100" w:afterAutospacing="1" w:line="240" w:lineRule="auto"/>
    </w:pPr>
    <w:rPr>
      <w:sz w:val="18"/>
      <w:szCs w:val="20"/>
    </w:rPr>
    <w:tblPr>
      <w:tblStyleRowBandSize w:val="1"/>
      <w:tblStyleColBandSize w:val="1"/>
      <w:tblBorders>
        <w:top w:val="single" w:sz="4" w:space="0" w:color="1FE9FF" w:themeColor="accent1" w:themeTint="99"/>
        <w:left w:val="single" w:sz="4" w:space="0" w:color="1FE9FF" w:themeColor="accent1" w:themeTint="99"/>
        <w:bottom w:val="single" w:sz="4" w:space="0" w:color="1FE9FF" w:themeColor="accent1" w:themeTint="99"/>
        <w:right w:val="single" w:sz="4" w:space="0" w:color="1FE9FF" w:themeColor="accent1" w:themeTint="99"/>
        <w:insideH w:val="single" w:sz="4" w:space="0" w:color="1FE9FF" w:themeColor="accent1" w:themeTint="99"/>
        <w:insideV w:val="single" w:sz="4" w:space="0" w:color="1FE9FF"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shd w:val="clear" w:color="auto" w:fill="65C5B4" w:themeFill="accent2"/>
      </w:tcPr>
    </w:tblStylePr>
    <w:tblStylePr w:type="lastRow">
      <w:tblPr/>
      <w:tcPr>
        <w:tcBorders>
          <w:top w:val="double" w:sz="4" w:space="0" w:color="1FE9FF" w:themeColor="accent1" w:themeTint="99"/>
          <w:left w:val="double" w:sz="4" w:space="0" w:color="1FE9FF" w:themeColor="accent1" w:themeTint="99"/>
          <w:bottom w:val="double" w:sz="4" w:space="0" w:color="1FE9FF" w:themeColor="accent1" w:themeTint="99"/>
          <w:right w:val="double" w:sz="4" w:space="0" w:color="1FE9FF" w:themeColor="accent1" w:themeTint="99"/>
          <w:insideH w:val="double" w:sz="4" w:space="0" w:color="1FE9FF" w:themeColor="accent1" w:themeTint="99"/>
          <w:insideV w:val="double" w:sz="4" w:space="0" w:color="1FE9FF" w:themeColor="accent1" w:themeTint="99"/>
          <w:tl2br w:val="nil"/>
          <w:tr2bl w:val="nil"/>
        </w:tcBorders>
        <w:shd w:val="clear" w:color="auto" w:fill="auto"/>
      </w:tcPr>
    </w:tblStylePr>
    <w:tblStylePr w:type="firstCol">
      <w:rPr>
        <w:b/>
        <w:i w:val="0"/>
        <w:color w:val="FFFFFF" w:themeColor="background1"/>
      </w:rPr>
      <w:tblPr/>
      <w:tcPr>
        <w:shd w:val="clear" w:color="auto" w:fill="65C5B4" w:themeFill="accent2"/>
      </w:tcPr>
    </w:tblStylePr>
    <w:tblStylePr w:type="lastCol">
      <w:tblPr/>
      <w:tcPr>
        <w:tcBorders>
          <w:top w:val="double" w:sz="4" w:space="0" w:color="1FE9FF" w:themeColor="accent1" w:themeTint="99"/>
          <w:left w:val="double" w:sz="4" w:space="0" w:color="1FE9FF" w:themeColor="accent1" w:themeTint="99"/>
          <w:bottom w:val="double" w:sz="4" w:space="0" w:color="1FE9FF" w:themeColor="accent1" w:themeTint="99"/>
          <w:right w:val="double" w:sz="4" w:space="0" w:color="1FE9FF" w:themeColor="accent1" w:themeTint="99"/>
          <w:insideH w:val="nil"/>
          <w:insideV w:val="nil"/>
          <w:tl2br w:val="nil"/>
          <w:tr2bl w:val="nil"/>
        </w:tcBorders>
        <w:shd w:val="clear" w:color="auto" w:fill="auto"/>
      </w:tcPr>
    </w:tblStylePr>
    <w:tblStylePr w:type="band1Vert">
      <w:tblPr/>
      <w:tcPr>
        <w:shd w:val="clear" w:color="auto" w:fill="E0F3EF" w:themeFill="accent2" w:themeFillTint="33"/>
      </w:tcPr>
    </w:tblStylePr>
    <w:tblStylePr w:type="band1Horz">
      <w:tblPr/>
      <w:tcPr>
        <w:shd w:val="clear" w:color="auto" w:fill="E0F3EF" w:themeFill="accent2" w:themeFillTint="33"/>
      </w:tcPr>
    </w:tblStylePr>
    <w:tblStylePr w:type="neCell">
      <w:tblPr/>
      <w:tcPr>
        <w:shd w:val="clear" w:color="auto" w:fill="65C5B4" w:themeFill="accent2"/>
      </w:tcPr>
    </w:tblStylePr>
    <w:tblStylePr w:type="swCell">
      <w:tblPr/>
      <w:tcPr>
        <w:shd w:val="clear" w:color="auto" w:fill="65C5B4" w:themeFill="accent2"/>
      </w:tcPr>
    </w:tblStylePr>
  </w:style>
  <w:style w:type="character" w:customStyle="1" w:styleId="UnresolvedMention3">
    <w:name w:val="Unresolved Mention3"/>
    <w:basedOn w:val="DefaultParagraphFont"/>
    <w:uiPriority w:val="99"/>
    <w:semiHidden/>
    <w:unhideWhenUsed/>
    <w:rsid w:val="00FC76FC"/>
    <w:rPr>
      <w:color w:val="808080"/>
      <w:shd w:val="clear" w:color="auto" w:fill="E6E6E6"/>
    </w:rPr>
  </w:style>
  <w:style w:type="paragraph" w:styleId="ListBullet">
    <w:name w:val="List Bullet"/>
    <w:aliases w:val="l,list no space after,(NECG) List Bullet,*List Bullet,lb,l1,List Bullet 1,List Bullet Char2,List Bullet Char1 Char,List Bullet Char Char Char1,List Bullet Char Char1,List Bullet Char2 Char Char,List Bullet Char Char Char Char,l11,UL"/>
    <w:basedOn w:val="BodyText"/>
    <w:uiPriority w:val="2"/>
    <w:qFormat/>
    <w:rsid w:val="00DE7437"/>
    <w:pPr>
      <w:numPr>
        <w:numId w:val="8"/>
      </w:numPr>
      <w:autoSpaceDE/>
      <w:autoSpaceDN/>
      <w:adjustRightInd/>
      <w:spacing w:before="100" w:beforeAutospacing="1" w:after="100" w:afterAutospacing="1" w:line="240" w:lineRule="atLeast"/>
      <w:contextualSpacing/>
    </w:pPr>
    <w:rPr>
      <w:rFonts w:asciiTheme="minorHAnsi" w:hAnsiTheme="minorHAnsi" w:cstheme="minorBidi"/>
      <w:szCs w:val="22"/>
    </w:rPr>
  </w:style>
  <w:style w:type="paragraph" w:styleId="ListBullet2">
    <w:name w:val="List Bullet 2"/>
    <w:basedOn w:val="BodyText"/>
    <w:uiPriority w:val="2"/>
    <w:rsid w:val="00DE7437"/>
    <w:pPr>
      <w:numPr>
        <w:ilvl w:val="1"/>
        <w:numId w:val="8"/>
      </w:numPr>
      <w:autoSpaceDE/>
      <w:autoSpaceDN/>
      <w:adjustRightInd/>
      <w:spacing w:before="100" w:beforeAutospacing="1" w:after="100" w:afterAutospacing="1" w:line="240" w:lineRule="atLeast"/>
      <w:contextualSpacing/>
    </w:pPr>
    <w:rPr>
      <w:rFonts w:asciiTheme="minorHAnsi" w:hAnsiTheme="minorHAnsi" w:cstheme="minorBidi"/>
      <w:szCs w:val="22"/>
    </w:rPr>
  </w:style>
  <w:style w:type="paragraph" w:styleId="ListBullet3">
    <w:name w:val="List Bullet 3"/>
    <w:basedOn w:val="BodyText"/>
    <w:uiPriority w:val="2"/>
    <w:rsid w:val="00DE7437"/>
    <w:pPr>
      <w:numPr>
        <w:ilvl w:val="2"/>
        <w:numId w:val="8"/>
      </w:numPr>
      <w:autoSpaceDE/>
      <w:autoSpaceDN/>
      <w:adjustRightInd/>
      <w:spacing w:before="100" w:beforeAutospacing="1" w:after="100" w:afterAutospacing="1" w:line="240" w:lineRule="atLeast"/>
      <w:contextualSpacing/>
    </w:pPr>
    <w:rPr>
      <w:rFonts w:asciiTheme="minorHAnsi" w:hAnsiTheme="minorHAnsi" w:cstheme="minorBidi"/>
      <w:szCs w:val="22"/>
    </w:rPr>
  </w:style>
  <w:style w:type="numbering" w:customStyle="1" w:styleId="ListBullets">
    <w:name w:val="ListBullets"/>
    <w:uiPriority w:val="99"/>
    <w:rsid w:val="00DE7437"/>
    <w:pPr>
      <w:numPr>
        <w:numId w:val="7"/>
      </w:numPr>
    </w:pPr>
  </w:style>
  <w:style w:type="paragraph" w:styleId="EndnoteText">
    <w:name w:val="endnote text"/>
    <w:basedOn w:val="Normal"/>
    <w:link w:val="EndnoteTextChar"/>
    <w:uiPriority w:val="99"/>
    <w:unhideWhenUsed/>
    <w:rsid w:val="006B55DF"/>
    <w:pPr>
      <w:spacing w:after="0"/>
    </w:pPr>
    <w:rPr>
      <w:sz w:val="24"/>
      <w:szCs w:val="24"/>
    </w:rPr>
  </w:style>
  <w:style w:type="character" w:customStyle="1" w:styleId="EndnoteTextChar">
    <w:name w:val="Endnote Text Char"/>
    <w:basedOn w:val="DefaultParagraphFont"/>
    <w:link w:val="EndnoteText"/>
    <w:uiPriority w:val="99"/>
    <w:rsid w:val="006B55DF"/>
    <w:rPr>
      <w:rFonts w:ascii="Calibri" w:hAnsi="Calibri" w:cs="Calibri"/>
      <w:sz w:val="24"/>
      <w:szCs w:val="24"/>
    </w:rPr>
  </w:style>
  <w:style w:type="character" w:styleId="EndnoteReference">
    <w:name w:val="endnote reference"/>
    <w:basedOn w:val="DefaultParagraphFont"/>
    <w:uiPriority w:val="99"/>
    <w:unhideWhenUsed/>
    <w:rsid w:val="006B55DF"/>
    <w:rPr>
      <w:vertAlign w:val="superscript"/>
    </w:rPr>
  </w:style>
  <w:style w:type="paragraph" w:customStyle="1" w:styleId="Name">
    <w:name w:val="Name"/>
    <w:uiPriority w:val="99"/>
    <w:semiHidden/>
    <w:rsid w:val="00210BBF"/>
    <w:pPr>
      <w:spacing w:after="200" w:line="240" w:lineRule="exact"/>
    </w:pPr>
    <w:rPr>
      <w:rFonts w:ascii="Arial" w:hAnsi="Arial" w:cs="Arial"/>
      <w:b/>
      <w:sz w:val="18"/>
      <w:szCs w:val="18"/>
    </w:rPr>
  </w:style>
  <w:style w:type="paragraph" w:styleId="NoSpacing">
    <w:name w:val="No Spacing"/>
    <w:uiPriority w:val="1"/>
    <w:qFormat/>
    <w:rsid w:val="005D634E"/>
    <w:pPr>
      <w:spacing w:after="0" w:line="240" w:lineRule="auto"/>
    </w:pPr>
    <w:rPr>
      <w:lang w:val="en-GB"/>
    </w:rPr>
  </w:style>
  <w:style w:type="paragraph" w:customStyle="1" w:styleId="Default">
    <w:name w:val="Default"/>
    <w:rsid w:val="000045DB"/>
    <w:pPr>
      <w:autoSpaceDE w:val="0"/>
      <w:autoSpaceDN w:val="0"/>
      <w:adjustRightInd w:val="0"/>
      <w:spacing w:after="0" w:line="240" w:lineRule="auto"/>
    </w:pPr>
    <w:rPr>
      <w:rFonts w:ascii="Calibri" w:hAnsi="Calibri" w:cs="Calibri"/>
      <w:color w:val="000000"/>
      <w:sz w:val="24"/>
      <w:szCs w:val="24"/>
    </w:rPr>
  </w:style>
  <w:style w:type="paragraph" w:customStyle="1" w:styleId="TableHeading0">
    <w:name w:val="Table Heading"/>
    <w:basedOn w:val="Normal"/>
    <w:uiPriority w:val="2"/>
    <w:rsid w:val="000045DB"/>
    <w:pPr>
      <w:keepNext/>
      <w:keepLines/>
      <w:autoSpaceDE/>
      <w:autoSpaceDN/>
      <w:adjustRightInd/>
      <w:spacing w:before="240"/>
      <w:contextualSpacing/>
    </w:pPr>
    <w:rPr>
      <w:rFonts w:asciiTheme="minorHAnsi" w:hAnsiTheme="minorHAnsi" w:cstheme="minorBidi"/>
      <w:b/>
      <w:sz w:val="20"/>
    </w:rPr>
  </w:style>
  <w:style w:type="paragraph" w:styleId="Title">
    <w:name w:val="Title"/>
    <w:basedOn w:val="Normal"/>
    <w:next w:val="Normal"/>
    <w:link w:val="TitleChar"/>
    <w:uiPriority w:val="99"/>
    <w:qFormat/>
    <w:rsid w:val="00863279"/>
    <w:pPr>
      <w:autoSpaceDE/>
      <w:autoSpaceDN/>
      <w:adjustRightInd/>
      <w:spacing w:after="0"/>
      <w:contextualSpacing/>
    </w:pPr>
    <w:rPr>
      <w:rFonts w:asciiTheme="majorHAnsi" w:eastAsiaTheme="majorEastAsia" w:hAnsiTheme="majorHAnsi" w:cstheme="majorBidi"/>
      <w:spacing w:val="-10"/>
      <w:kern w:val="28"/>
      <w:sz w:val="56"/>
      <w:szCs w:val="56"/>
      <w:lang w:val="en-NZ"/>
    </w:rPr>
  </w:style>
  <w:style w:type="character" w:customStyle="1" w:styleId="TitleChar">
    <w:name w:val="Title Char"/>
    <w:basedOn w:val="DefaultParagraphFont"/>
    <w:link w:val="Title"/>
    <w:uiPriority w:val="99"/>
    <w:rsid w:val="00863279"/>
    <w:rPr>
      <w:rFonts w:asciiTheme="majorHAnsi" w:eastAsiaTheme="majorEastAsia" w:hAnsiTheme="majorHAnsi" w:cstheme="majorBidi"/>
      <w:spacing w:val="-10"/>
      <w:kern w:val="28"/>
      <w:sz w:val="56"/>
      <w:szCs w:val="56"/>
      <w:lang w:val="en-NZ"/>
    </w:rPr>
  </w:style>
  <w:style w:type="table" w:customStyle="1" w:styleId="TableGrid2">
    <w:name w:val="Table Grid2"/>
    <w:basedOn w:val="TableNormal"/>
    <w:next w:val="TableGrid"/>
    <w:uiPriority w:val="59"/>
    <w:rsid w:val="00B12507"/>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B12507"/>
    <w:pPr>
      <w:spacing w:after="0" w:line="240" w:lineRule="auto"/>
    </w:pPr>
    <w:tblPr>
      <w:tblStyleRowBandSize w:val="1"/>
      <w:tblStyleColBandSize w:val="1"/>
      <w:tblBorders>
        <w:top w:val="single" w:sz="2" w:space="0" w:color="B4BBC1" w:themeColor="accent3" w:themeTint="99"/>
        <w:bottom w:val="single" w:sz="2" w:space="0" w:color="B4BBC1" w:themeColor="accent3" w:themeTint="99"/>
        <w:insideH w:val="single" w:sz="2" w:space="0" w:color="B4BBC1" w:themeColor="accent3" w:themeTint="99"/>
        <w:insideV w:val="single" w:sz="2" w:space="0" w:color="B4BBC1" w:themeColor="accent3" w:themeTint="99"/>
      </w:tblBorders>
    </w:tblPr>
    <w:tblStylePr w:type="firstRow">
      <w:rPr>
        <w:b/>
        <w:bCs/>
      </w:rPr>
      <w:tblPr/>
      <w:tcPr>
        <w:tcBorders>
          <w:top w:val="nil"/>
          <w:bottom w:val="single" w:sz="12" w:space="0" w:color="B4BBC1" w:themeColor="accent3" w:themeTint="99"/>
          <w:insideH w:val="nil"/>
          <w:insideV w:val="nil"/>
        </w:tcBorders>
        <w:shd w:val="clear" w:color="auto" w:fill="FFFFFF" w:themeFill="background1"/>
      </w:tcPr>
    </w:tblStylePr>
    <w:tblStylePr w:type="lastRow">
      <w:rPr>
        <w:b/>
        <w:bCs/>
      </w:rPr>
      <w:tblPr/>
      <w:tcPr>
        <w:tcBorders>
          <w:top w:val="double" w:sz="2" w:space="0" w:color="B4BBC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8EA" w:themeFill="accent3" w:themeFillTint="33"/>
      </w:tcPr>
    </w:tblStylePr>
    <w:tblStylePr w:type="band1Horz">
      <w:tblPr/>
      <w:tcPr>
        <w:shd w:val="clear" w:color="auto" w:fill="E6E8EA" w:themeFill="accent3" w:themeFillTint="33"/>
      </w:tcPr>
    </w:tblStylePr>
  </w:style>
  <w:style w:type="table" w:styleId="TableGridLight">
    <w:name w:val="Grid Table Light"/>
    <w:basedOn w:val="TableNormal"/>
    <w:uiPriority w:val="99"/>
    <w:rsid w:val="00BB593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2">
    <w:name w:val="List Table 2"/>
    <w:basedOn w:val="TableNormal"/>
    <w:uiPriority w:val="47"/>
    <w:rsid w:val="001C6A0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1C6A0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1C6A0D"/>
    <w:pPr>
      <w:spacing w:after="0" w:line="240" w:lineRule="auto"/>
    </w:pPr>
    <w:tblPr>
      <w:tblStyleRowBandSize w:val="1"/>
      <w:tblStyleColBandSize w:val="1"/>
      <w:tblBorders>
        <w:top w:val="single" w:sz="4" w:space="0" w:color="B4BBC1" w:themeColor="accent3" w:themeTint="99"/>
        <w:left w:val="single" w:sz="4" w:space="0" w:color="B4BBC1" w:themeColor="accent3" w:themeTint="99"/>
        <w:bottom w:val="single" w:sz="4" w:space="0" w:color="B4BBC1" w:themeColor="accent3" w:themeTint="99"/>
        <w:right w:val="single" w:sz="4" w:space="0" w:color="B4BBC1" w:themeColor="accent3" w:themeTint="99"/>
        <w:insideH w:val="single" w:sz="4" w:space="0" w:color="B4BBC1" w:themeColor="accent3" w:themeTint="99"/>
      </w:tblBorders>
    </w:tblPr>
    <w:tblStylePr w:type="firstRow">
      <w:rPr>
        <w:b/>
        <w:bCs/>
        <w:color w:val="FFFFFF" w:themeColor="background1"/>
      </w:rPr>
      <w:tblPr/>
      <w:tcPr>
        <w:tcBorders>
          <w:top w:val="single" w:sz="4" w:space="0" w:color="838E99" w:themeColor="accent3"/>
          <w:left w:val="single" w:sz="4" w:space="0" w:color="838E99" w:themeColor="accent3"/>
          <w:bottom w:val="single" w:sz="4" w:space="0" w:color="838E99" w:themeColor="accent3"/>
          <w:right w:val="single" w:sz="4" w:space="0" w:color="838E99" w:themeColor="accent3"/>
          <w:insideH w:val="nil"/>
        </w:tcBorders>
        <w:shd w:val="clear" w:color="auto" w:fill="838E99" w:themeFill="accent3"/>
      </w:tcPr>
    </w:tblStylePr>
    <w:tblStylePr w:type="lastRow">
      <w:rPr>
        <w:b/>
        <w:bCs/>
      </w:rPr>
      <w:tblPr/>
      <w:tcPr>
        <w:tcBorders>
          <w:top w:val="double" w:sz="4" w:space="0" w:color="B4BBC1" w:themeColor="accent3" w:themeTint="99"/>
        </w:tcBorders>
      </w:tcPr>
    </w:tblStylePr>
    <w:tblStylePr w:type="firstCol">
      <w:rPr>
        <w:b/>
        <w:bCs/>
      </w:rPr>
    </w:tblStylePr>
    <w:tblStylePr w:type="lastCol">
      <w:rPr>
        <w:b/>
        <w:bCs/>
      </w:rPr>
    </w:tblStylePr>
    <w:tblStylePr w:type="band1Vert">
      <w:tblPr/>
      <w:tcPr>
        <w:shd w:val="clear" w:color="auto" w:fill="E6E8EA" w:themeFill="accent3" w:themeFillTint="33"/>
      </w:tcPr>
    </w:tblStylePr>
    <w:tblStylePr w:type="band1Horz">
      <w:tblPr/>
      <w:tcPr>
        <w:shd w:val="clear" w:color="auto" w:fill="E6E8EA" w:themeFill="accent3" w:themeFillTint="33"/>
      </w:tcPr>
    </w:tblStylePr>
  </w:style>
  <w:style w:type="table" w:styleId="ListTable6Colorful">
    <w:name w:val="List Table 6 Colorful"/>
    <w:basedOn w:val="TableNormal"/>
    <w:uiPriority w:val="51"/>
    <w:rsid w:val="001C6A0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99"/>
    <w:rsid w:val="001C6A0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1C6A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8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E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E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E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E99" w:themeFill="accent3"/>
      </w:tcPr>
    </w:tblStylePr>
    <w:tblStylePr w:type="band1Vert">
      <w:tblPr/>
      <w:tcPr>
        <w:shd w:val="clear" w:color="auto" w:fill="CDD1D6" w:themeFill="accent3" w:themeFillTint="66"/>
      </w:tcPr>
    </w:tblStylePr>
    <w:tblStylePr w:type="band1Horz">
      <w:tblPr/>
      <w:tcPr>
        <w:shd w:val="clear" w:color="auto" w:fill="CDD1D6" w:themeFill="accent3" w:themeFillTint="66"/>
      </w:tcPr>
    </w:tblStylePr>
  </w:style>
  <w:style w:type="table" w:styleId="GridTable5Dark-Accent5">
    <w:name w:val="Grid Table 5 Dark Accent 5"/>
    <w:basedOn w:val="TableNormal"/>
    <w:uiPriority w:val="50"/>
    <w:rsid w:val="001C6A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tblStylePr w:type="band1Vert">
      <w:tblPr/>
      <w:tcPr>
        <w:shd w:val="clear" w:color="auto" w:fill="FFFFFF" w:themeFill="accent5" w:themeFillTint="66"/>
      </w:tcPr>
    </w:tblStylePr>
    <w:tblStylePr w:type="band1Horz">
      <w:tblPr/>
      <w:tcPr>
        <w:shd w:val="clear" w:color="auto" w:fill="FFFFFF" w:themeFill="accent5" w:themeFillTint="66"/>
      </w:tcPr>
    </w:tblStylePr>
  </w:style>
  <w:style w:type="table" w:customStyle="1" w:styleId="TableGridLight100">
    <w:name w:val="Table Grid Light100"/>
    <w:basedOn w:val="TableNormal"/>
    <w:next w:val="TableGridLight10"/>
    <w:uiPriority w:val="40"/>
    <w:rsid w:val="00FA21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000">
    <w:name w:val="Table Grid Light1000"/>
    <w:basedOn w:val="TableNormal"/>
    <w:next w:val="TableGridLight100"/>
    <w:uiPriority w:val="40"/>
    <w:rsid w:val="00EF57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0000">
    <w:name w:val="Table Grid Light10000"/>
    <w:basedOn w:val="TableNormal"/>
    <w:next w:val="TableGridLight1000"/>
    <w:uiPriority w:val="40"/>
    <w:rsid w:val="00E648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301880"/>
    <w:rPr>
      <w:rFonts w:ascii="Arial" w:eastAsia="Arial" w:hAnsi="Arial" w:cs="Times New Roman"/>
      <w:b/>
      <w:sz w:val="20"/>
      <w:szCs w:val="20"/>
    </w:rPr>
  </w:style>
  <w:style w:type="character" w:customStyle="1" w:styleId="Heading7Char">
    <w:name w:val="Heading 7 Char"/>
    <w:basedOn w:val="DefaultParagraphFont"/>
    <w:link w:val="Heading7"/>
    <w:uiPriority w:val="99"/>
    <w:rsid w:val="00301880"/>
    <w:rPr>
      <w:rFonts w:ascii="Arial" w:eastAsia="MS PGothic" w:hAnsi="Arial" w:cs="Times New Roman"/>
      <w:i/>
      <w:iCs/>
      <w:color w:val="404040"/>
      <w:sz w:val="20"/>
      <w:szCs w:val="20"/>
    </w:rPr>
  </w:style>
  <w:style w:type="character" w:customStyle="1" w:styleId="Heading8Char">
    <w:name w:val="Heading 8 Char"/>
    <w:basedOn w:val="DefaultParagraphFont"/>
    <w:link w:val="Heading8"/>
    <w:uiPriority w:val="99"/>
    <w:rsid w:val="00301880"/>
    <w:rPr>
      <w:rFonts w:ascii="Arial" w:eastAsia="MS PGothic" w:hAnsi="Arial" w:cs="Times New Roman"/>
      <w:color w:val="404040"/>
      <w:sz w:val="20"/>
      <w:szCs w:val="20"/>
    </w:rPr>
  </w:style>
  <w:style w:type="character" w:customStyle="1" w:styleId="Heading9Char">
    <w:name w:val="Heading 9 Char"/>
    <w:basedOn w:val="DefaultParagraphFont"/>
    <w:link w:val="Heading9"/>
    <w:uiPriority w:val="99"/>
    <w:rsid w:val="00301880"/>
    <w:rPr>
      <w:rFonts w:ascii="Arial" w:eastAsia="MS PGothic" w:hAnsi="Arial" w:cs="Times New Roman"/>
      <w:i/>
      <w:iCs/>
      <w:color w:val="404040"/>
      <w:sz w:val="20"/>
      <w:szCs w:val="20"/>
    </w:rPr>
  </w:style>
  <w:style w:type="table" w:customStyle="1" w:styleId="Coffeydefaulttable">
    <w:name w:val="Coffey default table"/>
    <w:basedOn w:val="TableNormal"/>
    <w:uiPriority w:val="99"/>
    <w:rsid w:val="00301880"/>
    <w:pPr>
      <w:spacing w:after="0" w:line="240" w:lineRule="auto"/>
    </w:pPr>
    <w:rPr>
      <w:rFonts w:ascii="Arial" w:eastAsia="Arial" w:hAnsi="Arial" w:cs="Times New Roman"/>
      <w:sz w:val="18"/>
      <w:szCs w:val="20"/>
      <w:lang w:eastAsia="en-AU"/>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rPr>
      <w:cantSplit/>
    </w:trPr>
    <w:tblStylePr w:type="firstRow">
      <w:rPr>
        <w:b/>
        <w:caps w:val="0"/>
        <w:smallCaps w:val="0"/>
      </w:rPr>
      <w:tblPr/>
      <w:trPr>
        <w:tblHeader/>
      </w:trPr>
      <w:tcPr>
        <w:tcBorders>
          <w:bottom w:val="single" w:sz="4" w:space="0" w:color="auto"/>
        </w:tcBorders>
        <w:shd w:val="clear" w:color="auto" w:fill="D9D9D9"/>
      </w:tcPr>
    </w:tblStylePr>
    <w:tblStylePr w:type="lastRow">
      <w:rPr>
        <w:b/>
      </w:rPr>
      <w:tblPr/>
      <w:tcPr>
        <w:shd w:val="clear" w:color="auto" w:fill="D9D9D9"/>
      </w:tcPr>
    </w:tblStylePr>
  </w:style>
  <w:style w:type="paragraph" w:customStyle="1" w:styleId="BigText0">
    <w:name w:val="Big Text"/>
    <w:basedOn w:val="BodyText"/>
    <w:link w:val="BigTextChar"/>
    <w:uiPriority w:val="3"/>
    <w:qFormat/>
    <w:rsid w:val="00301880"/>
    <w:pPr>
      <w:autoSpaceDE/>
      <w:autoSpaceDN/>
      <w:adjustRightInd/>
      <w:spacing w:before="200" w:after="200" w:line="264" w:lineRule="auto"/>
    </w:pPr>
    <w:rPr>
      <w:rFonts w:ascii="Helvetica LT Std" w:eastAsia="Arial" w:hAnsi="Helvetica LT Std" w:cs="Times New Roman"/>
      <w:sz w:val="24"/>
      <w:szCs w:val="28"/>
    </w:rPr>
  </w:style>
  <w:style w:type="paragraph" w:styleId="ListNumber">
    <w:name w:val="List Number"/>
    <w:basedOn w:val="Normal"/>
    <w:uiPriority w:val="73"/>
    <w:rsid w:val="00301880"/>
    <w:pPr>
      <w:keepLines/>
      <w:numPr>
        <w:numId w:val="10"/>
      </w:numPr>
      <w:autoSpaceDE/>
      <w:autoSpaceDN/>
      <w:adjustRightInd/>
      <w:spacing w:line="264" w:lineRule="auto"/>
      <w:ind w:left="357" w:hanging="357"/>
      <w:jc w:val="left"/>
    </w:pPr>
    <w:rPr>
      <w:rFonts w:ascii="Arial" w:eastAsia="Arial" w:hAnsi="Arial" w:cs="Times New Roman"/>
      <w:spacing w:val="0"/>
      <w:sz w:val="20"/>
      <w:lang w:eastAsia="en-US"/>
    </w:rPr>
  </w:style>
  <w:style w:type="paragraph" w:customStyle="1" w:styleId="ContentsHeading">
    <w:name w:val="Contents Heading"/>
    <w:basedOn w:val="Normal"/>
    <w:next w:val="BodyText"/>
    <w:link w:val="ContentsHeadingChar"/>
    <w:uiPriority w:val="99"/>
    <w:rsid w:val="00301880"/>
    <w:pPr>
      <w:autoSpaceDE/>
      <w:autoSpaceDN/>
      <w:adjustRightInd/>
      <w:spacing w:before="480" w:after="240" w:line="264" w:lineRule="auto"/>
      <w:contextualSpacing/>
      <w:jc w:val="left"/>
    </w:pPr>
    <w:rPr>
      <w:rFonts w:ascii="Arial" w:eastAsia="Arial" w:hAnsi="Arial" w:cs="Times New Roman"/>
      <w:b/>
      <w:spacing w:val="0"/>
      <w:sz w:val="44"/>
      <w:szCs w:val="40"/>
      <w:lang w:eastAsia="en-US"/>
    </w:rPr>
  </w:style>
  <w:style w:type="paragraph" w:customStyle="1" w:styleId="Disclaimer">
    <w:name w:val="Disclaimer"/>
    <w:basedOn w:val="Normal"/>
    <w:uiPriority w:val="99"/>
    <w:rsid w:val="00301880"/>
    <w:pPr>
      <w:autoSpaceDE/>
      <w:autoSpaceDN/>
      <w:adjustRightInd/>
      <w:spacing w:before="60" w:after="60" w:line="264" w:lineRule="auto"/>
      <w:jc w:val="left"/>
    </w:pPr>
    <w:rPr>
      <w:rFonts w:ascii="Arial" w:eastAsia="Arial" w:hAnsi="Arial" w:cs="Times New Roman"/>
      <w:spacing w:val="0"/>
      <w:sz w:val="16"/>
      <w:szCs w:val="14"/>
      <w:lang w:eastAsia="en-US"/>
    </w:rPr>
  </w:style>
  <w:style w:type="paragraph" w:customStyle="1" w:styleId="TableText">
    <w:name w:val="Table Text"/>
    <w:basedOn w:val="Normal"/>
    <w:uiPriority w:val="99"/>
    <w:rsid w:val="00301880"/>
    <w:pPr>
      <w:autoSpaceDE/>
      <w:autoSpaceDN/>
      <w:adjustRightInd/>
      <w:spacing w:before="60" w:after="60" w:line="264" w:lineRule="auto"/>
      <w:jc w:val="left"/>
    </w:pPr>
    <w:rPr>
      <w:rFonts w:ascii="Arial" w:eastAsia="Arial" w:hAnsi="Arial" w:cs="Times New Roman"/>
      <w:spacing w:val="0"/>
      <w:sz w:val="18"/>
      <w:szCs w:val="14"/>
      <w:lang w:eastAsia="en-US"/>
    </w:rPr>
  </w:style>
  <w:style w:type="paragraph" w:customStyle="1" w:styleId="TableBullet">
    <w:name w:val="Table Bullet"/>
    <w:basedOn w:val="BodyText"/>
    <w:uiPriority w:val="99"/>
    <w:rsid w:val="00301880"/>
    <w:pPr>
      <w:numPr>
        <w:numId w:val="11"/>
      </w:numPr>
      <w:autoSpaceDE/>
      <w:autoSpaceDN/>
      <w:adjustRightInd/>
      <w:spacing w:before="60" w:after="60" w:line="264" w:lineRule="auto"/>
    </w:pPr>
    <w:rPr>
      <w:rFonts w:ascii="Helvetica LT Std" w:eastAsia="Arial" w:hAnsi="Helvetica LT Std" w:cs="Times New Roman"/>
      <w:sz w:val="19"/>
      <w:lang w:eastAsia="en-US"/>
    </w:rPr>
  </w:style>
  <w:style w:type="paragraph" w:customStyle="1" w:styleId="SourceText">
    <w:name w:val="Source Text"/>
    <w:basedOn w:val="Normal"/>
    <w:next w:val="BodyText"/>
    <w:uiPriority w:val="3"/>
    <w:rsid w:val="00301880"/>
    <w:pPr>
      <w:autoSpaceDE/>
      <w:autoSpaceDN/>
      <w:adjustRightInd/>
      <w:spacing w:after="240" w:line="264" w:lineRule="auto"/>
      <w:jc w:val="left"/>
    </w:pPr>
    <w:rPr>
      <w:rFonts w:ascii="Arial" w:eastAsia="Arial" w:hAnsi="Arial" w:cs="Times New Roman"/>
      <w:spacing w:val="0"/>
      <w:sz w:val="18"/>
      <w:szCs w:val="14"/>
      <w:lang w:eastAsia="en-US"/>
    </w:rPr>
  </w:style>
  <w:style w:type="table" w:customStyle="1" w:styleId="CoffeyTimelineTable">
    <w:name w:val="Coffey Timeline Table"/>
    <w:basedOn w:val="TableNormal"/>
    <w:uiPriority w:val="99"/>
    <w:rsid w:val="00301880"/>
    <w:pPr>
      <w:spacing w:after="0" w:line="240" w:lineRule="auto"/>
    </w:pPr>
    <w:rPr>
      <w:rFonts w:ascii="Arial" w:eastAsia="Arial" w:hAnsi="Arial" w:cs="Times New Roman"/>
      <w:sz w:val="18"/>
      <w:szCs w:val="20"/>
      <w:lang w:eastAsia="en-AU"/>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27" w:type="dxa"/>
        <w:left w:w="113" w:type="dxa"/>
        <w:bottom w:w="170" w:type="dxa"/>
        <w:right w:w="113" w:type="dxa"/>
      </w:tblCellMar>
    </w:tblPr>
    <w:tcPr>
      <w:shd w:val="clear" w:color="auto" w:fill="F2F2F2"/>
    </w:tcPr>
    <w:tblStylePr w:type="firstRow">
      <w:rPr>
        <w:b/>
        <w:caps w:val="0"/>
        <w:smallCaps w:val="0"/>
        <w:color w:val="auto"/>
      </w:rPr>
      <w:tblPr/>
      <w:tcPr>
        <w:shd w:val="clear" w:color="auto" w:fill="D9D9D9"/>
      </w:tcPr>
    </w:tblStylePr>
    <w:tblStylePr w:type="firstCol">
      <w:rPr>
        <w:b/>
        <w:caps w:val="0"/>
        <w:smallCaps w:val="0"/>
        <w:color w:val="auto"/>
      </w:rPr>
      <w:tblPr/>
      <w:tcPr>
        <w:shd w:val="clear" w:color="auto" w:fill="D9D9D9"/>
      </w:tcPr>
    </w:tblStylePr>
  </w:style>
  <w:style w:type="paragraph" w:styleId="Subtitle">
    <w:name w:val="Subtitle"/>
    <w:basedOn w:val="Normal"/>
    <w:link w:val="SubtitleChar"/>
    <w:uiPriority w:val="11"/>
    <w:rsid w:val="00301880"/>
    <w:pPr>
      <w:autoSpaceDE/>
      <w:autoSpaceDN/>
      <w:adjustRightInd/>
      <w:spacing w:before="0" w:after="0" w:line="264" w:lineRule="auto"/>
      <w:jc w:val="left"/>
    </w:pPr>
    <w:rPr>
      <w:rFonts w:ascii="Arial" w:eastAsia="Arial" w:hAnsi="Arial" w:cs="Times New Roman"/>
      <w:spacing w:val="0"/>
      <w:sz w:val="32"/>
      <w:szCs w:val="36"/>
      <w:lang w:eastAsia="en-US"/>
    </w:rPr>
  </w:style>
  <w:style w:type="character" w:customStyle="1" w:styleId="SubtitleChar">
    <w:name w:val="Subtitle Char"/>
    <w:basedOn w:val="DefaultParagraphFont"/>
    <w:link w:val="Subtitle"/>
    <w:uiPriority w:val="11"/>
    <w:rsid w:val="00301880"/>
    <w:rPr>
      <w:rFonts w:ascii="Arial" w:eastAsia="Arial" w:hAnsi="Arial" w:cs="Times New Roman"/>
      <w:sz w:val="32"/>
      <w:szCs w:val="36"/>
    </w:rPr>
  </w:style>
  <w:style w:type="paragraph" w:styleId="TableofFigures">
    <w:name w:val="table of figures"/>
    <w:basedOn w:val="Normal"/>
    <w:next w:val="Normal"/>
    <w:uiPriority w:val="99"/>
    <w:unhideWhenUsed/>
    <w:rsid w:val="00301880"/>
    <w:pPr>
      <w:autoSpaceDE/>
      <w:autoSpaceDN/>
      <w:adjustRightInd/>
      <w:spacing w:before="0" w:after="0" w:line="264" w:lineRule="auto"/>
      <w:jc w:val="left"/>
    </w:pPr>
    <w:rPr>
      <w:rFonts w:ascii="Arial" w:eastAsia="Arial" w:hAnsi="Arial" w:cs="Times New Roman"/>
      <w:spacing w:val="0"/>
      <w:sz w:val="20"/>
      <w:lang w:eastAsia="en-US"/>
    </w:rPr>
  </w:style>
  <w:style w:type="paragraph" w:styleId="Caption">
    <w:name w:val="caption"/>
    <w:basedOn w:val="Normal"/>
    <w:next w:val="Normal"/>
    <w:uiPriority w:val="4"/>
    <w:rsid w:val="00301880"/>
    <w:pPr>
      <w:autoSpaceDE/>
      <w:autoSpaceDN/>
      <w:adjustRightInd/>
      <w:spacing w:before="240" w:line="264" w:lineRule="auto"/>
      <w:contextualSpacing/>
      <w:jc w:val="left"/>
    </w:pPr>
    <w:rPr>
      <w:rFonts w:ascii="Arial" w:eastAsia="Arial" w:hAnsi="Arial" w:cs="Times New Roman"/>
      <w:b/>
      <w:bCs/>
      <w:spacing w:val="0"/>
      <w:sz w:val="20"/>
      <w:szCs w:val="18"/>
      <w:lang w:eastAsia="en-US"/>
    </w:rPr>
  </w:style>
  <w:style w:type="paragraph" w:customStyle="1" w:styleId="Calloutbox">
    <w:name w:val="Call out box"/>
    <w:basedOn w:val="Normal"/>
    <w:next w:val="BodyText"/>
    <w:uiPriority w:val="99"/>
    <w:rsid w:val="00301880"/>
    <w:pPr>
      <w:framePr w:w="1418" w:vSpace="284" w:wrap="around" w:vAnchor="text" w:hAnchor="page" w:x="1441" w:y="69"/>
      <w:pBdr>
        <w:top w:val="single" w:sz="4" w:space="7" w:color="000000"/>
        <w:left w:val="single" w:sz="4" w:space="7" w:color="000000"/>
        <w:bottom w:val="single" w:sz="4" w:space="7" w:color="000000"/>
        <w:right w:val="single" w:sz="4" w:space="7" w:color="000000"/>
      </w:pBdr>
      <w:shd w:val="solid" w:color="FFFFFF" w:fill="FFFFFF"/>
      <w:autoSpaceDE/>
      <w:autoSpaceDN/>
      <w:adjustRightInd/>
      <w:spacing w:before="0" w:after="0" w:line="264" w:lineRule="auto"/>
      <w:jc w:val="left"/>
    </w:pPr>
    <w:rPr>
      <w:rFonts w:ascii="Arial" w:eastAsia="Calibri" w:hAnsi="Arial"/>
      <w:b/>
      <w:i/>
      <w:spacing w:val="0"/>
      <w:sz w:val="20"/>
      <w:lang w:eastAsia="en-US"/>
    </w:rPr>
  </w:style>
  <w:style w:type="paragraph" w:styleId="TOC4">
    <w:name w:val="toc 4"/>
    <w:basedOn w:val="Normal"/>
    <w:next w:val="Normal"/>
    <w:autoRedefine/>
    <w:uiPriority w:val="39"/>
    <w:unhideWhenUsed/>
    <w:rsid w:val="00301880"/>
    <w:pPr>
      <w:autoSpaceDE/>
      <w:autoSpaceDN/>
      <w:adjustRightInd/>
      <w:spacing w:before="0" w:after="100"/>
      <w:ind w:left="600"/>
      <w:jc w:val="left"/>
    </w:pPr>
    <w:rPr>
      <w:rFonts w:ascii="Arial" w:eastAsia="Arial" w:hAnsi="Arial" w:cs="Times New Roman"/>
      <w:spacing w:val="0"/>
      <w:sz w:val="20"/>
      <w:lang w:eastAsia="en-US"/>
    </w:rPr>
  </w:style>
  <w:style w:type="paragraph" w:styleId="Quote">
    <w:name w:val="Quote"/>
    <w:basedOn w:val="Normal"/>
    <w:next w:val="Normal"/>
    <w:link w:val="QuoteChar"/>
    <w:uiPriority w:val="3"/>
    <w:rsid w:val="00301880"/>
    <w:pPr>
      <w:keepLines/>
      <w:autoSpaceDE/>
      <w:autoSpaceDN/>
      <w:adjustRightInd/>
      <w:spacing w:before="240" w:after="240" w:line="264" w:lineRule="auto"/>
      <w:ind w:left="284"/>
      <w:jc w:val="left"/>
    </w:pPr>
    <w:rPr>
      <w:rFonts w:ascii="Arial" w:eastAsia="Arial" w:hAnsi="Arial" w:cs="Times New Roman"/>
      <w:i/>
      <w:iCs/>
      <w:color w:val="000000"/>
      <w:spacing w:val="0"/>
      <w:sz w:val="20"/>
      <w:lang w:eastAsia="en-US"/>
    </w:rPr>
  </w:style>
  <w:style w:type="character" w:customStyle="1" w:styleId="QuoteChar">
    <w:name w:val="Quote Char"/>
    <w:basedOn w:val="DefaultParagraphFont"/>
    <w:link w:val="Quote"/>
    <w:uiPriority w:val="3"/>
    <w:rsid w:val="00301880"/>
    <w:rPr>
      <w:rFonts w:ascii="Arial" w:eastAsia="Arial" w:hAnsi="Arial" w:cs="Times New Roman"/>
      <w:i/>
      <w:iCs/>
      <w:color w:val="000000"/>
      <w:sz w:val="20"/>
      <w:szCs w:val="20"/>
    </w:rPr>
  </w:style>
  <w:style w:type="paragraph" w:customStyle="1" w:styleId="Annexheading">
    <w:name w:val="Annex heading"/>
    <w:basedOn w:val="Normal"/>
    <w:next w:val="BodyText"/>
    <w:uiPriority w:val="99"/>
    <w:rsid w:val="00301880"/>
    <w:pPr>
      <w:autoSpaceDE/>
      <w:autoSpaceDN/>
      <w:adjustRightInd/>
      <w:spacing w:before="480" w:line="264" w:lineRule="auto"/>
      <w:contextualSpacing/>
      <w:jc w:val="left"/>
    </w:pPr>
    <w:rPr>
      <w:rFonts w:ascii="Arial" w:eastAsia="Arial" w:hAnsi="Arial" w:cs="Times New Roman"/>
      <w:b/>
      <w:spacing w:val="0"/>
      <w:sz w:val="40"/>
      <w:szCs w:val="40"/>
      <w:lang w:eastAsia="en-US"/>
    </w:rPr>
  </w:style>
  <w:style w:type="table" w:customStyle="1" w:styleId="CoffeyGrey">
    <w:name w:val="Coffey Grey"/>
    <w:basedOn w:val="TableGrid"/>
    <w:uiPriority w:val="99"/>
    <w:rsid w:val="00301880"/>
    <w:pPr>
      <w:spacing w:before="100" w:after="100" w:line="360" w:lineRule="auto"/>
    </w:pPr>
    <w:rPr>
      <w:rFonts w:ascii="Arial" w:eastAsia="Arial" w:hAnsi="Arial" w:cs="Times New Roman"/>
      <w:sz w:val="20"/>
      <w:szCs w:val="20"/>
      <w:lang w:eastAsia="en-AU"/>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rFonts w:ascii="Bauhaus 93" w:hAnsi="Bauhaus 93"/>
        <w:b/>
        <w:color w:val="FFFFFF" w:themeColor="background1"/>
        <w:sz w:val="18"/>
      </w:rPr>
      <w:tblPr/>
      <w:tcPr>
        <w:shd w:val="clear" w:color="auto" w:fill="D9D9D9"/>
      </w:tcPr>
    </w:tblStylePr>
  </w:style>
  <w:style w:type="paragraph" w:customStyle="1" w:styleId="BasicParagraph">
    <w:name w:val="[Basic Paragraph]"/>
    <w:basedOn w:val="Normal"/>
    <w:uiPriority w:val="99"/>
    <w:rsid w:val="00301880"/>
    <w:pPr>
      <w:spacing w:before="0" w:after="0" w:line="288" w:lineRule="auto"/>
      <w:jc w:val="left"/>
      <w:textAlignment w:val="center"/>
    </w:pPr>
    <w:rPr>
      <w:rFonts w:ascii="Minion Pro" w:eastAsia="Arial" w:hAnsi="Minion Pro" w:cs="Minion Pro"/>
      <w:color w:val="000000"/>
      <w:spacing w:val="0"/>
      <w:sz w:val="24"/>
      <w:szCs w:val="24"/>
      <w:lang w:val="en-GB" w:eastAsia="en-US"/>
    </w:rPr>
  </w:style>
  <w:style w:type="paragraph" w:customStyle="1" w:styleId="Pa81">
    <w:name w:val="Pa8_1"/>
    <w:basedOn w:val="Default"/>
    <w:next w:val="Default"/>
    <w:uiPriority w:val="99"/>
    <w:rsid w:val="00301880"/>
    <w:pPr>
      <w:spacing w:line="401" w:lineRule="atLeast"/>
    </w:pPr>
    <w:rPr>
      <w:rFonts w:ascii="HelveticaNeueLT Std Lt" w:eastAsia="Arial" w:hAnsi="HelveticaNeueLT Std Lt" w:cs="Times New Roman"/>
      <w:color w:val="auto"/>
      <w:lang w:val="en-US" w:eastAsia="en-AU"/>
    </w:rPr>
  </w:style>
  <w:style w:type="paragraph" w:customStyle="1" w:styleId="CoverPage">
    <w:name w:val="Cover Page"/>
    <w:basedOn w:val="BigText0"/>
    <w:link w:val="CoverPageChar"/>
    <w:uiPriority w:val="99"/>
    <w:rsid w:val="00301880"/>
    <w:pPr>
      <w:spacing w:before="0" w:after="0"/>
    </w:pPr>
    <w:rPr>
      <w:rFonts w:ascii="HelveticaNeueLT Std Lt" w:hAnsi="HelveticaNeueLT Std Lt"/>
      <w:sz w:val="44"/>
    </w:rPr>
  </w:style>
  <w:style w:type="character" w:customStyle="1" w:styleId="A3">
    <w:name w:val="A3"/>
    <w:uiPriority w:val="99"/>
    <w:rsid w:val="00301880"/>
    <w:rPr>
      <w:rFonts w:cs="Helvetica LT Std"/>
      <w:color w:val="221E1F"/>
      <w:sz w:val="20"/>
      <w:szCs w:val="20"/>
    </w:rPr>
  </w:style>
  <w:style w:type="character" w:customStyle="1" w:styleId="BigTextChar">
    <w:name w:val="Big Text Char"/>
    <w:basedOn w:val="BodyTextChar"/>
    <w:link w:val="BigText0"/>
    <w:uiPriority w:val="3"/>
    <w:rsid w:val="00301880"/>
    <w:rPr>
      <w:rFonts w:ascii="Helvetica LT Std" w:eastAsia="Arial" w:hAnsi="Helvetica LT Std" w:cs="Times New Roman"/>
      <w:sz w:val="24"/>
      <w:szCs w:val="28"/>
      <w:lang w:eastAsia="ko-KR"/>
    </w:rPr>
  </w:style>
  <w:style w:type="character" w:customStyle="1" w:styleId="CoverPageChar">
    <w:name w:val="Cover Page Char"/>
    <w:basedOn w:val="BigTextChar"/>
    <w:link w:val="CoverPage"/>
    <w:uiPriority w:val="99"/>
    <w:rsid w:val="00301880"/>
    <w:rPr>
      <w:rFonts w:ascii="HelveticaNeueLT Std Lt" w:eastAsia="Arial" w:hAnsi="HelveticaNeueLT Std Lt" w:cs="Times New Roman"/>
      <w:sz w:val="44"/>
      <w:szCs w:val="28"/>
      <w:lang w:eastAsia="ko-KR"/>
    </w:rPr>
  </w:style>
  <w:style w:type="character" w:customStyle="1" w:styleId="A4">
    <w:name w:val="A4"/>
    <w:uiPriority w:val="99"/>
    <w:rsid w:val="00301880"/>
    <w:rPr>
      <w:rFonts w:cs="Helvetica LT Std"/>
      <w:color w:val="221E1F"/>
      <w:sz w:val="16"/>
      <w:szCs w:val="16"/>
    </w:rPr>
  </w:style>
  <w:style w:type="paragraph" w:customStyle="1" w:styleId="Pa6">
    <w:name w:val="Pa6"/>
    <w:basedOn w:val="Default"/>
    <w:next w:val="Default"/>
    <w:uiPriority w:val="99"/>
    <w:rsid w:val="00301880"/>
    <w:pPr>
      <w:spacing w:line="241" w:lineRule="atLeast"/>
    </w:pPr>
    <w:rPr>
      <w:rFonts w:ascii="Helvetica LT Std" w:eastAsia="Arial" w:hAnsi="Helvetica LT Std" w:cs="Times New Roman"/>
      <w:color w:val="auto"/>
      <w:lang w:val="en-US" w:eastAsia="en-AU"/>
    </w:rPr>
  </w:style>
  <w:style w:type="paragraph" w:styleId="NormalWeb">
    <w:name w:val="Normal (Web)"/>
    <w:basedOn w:val="Normal"/>
    <w:uiPriority w:val="99"/>
    <w:unhideWhenUsed/>
    <w:rsid w:val="00301880"/>
    <w:pPr>
      <w:autoSpaceDE/>
      <w:autoSpaceDN/>
      <w:adjustRightInd/>
      <w:spacing w:before="0" w:after="0"/>
      <w:jc w:val="left"/>
    </w:pPr>
    <w:rPr>
      <w:rFonts w:eastAsiaTheme="minorHAnsi" w:cs="Calibri"/>
      <w:spacing w:val="0"/>
      <w:szCs w:val="22"/>
      <w:lang w:eastAsia="en-US"/>
    </w:rPr>
  </w:style>
  <w:style w:type="paragraph" w:customStyle="1" w:styleId="2ndLevelBullets">
    <w:name w:val="2nd Level Bullets"/>
    <w:basedOn w:val="ListParagraph"/>
    <w:qFormat/>
    <w:rsid w:val="00301880"/>
    <w:pPr>
      <w:numPr>
        <w:numId w:val="12"/>
      </w:numPr>
      <w:autoSpaceDE w:val="0"/>
      <w:autoSpaceDN w:val="0"/>
      <w:adjustRightInd w:val="0"/>
      <w:spacing w:before="60" w:beforeAutospacing="0" w:after="60" w:afterAutospacing="0" w:line="233" w:lineRule="auto"/>
      <w:ind w:left="709"/>
      <w:contextualSpacing w:val="0"/>
      <w:jc w:val="left"/>
    </w:pPr>
    <w:rPr>
      <w:rFonts w:ascii="Helvetica LT Std" w:hAnsi="Helvetica LT Std" w:cstheme="minorHAnsi"/>
      <w:spacing w:val="0"/>
      <w:sz w:val="19"/>
      <w:szCs w:val="19"/>
      <w:lang w:val="en-US"/>
    </w:rPr>
  </w:style>
  <w:style w:type="paragraph" w:customStyle="1" w:styleId="Address">
    <w:name w:val="Address"/>
    <w:link w:val="AddressChar"/>
    <w:rsid w:val="00301880"/>
    <w:pPr>
      <w:spacing w:after="200" w:line="210" w:lineRule="exact"/>
    </w:pPr>
    <w:rPr>
      <w:rFonts w:ascii="Arial" w:hAnsi="Arial" w:cs="Arial"/>
      <w:sz w:val="18"/>
      <w:szCs w:val="18"/>
    </w:rPr>
  </w:style>
  <w:style w:type="character" w:customStyle="1" w:styleId="AddressChar">
    <w:name w:val="Address Char"/>
    <w:basedOn w:val="DefaultParagraphFont"/>
    <w:link w:val="Address"/>
    <w:rsid w:val="00301880"/>
    <w:rPr>
      <w:rFonts w:ascii="Arial" w:hAnsi="Arial" w:cs="Arial"/>
      <w:sz w:val="18"/>
      <w:szCs w:val="18"/>
    </w:rPr>
  </w:style>
  <w:style w:type="paragraph" w:customStyle="1" w:styleId="Company">
    <w:name w:val="Company"/>
    <w:link w:val="CompanyChar"/>
    <w:uiPriority w:val="99"/>
    <w:semiHidden/>
    <w:rsid w:val="00301880"/>
    <w:pPr>
      <w:spacing w:after="200" w:line="240" w:lineRule="auto"/>
    </w:pPr>
    <w:rPr>
      <w:rFonts w:ascii="Arial" w:hAnsi="Arial" w:cs="Arial"/>
      <w:b/>
      <w:sz w:val="18"/>
      <w:szCs w:val="18"/>
    </w:rPr>
  </w:style>
  <w:style w:type="character" w:customStyle="1" w:styleId="CompanyChar">
    <w:name w:val="Company Char"/>
    <w:basedOn w:val="AddressChar"/>
    <w:link w:val="Company"/>
    <w:uiPriority w:val="99"/>
    <w:semiHidden/>
    <w:rsid w:val="00301880"/>
    <w:rPr>
      <w:rFonts w:ascii="Arial" w:hAnsi="Arial" w:cs="Arial"/>
      <w:b/>
      <w:sz w:val="18"/>
      <w:szCs w:val="18"/>
    </w:rPr>
  </w:style>
  <w:style w:type="character" w:styleId="PageNumber">
    <w:name w:val="page number"/>
    <w:basedOn w:val="DefaultParagraphFont"/>
    <w:uiPriority w:val="99"/>
    <w:semiHidden/>
    <w:rsid w:val="00301880"/>
    <w:rPr>
      <w:rFonts w:ascii="Arial" w:hAnsi="Arial"/>
      <w:sz w:val="18"/>
    </w:rPr>
  </w:style>
  <w:style w:type="paragraph" w:customStyle="1" w:styleId="FeatureText">
    <w:name w:val="Feature Text"/>
    <w:uiPriority w:val="99"/>
    <w:semiHidden/>
    <w:rsid w:val="00301880"/>
    <w:pPr>
      <w:spacing w:after="200" w:line="600" w:lineRule="exact"/>
    </w:pPr>
    <w:rPr>
      <w:rFonts w:ascii="Arial" w:hAnsi="Arial"/>
      <w:color w:val="000000"/>
      <w:sz w:val="48"/>
      <w:szCs w:val="48"/>
    </w:rPr>
  </w:style>
  <w:style w:type="paragraph" w:customStyle="1" w:styleId="AppendixHead">
    <w:name w:val="Appendix Head"/>
    <w:uiPriority w:val="99"/>
    <w:semiHidden/>
    <w:rsid w:val="00301880"/>
    <w:pPr>
      <w:pageBreakBefore/>
      <w:spacing w:before="5387" w:after="200" w:line="240" w:lineRule="auto"/>
      <w:jc w:val="right"/>
    </w:pPr>
    <w:rPr>
      <w:rFonts w:ascii="Arial" w:hAnsi="Arial"/>
      <w:color w:val="000000"/>
      <w:sz w:val="48"/>
      <w:szCs w:val="48"/>
    </w:rPr>
  </w:style>
  <w:style w:type="paragraph" w:customStyle="1" w:styleId="ReportInfo">
    <w:name w:val="Report Info"/>
    <w:uiPriority w:val="99"/>
    <w:semiHidden/>
    <w:rsid w:val="00301880"/>
    <w:pPr>
      <w:spacing w:before="227" w:after="200" w:line="230" w:lineRule="exact"/>
    </w:pPr>
    <w:rPr>
      <w:rFonts w:ascii="Arial" w:hAnsi="Arial"/>
      <w:sz w:val="24"/>
      <w:szCs w:val="24"/>
    </w:rPr>
  </w:style>
  <w:style w:type="paragraph" w:customStyle="1" w:styleId="AppendixTitle">
    <w:name w:val="Appendix Title"/>
    <w:uiPriority w:val="99"/>
    <w:semiHidden/>
    <w:rsid w:val="00301880"/>
    <w:pPr>
      <w:spacing w:before="227" w:after="200" w:line="240" w:lineRule="auto"/>
      <w:ind w:left="181" w:hanging="181"/>
      <w:jc w:val="right"/>
    </w:pPr>
    <w:rPr>
      <w:rFonts w:ascii="Arial" w:hAnsi="Arial"/>
      <w:b/>
      <w:sz w:val="24"/>
      <w:szCs w:val="24"/>
    </w:rPr>
  </w:style>
  <w:style w:type="table" w:styleId="MediumShading1">
    <w:name w:val="Medium Shading 1"/>
    <w:basedOn w:val="TableNormal"/>
    <w:uiPriority w:val="63"/>
    <w:rsid w:val="00301880"/>
    <w:pPr>
      <w:spacing w:after="0" w:line="240" w:lineRule="auto"/>
    </w:pPr>
    <w:rPr>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BodyBullets2">
    <w:name w:val="Body Bullets 2"/>
    <w:basedOn w:val="Normal"/>
    <w:next w:val="ListBullet"/>
    <w:uiPriority w:val="99"/>
    <w:semiHidden/>
    <w:rsid w:val="00301880"/>
    <w:pPr>
      <w:tabs>
        <w:tab w:val="left" w:pos="567"/>
      </w:tabs>
      <w:autoSpaceDE/>
      <w:autoSpaceDN/>
      <w:adjustRightInd/>
      <w:spacing w:before="0" w:after="0" w:line="264" w:lineRule="auto"/>
      <w:ind w:left="568"/>
      <w:jc w:val="left"/>
    </w:pPr>
    <w:rPr>
      <w:rFonts w:ascii="Arial" w:eastAsia="Arial" w:hAnsi="Arial" w:cs="Times New Roman"/>
      <w:spacing w:val="0"/>
      <w:sz w:val="20"/>
      <w:lang w:eastAsia="en-US"/>
    </w:rPr>
  </w:style>
  <w:style w:type="paragraph" w:customStyle="1" w:styleId="BodyBullets3">
    <w:name w:val="Body Bullets 3"/>
    <w:basedOn w:val="Normal"/>
    <w:next w:val="ListBullet"/>
    <w:uiPriority w:val="99"/>
    <w:semiHidden/>
    <w:rsid w:val="00301880"/>
    <w:pPr>
      <w:tabs>
        <w:tab w:val="left" w:pos="851"/>
      </w:tabs>
      <w:autoSpaceDE/>
      <w:autoSpaceDN/>
      <w:adjustRightInd/>
      <w:spacing w:before="0" w:after="0" w:line="264" w:lineRule="auto"/>
      <w:ind w:left="851"/>
      <w:jc w:val="left"/>
    </w:pPr>
    <w:rPr>
      <w:rFonts w:ascii="Arial" w:eastAsia="Arial" w:hAnsi="Arial" w:cs="Times New Roman"/>
      <w:spacing w:val="0"/>
      <w:sz w:val="20"/>
      <w:lang w:eastAsia="en-US"/>
    </w:rPr>
  </w:style>
  <w:style w:type="paragraph" w:customStyle="1" w:styleId="Nameaddress">
    <w:name w:val="Name address"/>
    <w:uiPriority w:val="99"/>
    <w:semiHidden/>
    <w:rsid w:val="00301880"/>
    <w:pPr>
      <w:spacing w:after="200" w:line="240" w:lineRule="auto"/>
    </w:pPr>
    <w:rPr>
      <w:rFonts w:ascii="Arial" w:hAnsi="Arial" w:cs="Arial (TT)"/>
      <w:color w:val="000000"/>
      <w:sz w:val="20"/>
      <w:szCs w:val="20"/>
      <w:lang w:val="en-GB"/>
    </w:rPr>
  </w:style>
  <w:style w:type="paragraph" w:customStyle="1" w:styleId="Re">
    <w:name w:val="Re"/>
    <w:basedOn w:val="Normal"/>
    <w:next w:val="BodyCopy"/>
    <w:uiPriority w:val="99"/>
    <w:semiHidden/>
    <w:rsid w:val="00301880"/>
    <w:pPr>
      <w:tabs>
        <w:tab w:val="left" w:pos="567"/>
      </w:tabs>
      <w:suppressAutoHyphens/>
      <w:spacing w:before="0" w:after="0" w:line="250" w:lineRule="atLeast"/>
      <w:ind w:left="567" w:hanging="567"/>
      <w:jc w:val="left"/>
      <w:textAlignment w:val="center"/>
    </w:pPr>
    <w:rPr>
      <w:rFonts w:ascii="Arial" w:eastAsia="Arial" w:hAnsi="Arial" w:cs="Arial (TT)"/>
      <w:b/>
      <w:color w:val="000000"/>
      <w:spacing w:val="0"/>
      <w:sz w:val="20"/>
      <w:lang w:val="en-GB" w:eastAsia="en-US"/>
    </w:rPr>
  </w:style>
  <w:style w:type="paragraph" w:customStyle="1" w:styleId="Cc">
    <w:name w:val="Cc"/>
    <w:uiPriority w:val="99"/>
    <w:semiHidden/>
    <w:rsid w:val="00301880"/>
    <w:pPr>
      <w:spacing w:before="57" w:after="113" w:line="230" w:lineRule="atLeast"/>
      <w:ind w:left="284" w:hanging="284"/>
    </w:pPr>
    <w:rPr>
      <w:rFonts w:ascii="Arial" w:hAnsi="Arial" w:cs="Arial (TT)"/>
      <w:color w:val="000000"/>
      <w:sz w:val="18"/>
      <w:szCs w:val="18"/>
      <w:lang w:val="en-GB"/>
    </w:rPr>
  </w:style>
  <w:style w:type="paragraph" w:customStyle="1" w:styleId="Attachments">
    <w:name w:val="Attachments"/>
    <w:uiPriority w:val="99"/>
    <w:semiHidden/>
    <w:rsid w:val="00301880"/>
    <w:pPr>
      <w:spacing w:before="57" w:after="113" w:line="230" w:lineRule="atLeast"/>
      <w:ind w:left="1276" w:hanging="1276"/>
    </w:pPr>
    <w:rPr>
      <w:rFonts w:ascii="Arial" w:hAnsi="Arial" w:cs="Arial (TT)"/>
      <w:color w:val="000000"/>
      <w:sz w:val="18"/>
      <w:szCs w:val="18"/>
      <w:lang w:val="en-GB"/>
    </w:rPr>
  </w:style>
  <w:style w:type="paragraph" w:customStyle="1" w:styleId="Fax">
    <w:name w:val="Fax"/>
    <w:uiPriority w:val="99"/>
    <w:semiHidden/>
    <w:rsid w:val="00301880"/>
    <w:pPr>
      <w:spacing w:before="80" w:after="80" w:line="240" w:lineRule="auto"/>
    </w:pPr>
    <w:rPr>
      <w:rFonts w:ascii="Arial" w:hAnsi="Arial" w:cs="Arial"/>
      <w:b/>
      <w:sz w:val="20"/>
      <w:szCs w:val="20"/>
    </w:rPr>
  </w:style>
  <w:style w:type="paragraph" w:customStyle="1" w:styleId="Info">
    <w:name w:val="Info"/>
    <w:uiPriority w:val="99"/>
    <w:semiHidden/>
    <w:rsid w:val="00301880"/>
    <w:pPr>
      <w:spacing w:after="200" w:line="240" w:lineRule="auto"/>
    </w:pPr>
    <w:rPr>
      <w:rFonts w:ascii="Arial" w:hAnsi="Arial" w:cs="Arial (TT)"/>
      <w:color w:val="000000"/>
      <w:sz w:val="14"/>
      <w:szCs w:val="20"/>
    </w:rPr>
  </w:style>
  <w:style w:type="paragraph" w:customStyle="1" w:styleId="Logo">
    <w:name w:val="Logo"/>
    <w:basedOn w:val="Normal"/>
    <w:uiPriority w:val="99"/>
    <w:semiHidden/>
    <w:rsid w:val="00301880"/>
    <w:pPr>
      <w:autoSpaceDE/>
      <w:autoSpaceDN/>
      <w:adjustRightInd/>
      <w:spacing w:before="0" w:after="0" w:line="264" w:lineRule="auto"/>
      <w:jc w:val="left"/>
    </w:pPr>
    <w:rPr>
      <w:rFonts w:ascii="Arial" w:eastAsia="Arial" w:hAnsi="Arial" w:cs="Times New Roman"/>
      <w:spacing w:val="0"/>
      <w:sz w:val="20"/>
      <w:lang w:eastAsia="en-US"/>
    </w:rPr>
  </w:style>
  <w:style w:type="paragraph" w:customStyle="1" w:styleId="TableContent">
    <w:name w:val="Table Content"/>
    <w:uiPriority w:val="99"/>
    <w:semiHidden/>
    <w:rsid w:val="00301880"/>
    <w:pPr>
      <w:spacing w:after="200" w:line="320" w:lineRule="exact"/>
    </w:pPr>
    <w:rPr>
      <w:rFonts w:ascii="Arial" w:hAnsi="Arial" w:cs="Arial"/>
      <w:b/>
      <w:sz w:val="20"/>
      <w:szCs w:val="20"/>
    </w:rPr>
  </w:style>
  <w:style w:type="paragraph" w:customStyle="1" w:styleId="Tablesubhead">
    <w:name w:val="Table subhead"/>
    <w:uiPriority w:val="99"/>
    <w:semiHidden/>
    <w:rsid w:val="00301880"/>
    <w:pPr>
      <w:spacing w:after="200" w:line="320" w:lineRule="exact"/>
    </w:pPr>
    <w:rPr>
      <w:rFonts w:ascii="Arial" w:hAnsi="Arial" w:cs="Arial"/>
      <w:sz w:val="20"/>
      <w:szCs w:val="20"/>
    </w:rPr>
  </w:style>
  <w:style w:type="paragraph" w:styleId="Date">
    <w:name w:val="Date"/>
    <w:basedOn w:val="Normal"/>
    <w:next w:val="Normal"/>
    <w:link w:val="DateChar"/>
    <w:uiPriority w:val="99"/>
    <w:semiHidden/>
    <w:rsid w:val="00301880"/>
    <w:pPr>
      <w:autoSpaceDE/>
      <w:autoSpaceDN/>
      <w:adjustRightInd/>
      <w:spacing w:before="1797" w:after="0" w:line="264" w:lineRule="auto"/>
      <w:jc w:val="left"/>
    </w:pPr>
    <w:rPr>
      <w:rFonts w:ascii="Arial" w:eastAsia="Arial" w:hAnsi="Arial" w:cs="Times New Roman"/>
      <w:spacing w:val="0"/>
      <w:sz w:val="20"/>
      <w:lang w:eastAsia="en-US"/>
    </w:rPr>
  </w:style>
  <w:style w:type="character" w:customStyle="1" w:styleId="DateChar">
    <w:name w:val="Date Char"/>
    <w:basedOn w:val="DefaultParagraphFont"/>
    <w:link w:val="Date"/>
    <w:uiPriority w:val="99"/>
    <w:semiHidden/>
    <w:rsid w:val="00301880"/>
    <w:rPr>
      <w:rFonts w:ascii="Arial" w:eastAsia="Arial" w:hAnsi="Arial" w:cs="Times New Roman"/>
      <w:sz w:val="20"/>
      <w:szCs w:val="20"/>
    </w:rPr>
  </w:style>
  <w:style w:type="numbering" w:customStyle="1" w:styleId="NewBullet">
    <w:name w:val="New Bullet"/>
    <w:uiPriority w:val="99"/>
    <w:rsid w:val="00301880"/>
    <w:pPr>
      <w:numPr>
        <w:numId w:val="13"/>
      </w:numPr>
    </w:pPr>
  </w:style>
  <w:style w:type="character" w:styleId="Strong">
    <w:name w:val="Strong"/>
    <w:basedOn w:val="DefaultParagraphFont"/>
    <w:uiPriority w:val="22"/>
    <w:qFormat/>
    <w:rsid w:val="00301880"/>
    <w:rPr>
      <w:b/>
      <w:bCs/>
    </w:rPr>
  </w:style>
  <w:style w:type="paragraph" w:styleId="IntenseQuote">
    <w:name w:val="Intense Quote"/>
    <w:basedOn w:val="Normal"/>
    <w:next w:val="Normal"/>
    <w:link w:val="IntenseQuoteChar"/>
    <w:uiPriority w:val="99"/>
    <w:rsid w:val="00301880"/>
    <w:pPr>
      <w:pBdr>
        <w:bottom w:val="single" w:sz="4" w:space="4" w:color="007C89" w:themeColor="accent1"/>
      </w:pBdr>
      <w:autoSpaceDE/>
      <w:autoSpaceDN/>
      <w:adjustRightInd/>
      <w:spacing w:before="200" w:after="280" w:line="264" w:lineRule="auto"/>
      <w:ind w:left="936" w:right="936"/>
      <w:jc w:val="left"/>
    </w:pPr>
    <w:rPr>
      <w:rFonts w:ascii="Arial" w:eastAsia="Arial" w:hAnsi="Arial" w:cs="Times New Roman"/>
      <w:b/>
      <w:bCs/>
      <w:i/>
      <w:iCs/>
      <w:color w:val="007C89" w:themeColor="accent1"/>
      <w:spacing w:val="0"/>
      <w:sz w:val="20"/>
      <w:lang w:eastAsia="en-US"/>
    </w:rPr>
  </w:style>
  <w:style w:type="character" w:customStyle="1" w:styleId="IntenseQuoteChar">
    <w:name w:val="Intense Quote Char"/>
    <w:basedOn w:val="DefaultParagraphFont"/>
    <w:link w:val="IntenseQuote"/>
    <w:uiPriority w:val="99"/>
    <w:rsid w:val="00301880"/>
    <w:rPr>
      <w:rFonts w:ascii="Arial" w:eastAsia="Arial" w:hAnsi="Arial" w:cs="Times New Roman"/>
      <w:b/>
      <w:bCs/>
      <w:i/>
      <w:iCs/>
      <w:color w:val="007C89" w:themeColor="accent1"/>
      <w:sz w:val="20"/>
      <w:szCs w:val="20"/>
    </w:rPr>
  </w:style>
  <w:style w:type="character" w:styleId="SubtleEmphasis">
    <w:name w:val="Subtle Emphasis"/>
    <w:basedOn w:val="DefaultParagraphFont"/>
    <w:uiPriority w:val="19"/>
    <w:rsid w:val="00301880"/>
    <w:rPr>
      <w:i/>
      <w:iCs/>
      <w:color w:val="808080" w:themeColor="text1" w:themeTint="7F"/>
    </w:rPr>
  </w:style>
  <w:style w:type="character" w:styleId="SubtleReference">
    <w:name w:val="Subtle Reference"/>
    <w:basedOn w:val="DefaultParagraphFont"/>
    <w:uiPriority w:val="99"/>
    <w:rsid w:val="00301880"/>
    <w:rPr>
      <w:smallCaps/>
      <w:color w:val="65C5B4" w:themeColor="accent2"/>
      <w:u w:val="single"/>
    </w:rPr>
  </w:style>
  <w:style w:type="character" w:styleId="IntenseReference">
    <w:name w:val="Intense Reference"/>
    <w:basedOn w:val="DefaultParagraphFont"/>
    <w:uiPriority w:val="99"/>
    <w:rsid w:val="00301880"/>
    <w:rPr>
      <w:b/>
      <w:bCs/>
      <w:smallCaps/>
      <w:color w:val="65C5B4" w:themeColor="accent2"/>
      <w:spacing w:val="5"/>
      <w:u w:val="single"/>
    </w:rPr>
  </w:style>
  <w:style w:type="character" w:styleId="BookTitle">
    <w:name w:val="Book Title"/>
    <w:basedOn w:val="DefaultParagraphFont"/>
    <w:uiPriority w:val="99"/>
    <w:rsid w:val="00301880"/>
    <w:rPr>
      <w:b/>
      <w:bCs/>
      <w:smallCaps/>
      <w:spacing w:val="5"/>
    </w:rPr>
  </w:style>
  <w:style w:type="numbering" w:customStyle="1" w:styleId="ListNumbers">
    <w:name w:val="ListNumbers"/>
    <w:uiPriority w:val="99"/>
    <w:rsid w:val="00301880"/>
    <w:pPr>
      <w:numPr>
        <w:numId w:val="14"/>
      </w:numPr>
    </w:pPr>
  </w:style>
  <w:style w:type="table" w:customStyle="1" w:styleId="Coffey">
    <w:name w:val="Coffey"/>
    <w:basedOn w:val="TableNormal"/>
    <w:uiPriority w:val="99"/>
    <w:rsid w:val="00301880"/>
    <w:pPr>
      <w:spacing w:before="100" w:beforeAutospacing="1" w:after="100" w:afterAutospacing="1" w:line="240" w:lineRule="auto"/>
    </w:pPr>
    <w:rPr>
      <w:sz w:val="18"/>
      <w:szCs w:val="20"/>
    </w:rPr>
    <w:tblPr>
      <w:tblStyleRowBandSize w:val="1"/>
      <w:tblStyleColBandSize w:val="1"/>
      <w:tblBorders>
        <w:top w:val="single" w:sz="4" w:space="0" w:color="007C89" w:themeColor="accent1"/>
        <w:left w:val="single" w:sz="4" w:space="0" w:color="007C89" w:themeColor="accent1"/>
        <w:bottom w:val="single" w:sz="4" w:space="0" w:color="007C89" w:themeColor="accent1"/>
        <w:right w:val="single" w:sz="4" w:space="0" w:color="007C89" w:themeColor="accent1"/>
        <w:insideH w:val="single" w:sz="4" w:space="0" w:color="007C89" w:themeColor="accent1"/>
        <w:insideV w:val="single" w:sz="4" w:space="0" w:color="007C89" w:themeColor="accent1"/>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tcBorders>
          <w:top w:val="nil"/>
          <w:left w:val="single" w:sz="4" w:space="0" w:color="007C89" w:themeColor="accent1"/>
          <w:bottom w:val="nil"/>
          <w:right w:val="single" w:sz="4" w:space="0" w:color="007C89" w:themeColor="accent1"/>
          <w:insideH w:val="nil"/>
          <w:insideV w:val="single" w:sz="4" w:space="0" w:color="E7E6E6" w:themeColor="background2"/>
          <w:tl2br w:val="nil"/>
          <w:tr2bl w:val="nil"/>
        </w:tcBorders>
        <w:shd w:val="clear" w:color="auto" w:fill="007C89" w:themeFill="accent1"/>
      </w:tcPr>
    </w:tblStylePr>
    <w:tblStylePr w:type="lastRow">
      <w:tblPr/>
      <w:tcPr>
        <w:tcBorders>
          <w:top w:val="double" w:sz="4" w:space="0" w:color="007C89" w:themeColor="accent1"/>
          <w:left w:val="double" w:sz="4" w:space="0" w:color="007C89" w:themeColor="accent1"/>
          <w:bottom w:val="double" w:sz="4" w:space="0" w:color="007C89" w:themeColor="accent1"/>
          <w:right w:val="double" w:sz="4" w:space="0" w:color="007C89" w:themeColor="accent1"/>
          <w:insideH w:val="double" w:sz="4" w:space="0" w:color="007C89" w:themeColor="accent1"/>
          <w:insideV w:val="double" w:sz="4" w:space="0" w:color="007C89" w:themeColor="accent1"/>
          <w:tl2br w:val="nil"/>
          <w:tr2bl w:val="nil"/>
        </w:tcBorders>
        <w:shd w:val="clear" w:color="auto" w:fill="auto"/>
      </w:tcPr>
    </w:tblStylePr>
    <w:tblStylePr w:type="firstCol">
      <w:rPr>
        <w:b w:val="0"/>
        <w:color w:val="FFFFFF" w:themeColor="background1"/>
      </w:rPr>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nil"/>
          <w:insideV w:val="nil"/>
          <w:tl2br w:val="nil"/>
          <w:tr2bl w:val="nil"/>
        </w:tcBorders>
        <w:shd w:val="clear" w:color="auto" w:fill="007C89" w:themeFill="accent1"/>
      </w:tcPr>
    </w:tblStylePr>
    <w:tblStylePr w:type="lastCol">
      <w:tblPr/>
      <w:tcPr>
        <w:tcBorders>
          <w:top w:val="double" w:sz="4" w:space="0" w:color="007C89" w:themeColor="accent1"/>
          <w:left w:val="double" w:sz="4" w:space="0" w:color="007C89" w:themeColor="accent1"/>
          <w:bottom w:val="double" w:sz="4" w:space="0" w:color="007C89" w:themeColor="accent1"/>
          <w:right w:val="double" w:sz="4" w:space="0" w:color="007C89" w:themeColor="accent1"/>
          <w:insideH w:val="nil"/>
          <w:insideV w:val="nil"/>
          <w:tl2br w:val="nil"/>
          <w:tr2bl w:val="nil"/>
        </w:tcBorders>
        <w:shd w:val="clear" w:color="auto" w:fill="auto"/>
      </w:tcPr>
    </w:tblStylePr>
    <w:tblStylePr w:type="band1Vert">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nil"/>
          <w:insideV w:val="nil"/>
          <w:tl2br w:val="nil"/>
          <w:tr2bl w:val="nil"/>
        </w:tcBorders>
        <w:shd w:val="clear" w:color="auto" w:fill="B4F7FF" w:themeFill="accent1" w:themeFillTint="33"/>
      </w:tcPr>
    </w:tblStylePr>
    <w:tblStylePr w:type="band1Horz">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single" w:sz="4" w:space="0" w:color="007C89" w:themeColor="accent1"/>
          <w:insideV w:val="single" w:sz="4" w:space="0" w:color="007C89" w:themeColor="accent1"/>
          <w:tl2br w:val="nil"/>
          <w:tr2bl w:val="nil"/>
        </w:tcBorders>
        <w:shd w:val="clear" w:color="auto" w:fill="B4F7FF" w:themeFill="accent1" w:themeFillTint="33"/>
      </w:tcPr>
    </w:tblStylePr>
    <w:tblStylePr w:type="band2Horz">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single" w:sz="4" w:space="0" w:color="007C89" w:themeColor="accent1"/>
          <w:insideV w:val="single" w:sz="4" w:space="0" w:color="007C89" w:themeColor="accent1"/>
          <w:tl2br w:val="nil"/>
          <w:tr2bl w:val="nil"/>
        </w:tcBorders>
        <w:shd w:val="clear" w:color="auto" w:fill="auto"/>
      </w:tcPr>
    </w:tblStylePr>
    <w:tblStylePr w:type="neCell">
      <w:tblPr/>
      <w:tcPr>
        <w:tcBorders>
          <w:top w:val="double" w:sz="4" w:space="0" w:color="007C89" w:themeColor="accent1"/>
          <w:left w:val="double" w:sz="4" w:space="0" w:color="007C89" w:themeColor="accent1"/>
          <w:bottom w:val="double" w:sz="4" w:space="0" w:color="007C89" w:themeColor="accent1"/>
          <w:right w:val="double" w:sz="4" w:space="0" w:color="007C89" w:themeColor="accent1"/>
          <w:insideH w:val="nil"/>
          <w:insideV w:val="nil"/>
          <w:tl2br w:val="nil"/>
          <w:tr2bl w:val="nil"/>
        </w:tcBorders>
        <w:shd w:val="clear" w:color="auto" w:fill="007C89" w:themeFill="accent1"/>
      </w:tcPr>
    </w:tblStylePr>
    <w:tblStylePr w:type="swCell">
      <w:tblPr/>
      <w:tcPr>
        <w:tcBorders>
          <w:top w:val="double" w:sz="4" w:space="0" w:color="007C89" w:themeColor="accent1"/>
          <w:left w:val="double" w:sz="4" w:space="0" w:color="007C89" w:themeColor="accent1"/>
          <w:bottom w:val="double" w:sz="4" w:space="0" w:color="007C89" w:themeColor="accent1"/>
          <w:right w:val="double" w:sz="4" w:space="0" w:color="007C89" w:themeColor="accent1"/>
          <w:insideH w:val="nil"/>
          <w:insideV w:val="nil"/>
          <w:tl2br w:val="nil"/>
          <w:tr2bl w:val="nil"/>
        </w:tcBorders>
        <w:shd w:val="clear" w:color="auto" w:fill="007C89" w:themeFill="accent1"/>
      </w:tcPr>
    </w:tblStylePr>
  </w:style>
  <w:style w:type="paragraph" w:styleId="ListNumber2">
    <w:name w:val="List Number 2"/>
    <w:basedOn w:val="BodyText"/>
    <w:uiPriority w:val="2"/>
    <w:rsid w:val="00301880"/>
    <w:pPr>
      <w:autoSpaceDE/>
      <w:autoSpaceDN/>
      <w:adjustRightInd/>
      <w:spacing w:before="100" w:beforeAutospacing="1" w:after="100" w:afterAutospacing="1" w:line="264" w:lineRule="auto"/>
      <w:ind w:left="1071" w:hanging="357"/>
      <w:contextualSpacing/>
    </w:pPr>
    <w:rPr>
      <w:rFonts w:ascii="Arial" w:eastAsia="Arial" w:hAnsi="Arial" w:cs="Times New Roman"/>
      <w:sz w:val="19"/>
      <w:szCs w:val="22"/>
      <w:lang w:eastAsia="en-US"/>
    </w:rPr>
  </w:style>
  <w:style w:type="paragraph" w:styleId="ListNumber3">
    <w:name w:val="List Number 3"/>
    <w:basedOn w:val="BodyText"/>
    <w:uiPriority w:val="2"/>
    <w:rsid w:val="00301880"/>
    <w:pPr>
      <w:autoSpaceDE/>
      <w:autoSpaceDN/>
      <w:adjustRightInd/>
      <w:spacing w:before="100" w:beforeAutospacing="1" w:after="100" w:afterAutospacing="1" w:line="264" w:lineRule="auto"/>
      <w:ind w:left="1428" w:hanging="357"/>
      <w:contextualSpacing/>
    </w:pPr>
    <w:rPr>
      <w:rFonts w:ascii="Arial" w:eastAsia="Arial" w:hAnsi="Arial" w:cs="Times New Roman"/>
      <w:sz w:val="19"/>
      <w:szCs w:val="22"/>
      <w:lang w:eastAsia="en-US"/>
    </w:rPr>
  </w:style>
  <w:style w:type="table" w:styleId="Table3Deffects1">
    <w:name w:val="Table 3D effects 1"/>
    <w:basedOn w:val="TableNormal"/>
    <w:rsid w:val="00301880"/>
    <w:pPr>
      <w:spacing w:after="200" w:line="240" w:lineRule="auto"/>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01880"/>
    <w:pPr>
      <w:spacing w:after="200" w:line="240" w:lineRule="auto"/>
    </w:pPr>
    <w:rPr>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
    <w:name w:val="Light List"/>
    <w:basedOn w:val="TableNormal"/>
    <w:uiPriority w:val="61"/>
    <w:rsid w:val="00301880"/>
    <w:pPr>
      <w:spacing w:after="0" w:line="240" w:lineRule="auto"/>
    </w:pPr>
    <w:rPr>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301880"/>
    <w:pPr>
      <w:spacing w:after="0" w:line="240" w:lineRule="auto"/>
    </w:pPr>
    <w:rPr>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offeyColour3Blue">
    <w:name w:val="Coffey Colour 3 (Blue)"/>
    <w:basedOn w:val="Coffey"/>
    <w:uiPriority w:val="99"/>
    <w:rsid w:val="00301880"/>
    <w:pPr>
      <w:spacing w:after="0"/>
    </w:pPr>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838E99" w:themeFill="accent3"/>
      </w:tcPr>
    </w:tblStylePr>
    <w:tblStylePr w:type="lastRow">
      <w:tblPr/>
      <w:tcPr>
        <w:tcBorders>
          <w:top w:val="double" w:sz="4" w:space="0" w:color="007C89" w:themeColor="accent1"/>
          <w:left w:val="double" w:sz="4" w:space="0" w:color="007C89" w:themeColor="accent1"/>
          <w:bottom w:val="double" w:sz="4" w:space="0" w:color="007C89" w:themeColor="accent1"/>
          <w:right w:val="double" w:sz="4" w:space="0" w:color="007C89" w:themeColor="accent1"/>
          <w:insideH w:val="double" w:sz="4" w:space="0" w:color="007C89" w:themeColor="accent1"/>
          <w:insideV w:val="double" w:sz="4" w:space="0" w:color="007C89" w:themeColor="accent1"/>
          <w:tl2br w:val="nil"/>
          <w:tr2bl w:val="nil"/>
        </w:tcBorders>
        <w:shd w:val="clear" w:color="auto" w:fill="auto"/>
      </w:tcPr>
    </w:tblStylePr>
    <w:tblStylePr w:type="firstCol">
      <w:rPr>
        <w:b/>
        <w:color w:val="FFFFFF" w:themeColor="background1"/>
      </w:rPr>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nil"/>
          <w:insideV w:val="nil"/>
          <w:tl2br w:val="nil"/>
          <w:tr2bl w:val="nil"/>
        </w:tcBorders>
        <w:shd w:val="clear" w:color="auto" w:fill="838E99" w:themeFill="accent3"/>
      </w:tcPr>
    </w:tblStylePr>
    <w:tblStylePr w:type="lastCol">
      <w:tblPr/>
      <w:tcPr>
        <w:tcBorders>
          <w:top w:val="double" w:sz="4" w:space="0" w:color="007C89" w:themeColor="accent1"/>
          <w:left w:val="double" w:sz="4" w:space="0" w:color="007C89" w:themeColor="accent1"/>
          <w:bottom w:val="double" w:sz="4" w:space="0" w:color="007C89" w:themeColor="accent1"/>
          <w:right w:val="double" w:sz="4" w:space="0" w:color="007C89" w:themeColor="accent1"/>
          <w:insideH w:val="nil"/>
          <w:insideV w:val="nil"/>
          <w:tl2br w:val="nil"/>
          <w:tr2bl w:val="nil"/>
        </w:tcBorders>
        <w:shd w:val="clear" w:color="auto" w:fill="auto"/>
      </w:tcPr>
    </w:tblStylePr>
    <w:tblStylePr w:type="band1Vert">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nil"/>
          <w:insideV w:val="nil"/>
          <w:tl2br w:val="nil"/>
          <w:tr2bl w:val="nil"/>
        </w:tcBorders>
        <w:shd w:val="clear" w:color="auto" w:fill="E6E8EA" w:themeFill="accent3" w:themeFillTint="33"/>
      </w:tcPr>
    </w:tblStylePr>
    <w:tblStylePr w:type="band1Horz">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single" w:sz="4" w:space="0" w:color="007C89" w:themeColor="accent1"/>
          <w:insideV w:val="single" w:sz="4" w:space="0" w:color="007C89" w:themeColor="accent1"/>
          <w:tl2br w:val="nil"/>
          <w:tr2bl w:val="nil"/>
        </w:tcBorders>
        <w:shd w:val="clear" w:color="auto" w:fill="E6E8EA" w:themeFill="accent3" w:themeFillTint="33"/>
      </w:tcPr>
    </w:tblStylePr>
    <w:tblStylePr w:type="band2Horz">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single" w:sz="4" w:space="0" w:color="007C89" w:themeColor="accent1"/>
          <w:insideV w:val="single" w:sz="4" w:space="0" w:color="007C89" w:themeColor="accent1"/>
          <w:tl2br w:val="nil"/>
          <w:tr2bl w:val="nil"/>
        </w:tcBorders>
        <w:shd w:val="clear" w:color="auto" w:fill="auto"/>
      </w:tcPr>
    </w:tblStylePr>
    <w:tblStylePr w:type="neCell">
      <w:tblPr/>
      <w:tcPr>
        <w:tcBorders>
          <w:top w:val="double" w:sz="4" w:space="0" w:color="007C89" w:themeColor="accent1"/>
          <w:left w:val="double" w:sz="4" w:space="0" w:color="007C89" w:themeColor="accent1"/>
          <w:bottom w:val="double" w:sz="4" w:space="0" w:color="007C89" w:themeColor="accent1"/>
          <w:right w:val="double" w:sz="4" w:space="0" w:color="007C89" w:themeColor="accent1"/>
          <w:insideH w:val="nil"/>
          <w:insideV w:val="nil"/>
          <w:tl2br w:val="nil"/>
          <w:tr2bl w:val="nil"/>
        </w:tcBorders>
        <w:shd w:val="clear" w:color="auto" w:fill="838E99" w:themeFill="accent3"/>
      </w:tcPr>
    </w:tblStylePr>
    <w:tblStylePr w:type="swCell">
      <w:tblPr/>
      <w:tcPr>
        <w:tcBorders>
          <w:top w:val="double" w:sz="4" w:space="0" w:color="007C89" w:themeColor="accent1"/>
          <w:left w:val="double" w:sz="4" w:space="0" w:color="007C89" w:themeColor="accent1"/>
          <w:bottom w:val="double" w:sz="4" w:space="0" w:color="007C89" w:themeColor="accent1"/>
          <w:right w:val="double" w:sz="4" w:space="0" w:color="007C89" w:themeColor="accent1"/>
          <w:insideH w:val="nil"/>
          <w:insideV w:val="nil"/>
          <w:tl2br w:val="nil"/>
          <w:tr2bl w:val="nil"/>
        </w:tcBorders>
        <w:shd w:val="clear" w:color="auto" w:fill="838E99" w:themeFill="accent3"/>
      </w:tcPr>
    </w:tblStylePr>
  </w:style>
  <w:style w:type="table" w:customStyle="1" w:styleId="CoffeyColour4Purple">
    <w:name w:val="Coffey Colour 4 (Purple)"/>
    <w:basedOn w:val="Coffey"/>
    <w:uiPriority w:val="99"/>
    <w:rsid w:val="00301880"/>
    <w:pPr>
      <w:spacing w:after="0"/>
    </w:pPr>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E7E6E6" w:themeColor="background2"/>
          <w:tl2br w:val="nil"/>
          <w:tr2bl w:val="nil"/>
        </w:tcBorders>
        <w:shd w:val="clear" w:color="auto" w:fill="B5582D" w:themeFill="accent4"/>
      </w:tcPr>
    </w:tblStylePr>
    <w:tblStylePr w:type="lastRow">
      <w:tblPr/>
      <w:tcPr>
        <w:tcBorders>
          <w:top w:val="double" w:sz="4" w:space="0" w:color="007C89" w:themeColor="accent1"/>
          <w:left w:val="double" w:sz="4" w:space="0" w:color="007C89" w:themeColor="accent1"/>
          <w:bottom w:val="double" w:sz="4" w:space="0" w:color="007C89" w:themeColor="accent1"/>
          <w:right w:val="double" w:sz="4" w:space="0" w:color="007C89" w:themeColor="accent1"/>
          <w:insideH w:val="double" w:sz="4" w:space="0" w:color="007C89" w:themeColor="accent1"/>
          <w:insideV w:val="double" w:sz="4" w:space="0" w:color="007C89" w:themeColor="accent1"/>
          <w:tl2br w:val="nil"/>
          <w:tr2bl w:val="nil"/>
        </w:tcBorders>
        <w:shd w:val="clear" w:color="auto" w:fill="auto"/>
      </w:tcPr>
    </w:tblStylePr>
    <w:tblStylePr w:type="firstCol">
      <w:rPr>
        <w:b w:val="0"/>
        <w:color w:val="FFFFFF" w:themeColor="background1"/>
      </w:rPr>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nil"/>
          <w:insideV w:val="nil"/>
          <w:tl2br w:val="nil"/>
          <w:tr2bl w:val="nil"/>
        </w:tcBorders>
        <w:shd w:val="clear" w:color="auto" w:fill="B5582D" w:themeFill="accent4"/>
      </w:tcPr>
    </w:tblStylePr>
    <w:tblStylePr w:type="lastCol">
      <w:tblPr/>
      <w:tcPr>
        <w:tcBorders>
          <w:top w:val="double" w:sz="4" w:space="0" w:color="007C89" w:themeColor="accent1"/>
          <w:left w:val="double" w:sz="4" w:space="0" w:color="007C89" w:themeColor="accent1"/>
          <w:bottom w:val="double" w:sz="4" w:space="0" w:color="007C89" w:themeColor="accent1"/>
          <w:right w:val="double" w:sz="4" w:space="0" w:color="007C89" w:themeColor="accent1"/>
          <w:insideH w:val="nil"/>
          <w:insideV w:val="nil"/>
          <w:tl2br w:val="nil"/>
          <w:tr2bl w:val="nil"/>
        </w:tcBorders>
        <w:shd w:val="clear" w:color="auto" w:fill="auto"/>
      </w:tcPr>
    </w:tblStylePr>
    <w:tblStylePr w:type="band1Vert">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nil"/>
          <w:insideV w:val="nil"/>
          <w:tl2br w:val="nil"/>
          <w:tr2bl w:val="nil"/>
        </w:tcBorders>
        <w:shd w:val="clear" w:color="auto" w:fill="F3DCD1" w:themeFill="accent4" w:themeFillTint="33"/>
      </w:tcPr>
    </w:tblStylePr>
    <w:tblStylePr w:type="band2Vert">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nil"/>
          <w:insideV w:val="nil"/>
          <w:tl2br w:val="nil"/>
          <w:tr2bl w:val="nil"/>
        </w:tcBorders>
        <w:shd w:val="clear" w:color="auto" w:fill="auto"/>
      </w:tcPr>
    </w:tblStylePr>
    <w:tblStylePr w:type="band1Horz">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single" w:sz="4" w:space="0" w:color="007C89" w:themeColor="accent1"/>
          <w:insideV w:val="single" w:sz="4" w:space="0" w:color="007C89" w:themeColor="accent1"/>
          <w:tl2br w:val="nil"/>
          <w:tr2bl w:val="nil"/>
        </w:tcBorders>
        <w:shd w:val="clear" w:color="auto" w:fill="F3DCD1" w:themeFill="accent4" w:themeFillTint="33"/>
      </w:tcPr>
    </w:tblStylePr>
    <w:tblStylePr w:type="band2Horz">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single" w:sz="4" w:space="0" w:color="007C89" w:themeColor="accent1"/>
          <w:insideV w:val="single" w:sz="4" w:space="0" w:color="007C89" w:themeColor="accent1"/>
          <w:tl2br w:val="nil"/>
          <w:tr2bl w:val="nil"/>
        </w:tcBorders>
        <w:shd w:val="clear" w:color="auto" w:fill="auto"/>
      </w:tcPr>
    </w:tblStylePr>
    <w:tblStylePr w:type="neCell">
      <w:tblPr/>
      <w:tcPr>
        <w:tcBorders>
          <w:top w:val="double" w:sz="4" w:space="0" w:color="007C89" w:themeColor="accent1"/>
          <w:left w:val="double" w:sz="4" w:space="0" w:color="007C89" w:themeColor="accent1"/>
          <w:bottom w:val="double" w:sz="4" w:space="0" w:color="007C89" w:themeColor="accent1"/>
          <w:right w:val="double" w:sz="4" w:space="0" w:color="007C89" w:themeColor="accent1"/>
          <w:insideH w:val="nil"/>
          <w:insideV w:val="nil"/>
          <w:tl2br w:val="nil"/>
          <w:tr2bl w:val="nil"/>
        </w:tcBorders>
        <w:shd w:val="clear" w:color="auto" w:fill="B5582D" w:themeFill="accent4"/>
      </w:tcPr>
    </w:tblStylePr>
    <w:tblStylePr w:type="swCell">
      <w:tblPr/>
      <w:tcPr>
        <w:tcBorders>
          <w:top w:val="double" w:sz="4" w:space="0" w:color="007C89" w:themeColor="accent1"/>
          <w:left w:val="double" w:sz="4" w:space="0" w:color="007C89" w:themeColor="accent1"/>
          <w:bottom w:val="double" w:sz="4" w:space="0" w:color="007C89" w:themeColor="accent1"/>
          <w:right w:val="double" w:sz="4" w:space="0" w:color="007C89" w:themeColor="accent1"/>
          <w:insideH w:val="nil"/>
          <w:insideV w:val="nil"/>
          <w:tl2br w:val="nil"/>
          <w:tr2bl w:val="nil"/>
        </w:tcBorders>
        <w:shd w:val="clear" w:color="auto" w:fill="B5582D" w:themeFill="accent4"/>
      </w:tcPr>
    </w:tblStylePr>
  </w:style>
  <w:style w:type="paragraph" w:customStyle="1" w:styleId="Heading1NoNumbers">
    <w:name w:val="Heading 1 No Numbers"/>
    <w:basedOn w:val="Heading1"/>
    <w:next w:val="BodyText"/>
    <w:link w:val="Heading1NoNumbersChar"/>
    <w:uiPriority w:val="2"/>
    <w:rsid w:val="00301880"/>
    <w:pPr>
      <w:numPr>
        <w:numId w:val="17"/>
      </w:numPr>
      <w:spacing w:before="480" w:line="264" w:lineRule="auto"/>
      <w:contextualSpacing/>
    </w:pPr>
    <w:rPr>
      <w:rFonts w:ascii="Arial" w:eastAsia="Arial" w:hAnsi="Arial"/>
      <w:color w:val="A25EA6"/>
      <w:spacing w:val="0"/>
      <w:sz w:val="36"/>
      <w:szCs w:val="40"/>
    </w:rPr>
  </w:style>
  <w:style w:type="character" w:customStyle="1" w:styleId="Heading1NoNumbersChar">
    <w:name w:val="Heading 1 No Numbers Char"/>
    <w:basedOn w:val="Heading1Char"/>
    <w:link w:val="Heading1NoNumbers"/>
    <w:uiPriority w:val="2"/>
    <w:rsid w:val="00301880"/>
    <w:rPr>
      <w:rFonts w:ascii="Arial" w:eastAsia="Arial" w:hAnsi="Arial"/>
      <w:b/>
      <w:bCs/>
      <w:color w:val="A25EA6"/>
      <w:spacing w:val="-6"/>
      <w:sz w:val="36"/>
      <w:szCs w:val="40"/>
    </w:rPr>
  </w:style>
  <w:style w:type="paragraph" w:customStyle="1" w:styleId="Heading2NoNumbers">
    <w:name w:val="Heading 2 No Numbers"/>
    <w:basedOn w:val="Heading2"/>
    <w:next w:val="BodyText"/>
    <w:link w:val="Heading2NoNumbersChar"/>
    <w:uiPriority w:val="2"/>
    <w:rsid w:val="00301880"/>
    <w:pPr>
      <w:numPr>
        <w:ilvl w:val="1"/>
        <w:numId w:val="17"/>
      </w:numPr>
      <w:spacing w:before="240" w:line="252" w:lineRule="auto"/>
    </w:pPr>
    <w:rPr>
      <w:rFonts w:ascii="Arial" w:eastAsia="Arial" w:hAnsi="Arial" w:cs="Times New Roman"/>
      <w:b w:val="0"/>
      <w:color w:val="156545"/>
      <w:spacing w:val="0"/>
      <w:sz w:val="32"/>
      <w:szCs w:val="36"/>
    </w:rPr>
  </w:style>
  <w:style w:type="character" w:customStyle="1" w:styleId="Heading2NoNumbersChar">
    <w:name w:val="Heading 2 No Numbers Char"/>
    <w:basedOn w:val="Heading2Char"/>
    <w:link w:val="Heading2NoNumbers"/>
    <w:uiPriority w:val="2"/>
    <w:rsid w:val="00301880"/>
    <w:rPr>
      <w:rFonts w:ascii="Arial" w:eastAsia="Arial" w:hAnsi="Arial" w:cs="Times New Roman"/>
      <w:b w:val="0"/>
      <w:bCs/>
      <w:color w:val="156545"/>
      <w:spacing w:val="-6"/>
      <w:sz w:val="32"/>
      <w:szCs w:val="36"/>
      <w:lang w:val="en-US"/>
    </w:rPr>
  </w:style>
  <w:style w:type="paragraph" w:customStyle="1" w:styleId="Heading3NoNumbers">
    <w:name w:val="Heading 3 No Numbers"/>
    <w:basedOn w:val="Heading3"/>
    <w:next w:val="BodyText"/>
    <w:link w:val="Heading3NoNumbersChar"/>
    <w:uiPriority w:val="2"/>
    <w:rsid w:val="00301880"/>
    <w:pPr>
      <w:autoSpaceDE/>
      <w:autoSpaceDN/>
      <w:adjustRightInd/>
      <w:spacing w:before="240" w:line="264" w:lineRule="auto"/>
      <w:ind w:left="432" w:hanging="432"/>
      <w:contextualSpacing/>
    </w:pPr>
    <w:rPr>
      <w:rFonts w:ascii="Arial" w:eastAsia="Arial" w:hAnsi="Arial" w:cs="Times New Roman"/>
      <w:color w:val="000000" w:themeColor="text1"/>
      <w:spacing w:val="-6"/>
      <w:szCs w:val="32"/>
    </w:rPr>
  </w:style>
  <w:style w:type="character" w:customStyle="1" w:styleId="Heading3NoNumbersChar">
    <w:name w:val="Heading 3 No Numbers Char"/>
    <w:basedOn w:val="Heading3Char"/>
    <w:link w:val="Heading3NoNumbers"/>
    <w:uiPriority w:val="2"/>
    <w:rsid w:val="00301880"/>
    <w:rPr>
      <w:rFonts w:ascii="Arial" w:eastAsia="Arial" w:hAnsi="Arial" w:cs="Times New Roman"/>
      <w:b/>
      <w:color w:val="000000" w:themeColor="text1"/>
      <w:spacing w:val="-6"/>
      <w:sz w:val="24"/>
      <w:szCs w:val="32"/>
      <w:lang w:val="en-GB" w:eastAsia="en-AU"/>
    </w:rPr>
  </w:style>
  <w:style w:type="paragraph" w:customStyle="1" w:styleId="CoffeyBulletsL1">
    <w:name w:val="Coffey Bullets L1"/>
    <w:basedOn w:val="Normal"/>
    <w:link w:val="CoffeyBulletsL1Char"/>
    <w:uiPriority w:val="99"/>
    <w:rsid w:val="00301880"/>
    <w:pPr>
      <w:tabs>
        <w:tab w:val="num" w:pos="357"/>
      </w:tabs>
      <w:autoSpaceDE/>
      <w:autoSpaceDN/>
      <w:adjustRightInd/>
      <w:spacing w:before="0" w:after="0" w:line="264" w:lineRule="auto"/>
      <w:ind w:left="360" w:hanging="360"/>
      <w:contextualSpacing/>
      <w:jc w:val="left"/>
    </w:pPr>
    <w:rPr>
      <w:rFonts w:ascii="Helvetica LT Std" w:eastAsia="Arial" w:hAnsi="Helvetica LT Std" w:cs="Times New Roman"/>
      <w:spacing w:val="0"/>
      <w:sz w:val="20"/>
    </w:rPr>
  </w:style>
  <w:style w:type="paragraph" w:customStyle="1" w:styleId="CoffeyBulletsL2">
    <w:name w:val="Coffey Bullets L2"/>
    <w:basedOn w:val="CoffeyBulletsL1"/>
    <w:link w:val="CoffeyBulletsL2Char"/>
    <w:uiPriority w:val="99"/>
    <w:rsid w:val="00301880"/>
    <w:pPr>
      <w:numPr>
        <w:ilvl w:val="1"/>
      </w:numPr>
      <w:tabs>
        <w:tab w:val="num" w:pos="357"/>
      </w:tabs>
      <w:ind w:left="360" w:hanging="360"/>
    </w:pPr>
    <w:rPr>
      <w:lang w:eastAsia="en-US"/>
    </w:rPr>
  </w:style>
  <w:style w:type="character" w:customStyle="1" w:styleId="CoffeyBulletsL1Char">
    <w:name w:val="Coffey Bullets L1 Char"/>
    <w:basedOn w:val="BodyTextChar"/>
    <w:link w:val="CoffeyBulletsL1"/>
    <w:uiPriority w:val="99"/>
    <w:rsid w:val="00301880"/>
    <w:rPr>
      <w:rFonts w:ascii="Helvetica LT Std" w:eastAsia="Arial" w:hAnsi="Helvetica LT Std" w:cs="Times New Roman"/>
      <w:sz w:val="20"/>
      <w:szCs w:val="20"/>
      <w:lang w:eastAsia="ko-KR"/>
    </w:rPr>
  </w:style>
  <w:style w:type="paragraph" w:customStyle="1" w:styleId="CoffeyBulletsL3">
    <w:name w:val="Coffey Bullets L3"/>
    <w:basedOn w:val="CoffeyBulletsL2"/>
    <w:link w:val="CoffeyBulletsL3Char"/>
    <w:uiPriority w:val="99"/>
    <w:rsid w:val="00301880"/>
    <w:pPr>
      <w:numPr>
        <w:ilvl w:val="2"/>
      </w:numPr>
      <w:tabs>
        <w:tab w:val="num" w:pos="357"/>
      </w:tabs>
      <w:ind w:left="360" w:hanging="360"/>
    </w:pPr>
    <w:rPr>
      <w:sz w:val="19"/>
      <w:lang w:eastAsia="ko-KR"/>
    </w:rPr>
  </w:style>
  <w:style w:type="character" w:customStyle="1" w:styleId="CoffeyBulletsL2Char">
    <w:name w:val="Coffey Bullets L2 Char"/>
    <w:basedOn w:val="DefaultParagraphFont"/>
    <w:link w:val="CoffeyBulletsL2"/>
    <w:uiPriority w:val="99"/>
    <w:rsid w:val="00301880"/>
    <w:rPr>
      <w:rFonts w:ascii="Helvetica LT Std" w:eastAsia="Arial" w:hAnsi="Helvetica LT Std" w:cs="Times New Roman"/>
      <w:sz w:val="20"/>
      <w:szCs w:val="20"/>
    </w:rPr>
  </w:style>
  <w:style w:type="paragraph" w:customStyle="1" w:styleId="CoffeyNumbersL1">
    <w:name w:val="Coffey Numbers L1"/>
    <w:basedOn w:val="Normal"/>
    <w:link w:val="CoffeyNumbersL1Char"/>
    <w:uiPriority w:val="99"/>
    <w:rsid w:val="00301880"/>
    <w:pPr>
      <w:numPr>
        <w:numId w:val="15"/>
      </w:numPr>
      <w:autoSpaceDE/>
      <w:autoSpaceDN/>
      <w:adjustRightInd/>
      <w:spacing w:before="0" w:after="0" w:line="264" w:lineRule="auto"/>
      <w:contextualSpacing/>
      <w:jc w:val="left"/>
    </w:pPr>
    <w:rPr>
      <w:rFonts w:ascii="Arial" w:eastAsia="Arial" w:hAnsi="Arial" w:cs="Times New Roman"/>
      <w:spacing w:val="0"/>
      <w:sz w:val="20"/>
      <w:lang w:eastAsia="en-US"/>
    </w:rPr>
  </w:style>
  <w:style w:type="character" w:customStyle="1" w:styleId="CoffeyBulletsL3Char">
    <w:name w:val="Coffey Bullets L3 Char"/>
    <w:basedOn w:val="DefaultParagraphFont"/>
    <w:link w:val="CoffeyBulletsL3"/>
    <w:uiPriority w:val="99"/>
    <w:rsid w:val="00301880"/>
    <w:rPr>
      <w:rFonts w:ascii="Helvetica LT Std" w:eastAsia="Arial" w:hAnsi="Helvetica LT Std" w:cs="Times New Roman"/>
      <w:sz w:val="19"/>
      <w:szCs w:val="20"/>
      <w:lang w:eastAsia="ko-KR"/>
    </w:rPr>
  </w:style>
  <w:style w:type="paragraph" w:customStyle="1" w:styleId="CoffeyNumbersL2">
    <w:name w:val="Coffey Numbers L2"/>
    <w:basedOn w:val="CoffeyNumbersL1"/>
    <w:link w:val="CoffeyNumbersL2Char"/>
    <w:uiPriority w:val="99"/>
    <w:rsid w:val="00301880"/>
    <w:pPr>
      <w:numPr>
        <w:ilvl w:val="1"/>
      </w:numPr>
    </w:pPr>
  </w:style>
  <w:style w:type="character" w:customStyle="1" w:styleId="CoffeyNumbersL1Char">
    <w:name w:val="Coffey Numbers L1 Char"/>
    <w:basedOn w:val="DefaultParagraphFont"/>
    <w:link w:val="CoffeyNumbersL1"/>
    <w:uiPriority w:val="99"/>
    <w:rsid w:val="00301880"/>
    <w:rPr>
      <w:rFonts w:ascii="Arial" w:eastAsia="Arial" w:hAnsi="Arial" w:cs="Times New Roman"/>
      <w:sz w:val="20"/>
      <w:szCs w:val="20"/>
    </w:rPr>
  </w:style>
  <w:style w:type="paragraph" w:customStyle="1" w:styleId="CoffeyNumbersL3">
    <w:name w:val="Coffey Numbers L3"/>
    <w:basedOn w:val="CoffeyNumbersL2"/>
    <w:link w:val="CoffeyNumbersL3Char"/>
    <w:uiPriority w:val="99"/>
    <w:rsid w:val="00301880"/>
    <w:pPr>
      <w:numPr>
        <w:ilvl w:val="2"/>
      </w:numPr>
    </w:pPr>
  </w:style>
  <w:style w:type="character" w:customStyle="1" w:styleId="CoffeyNumbersL2Char">
    <w:name w:val="Coffey Numbers L2 Char"/>
    <w:basedOn w:val="DefaultParagraphFont"/>
    <w:link w:val="CoffeyNumbersL2"/>
    <w:uiPriority w:val="99"/>
    <w:rsid w:val="00301880"/>
    <w:rPr>
      <w:rFonts w:ascii="Arial" w:eastAsia="Arial" w:hAnsi="Arial" w:cs="Times New Roman"/>
      <w:sz w:val="20"/>
      <w:szCs w:val="20"/>
    </w:rPr>
  </w:style>
  <w:style w:type="numbering" w:customStyle="1" w:styleId="CoffeyBullets">
    <w:name w:val="Coffey Bullets"/>
    <w:uiPriority w:val="99"/>
    <w:rsid w:val="00301880"/>
    <w:pPr>
      <w:numPr>
        <w:numId w:val="18"/>
      </w:numPr>
    </w:pPr>
  </w:style>
  <w:style w:type="character" w:customStyle="1" w:styleId="CoffeyNumbersL3Char">
    <w:name w:val="Coffey Numbers L3 Char"/>
    <w:basedOn w:val="DefaultParagraphFont"/>
    <w:link w:val="CoffeyNumbersL3"/>
    <w:uiPriority w:val="99"/>
    <w:rsid w:val="00301880"/>
    <w:rPr>
      <w:rFonts w:ascii="Arial" w:eastAsia="Arial" w:hAnsi="Arial" w:cs="Times New Roman"/>
      <w:sz w:val="20"/>
      <w:szCs w:val="20"/>
    </w:rPr>
  </w:style>
  <w:style w:type="numbering" w:customStyle="1" w:styleId="CoffeyNumbers">
    <w:name w:val="Coffey Numbers"/>
    <w:uiPriority w:val="99"/>
    <w:rsid w:val="00301880"/>
    <w:pPr>
      <w:numPr>
        <w:numId w:val="15"/>
      </w:numPr>
    </w:pPr>
  </w:style>
  <w:style w:type="paragraph" w:customStyle="1" w:styleId="CoffeyBlankPageText">
    <w:name w:val="Coffey Blank Page Text"/>
    <w:basedOn w:val="BodyText"/>
    <w:next w:val="BodyText"/>
    <w:link w:val="CoffeyBlankPageTextChar"/>
    <w:uiPriority w:val="99"/>
    <w:rsid w:val="00301880"/>
    <w:pPr>
      <w:keepLines/>
      <w:pageBreakBefore/>
      <w:autoSpaceDE/>
      <w:autoSpaceDN/>
      <w:adjustRightInd/>
      <w:spacing w:before="2000" w:after="0" w:line="264" w:lineRule="auto"/>
      <w:jc w:val="center"/>
    </w:pPr>
    <w:rPr>
      <w:rFonts w:ascii="Arial" w:eastAsia="Arial" w:hAnsi="Arial" w:cs="Times New Roman"/>
      <w:color w:val="1FE9FF" w:themeColor="accent1" w:themeTint="99"/>
      <w:sz w:val="19"/>
    </w:rPr>
  </w:style>
  <w:style w:type="character" w:customStyle="1" w:styleId="CoffeyBlankPageTextChar">
    <w:name w:val="Coffey Blank Page Text Char"/>
    <w:basedOn w:val="BodyTextChar"/>
    <w:link w:val="CoffeyBlankPageText"/>
    <w:uiPriority w:val="99"/>
    <w:rsid w:val="00301880"/>
    <w:rPr>
      <w:rFonts w:ascii="Arial" w:eastAsia="Arial" w:hAnsi="Arial" w:cs="Times New Roman"/>
      <w:color w:val="1FE9FF" w:themeColor="accent1" w:themeTint="99"/>
      <w:sz w:val="19"/>
      <w:szCs w:val="19"/>
      <w:lang w:eastAsia="ko-KR"/>
    </w:rPr>
  </w:style>
  <w:style w:type="paragraph" w:styleId="TOC7">
    <w:name w:val="toc 7"/>
    <w:basedOn w:val="Normal"/>
    <w:next w:val="Normal"/>
    <w:uiPriority w:val="39"/>
    <w:rsid w:val="00301880"/>
    <w:pPr>
      <w:autoSpaceDE/>
      <w:autoSpaceDN/>
      <w:adjustRightInd/>
      <w:spacing w:before="0" w:after="100" w:line="264" w:lineRule="auto"/>
      <w:jc w:val="left"/>
    </w:pPr>
    <w:rPr>
      <w:rFonts w:ascii="Arial" w:eastAsia="Arial" w:hAnsi="Arial" w:cs="Times New Roman"/>
      <w:spacing w:val="0"/>
      <w:sz w:val="20"/>
      <w:lang w:eastAsia="en-US"/>
    </w:rPr>
  </w:style>
  <w:style w:type="character" w:styleId="PlaceholderText">
    <w:name w:val="Placeholder Text"/>
    <w:basedOn w:val="DefaultParagraphFont"/>
    <w:uiPriority w:val="99"/>
    <w:semiHidden/>
    <w:rsid w:val="00301880"/>
    <w:rPr>
      <w:color w:val="808080"/>
    </w:rPr>
  </w:style>
  <w:style w:type="paragraph" w:customStyle="1" w:styleId="boxheading">
    <w:name w:val="box heading"/>
    <w:basedOn w:val="BodyCopy"/>
    <w:uiPriority w:val="99"/>
    <w:rsid w:val="00301880"/>
    <w:rPr>
      <w:b/>
      <w:color w:val="FFFFFF" w:themeColor="background1"/>
    </w:rPr>
  </w:style>
  <w:style w:type="paragraph" w:customStyle="1" w:styleId="Boxbullet">
    <w:name w:val="Box bullet"/>
    <w:basedOn w:val="BodyCopy"/>
    <w:uiPriority w:val="99"/>
    <w:rsid w:val="00301880"/>
    <w:pPr>
      <w:numPr>
        <w:numId w:val="16"/>
      </w:numPr>
    </w:pPr>
    <w:rPr>
      <w:color w:val="FFFFFF" w:themeColor="background1"/>
    </w:rPr>
  </w:style>
  <w:style w:type="paragraph" w:customStyle="1" w:styleId="Heading41">
    <w:name w:val="Heading 41"/>
    <w:basedOn w:val="Heading3NoNumbers"/>
    <w:link w:val="heading4Char0"/>
    <w:uiPriority w:val="99"/>
    <w:rsid w:val="00301880"/>
    <w:pPr>
      <w:contextualSpacing w:val="0"/>
      <w:outlineLvl w:val="9"/>
    </w:pPr>
    <w:rPr>
      <w:color w:val="A25EA6"/>
    </w:rPr>
  </w:style>
  <w:style w:type="character" w:customStyle="1" w:styleId="heading4Char0">
    <w:name w:val="heading 4 Char"/>
    <w:basedOn w:val="Heading3NoNumbersChar"/>
    <w:link w:val="Heading41"/>
    <w:uiPriority w:val="99"/>
    <w:rsid w:val="00301880"/>
    <w:rPr>
      <w:rFonts w:ascii="Arial" w:eastAsia="Arial" w:hAnsi="Arial" w:cs="Times New Roman"/>
      <w:b/>
      <w:color w:val="A25EA6"/>
      <w:spacing w:val="-6"/>
      <w:sz w:val="24"/>
      <w:szCs w:val="32"/>
      <w:lang w:val="en-GB" w:eastAsia="en-AU"/>
    </w:rPr>
  </w:style>
  <w:style w:type="paragraph" w:customStyle="1" w:styleId="AnnexHeading0">
    <w:name w:val="Annex Heading"/>
    <w:basedOn w:val="ContentsHeading"/>
    <w:link w:val="AnnexHeadingChar"/>
    <w:uiPriority w:val="99"/>
    <w:rsid w:val="00301880"/>
  </w:style>
  <w:style w:type="paragraph" w:customStyle="1" w:styleId="TableHead">
    <w:name w:val="Table Head"/>
    <w:basedOn w:val="Normal"/>
    <w:link w:val="TableHeadChar"/>
    <w:uiPriority w:val="99"/>
    <w:rsid w:val="00301880"/>
    <w:pPr>
      <w:keepNext/>
      <w:keepLines/>
      <w:autoSpaceDE/>
      <w:autoSpaceDN/>
      <w:adjustRightInd/>
      <w:spacing w:before="240" w:line="264" w:lineRule="auto"/>
      <w:ind w:left="1134" w:hanging="1134"/>
      <w:contextualSpacing/>
      <w:jc w:val="left"/>
    </w:pPr>
    <w:rPr>
      <w:rFonts w:ascii="Rockwell" w:eastAsia="Arial" w:hAnsi="Rockwell" w:cs="Times New Roman"/>
      <w:b/>
      <w:spacing w:val="0"/>
      <w:szCs w:val="22"/>
      <w:lang w:val="en-CA" w:eastAsia="en-US"/>
    </w:rPr>
  </w:style>
  <w:style w:type="character" w:customStyle="1" w:styleId="ContentsHeadingChar">
    <w:name w:val="Contents Heading Char"/>
    <w:basedOn w:val="DefaultParagraphFont"/>
    <w:link w:val="ContentsHeading"/>
    <w:uiPriority w:val="99"/>
    <w:rsid w:val="00301880"/>
    <w:rPr>
      <w:rFonts w:ascii="Arial" w:eastAsia="Arial" w:hAnsi="Arial" w:cs="Times New Roman"/>
      <w:b/>
      <w:sz w:val="44"/>
      <w:szCs w:val="40"/>
    </w:rPr>
  </w:style>
  <w:style w:type="character" w:customStyle="1" w:styleId="AnnexHeadingChar">
    <w:name w:val="Annex Heading Char"/>
    <w:basedOn w:val="ContentsHeadingChar"/>
    <w:link w:val="AnnexHeading0"/>
    <w:uiPriority w:val="99"/>
    <w:rsid w:val="00301880"/>
    <w:rPr>
      <w:rFonts w:ascii="Arial" w:eastAsia="Arial" w:hAnsi="Arial" w:cs="Times New Roman"/>
      <w:b/>
      <w:sz w:val="44"/>
      <w:szCs w:val="40"/>
    </w:rPr>
  </w:style>
  <w:style w:type="character" w:customStyle="1" w:styleId="TableHeadChar">
    <w:name w:val="Table Head Char"/>
    <w:basedOn w:val="DefaultParagraphFont"/>
    <w:link w:val="TableHead"/>
    <w:uiPriority w:val="99"/>
    <w:rsid w:val="00301880"/>
    <w:rPr>
      <w:rFonts w:ascii="Rockwell" w:eastAsia="Arial" w:hAnsi="Rockwell" w:cs="Times New Roman"/>
      <w:b/>
      <w:lang w:val="en-CA"/>
    </w:rPr>
  </w:style>
  <w:style w:type="character" w:styleId="FollowedHyperlink">
    <w:name w:val="FollowedHyperlink"/>
    <w:basedOn w:val="DefaultParagraphFont"/>
    <w:uiPriority w:val="99"/>
    <w:semiHidden/>
    <w:unhideWhenUsed/>
    <w:rsid w:val="00301880"/>
    <w:rPr>
      <w:color w:val="954F72"/>
      <w:u w:val="single"/>
    </w:rPr>
  </w:style>
  <w:style w:type="paragraph" w:customStyle="1" w:styleId="msonormal0">
    <w:name w:val="msonormal"/>
    <w:basedOn w:val="Normal"/>
    <w:rsid w:val="00301880"/>
    <w:pPr>
      <w:autoSpaceDE/>
      <w:autoSpaceDN/>
      <w:adjustRightInd/>
      <w:spacing w:before="100" w:beforeAutospacing="1" w:after="100" w:afterAutospacing="1"/>
      <w:jc w:val="left"/>
    </w:pPr>
    <w:rPr>
      <w:rFonts w:ascii="Times New Roman" w:eastAsia="Times New Roman" w:hAnsi="Times New Roman" w:cs="Times New Roman"/>
      <w:spacing w:val="0"/>
      <w:sz w:val="24"/>
      <w:szCs w:val="24"/>
      <w:lang w:val="en-US" w:eastAsia="en-US"/>
    </w:rPr>
  </w:style>
  <w:style w:type="paragraph" w:customStyle="1" w:styleId="font5">
    <w:name w:val="font5"/>
    <w:basedOn w:val="Normal"/>
    <w:rsid w:val="00301880"/>
    <w:pPr>
      <w:autoSpaceDE/>
      <w:autoSpaceDN/>
      <w:adjustRightInd/>
      <w:spacing w:before="100" w:beforeAutospacing="1" w:after="100" w:afterAutospacing="1"/>
      <w:jc w:val="left"/>
    </w:pPr>
    <w:rPr>
      <w:rFonts w:ascii="Times New Roman" w:eastAsia="Times New Roman" w:hAnsi="Times New Roman" w:cs="Times New Roman"/>
      <w:color w:val="000000"/>
      <w:spacing w:val="0"/>
      <w:sz w:val="20"/>
      <w:lang w:val="en-US" w:eastAsia="en-US"/>
    </w:rPr>
  </w:style>
  <w:style w:type="paragraph" w:customStyle="1" w:styleId="font6">
    <w:name w:val="font6"/>
    <w:basedOn w:val="Normal"/>
    <w:rsid w:val="00301880"/>
    <w:pPr>
      <w:autoSpaceDE/>
      <w:autoSpaceDN/>
      <w:adjustRightInd/>
      <w:spacing w:before="100" w:beforeAutospacing="1" w:after="100" w:afterAutospacing="1"/>
      <w:jc w:val="left"/>
    </w:pPr>
    <w:rPr>
      <w:rFonts w:ascii="Arial" w:eastAsia="Times New Roman" w:hAnsi="Arial"/>
      <w:color w:val="000000"/>
      <w:spacing w:val="0"/>
      <w:sz w:val="20"/>
      <w:lang w:val="en-US" w:eastAsia="en-US"/>
    </w:rPr>
  </w:style>
  <w:style w:type="paragraph" w:customStyle="1" w:styleId="font7">
    <w:name w:val="font7"/>
    <w:basedOn w:val="Normal"/>
    <w:rsid w:val="00301880"/>
    <w:pPr>
      <w:autoSpaceDE/>
      <w:autoSpaceDN/>
      <w:adjustRightInd/>
      <w:spacing w:before="100" w:beforeAutospacing="1" w:after="100" w:afterAutospacing="1"/>
      <w:jc w:val="left"/>
    </w:pPr>
    <w:rPr>
      <w:rFonts w:ascii="Times New Roman" w:eastAsia="Times New Roman" w:hAnsi="Times New Roman" w:cs="Times New Roman"/>
      <w:color w:val="000000"/>
      <w:spacing w:val="0"/>
      <w:sz w:val="18"/>
      <w:szCs w:val="18"/>
      <w:lang w:val="en-US" w:eastAsia="en-US"/>
    </w:rPr>
  </w:style>
  <w:style w:type="paragraph" w:customStyle="1" w:styleId="font8">
    <w:name w:val="font8"/>
    <w:basedOn w:val="Normal"/>
    <w:rsid w:val="00301880"/>
    <w:pPr>
      <w:autoSpaceDE/>
      <w:autoSpaceDN/>
      <w:adjustRightInd/>
      <w:spacing w:before="100" w:beforeAutospacing="1" w:after="100" w:afterAutospacing="1"/>
      <w:jc w:val="left"/>
    </w:pPr>
    <w:rPr>
      <w:rFonts w:ascii="Arial" w:eastAsia="Times New Roman" w:hAnsi="Arial"/>
      <w:color w:val="000000"/>
      <w:spacing w:val="0"/>
      <w:sz w:val="18"/>
      <w:szCs w:val="18"/>
      <w:lang w:val="en-US" w:eastAsia="en-US"/>
    </w:rPr>
  </w:style>
  <w:style w:type="paragraph" w:customStyle="1" w:styleId="font9">
    <w:name w:val="font9"/>
    <w:basedOn w:val="Normal"/>
    <w:rsid w:val="00301880"/>
    <w:pPr>
      <w:autoSpaceDE/>
      <w:autoSpaceDN/>
      <w:adjustRightInd/>
      <w:spacing w:before="100" w:beforeAutospacing="1" w:after="100" w:afterAutospacing="1"/>
      <w:jc w:val="left"/>
    </w:pPr>
    <w:rPr>
      <w:rFonts w:ascii="Tahoma" w:eastAsia="Times New Roman" w:hAnsi="Tahoma" w:cs="Tahoma"/>
      <w:color w:val="000000"/>
      <w:spacing w:val="0"/>
      <w:sz w:val="18"/>
      <w:szCs w:val="18"/>
      <w:lang w:val="en-US" w:eastAsia="en-US"/>
    </w:rPr>
  </w:style>
  <w:style w:type="paragraph" w:customStyle="1" w:styleId="font10">
    <w:name w:val="font10"/>
    <w:basedOn w:val="Normal"/>
    <w:rsid w:val="00301880"/>
    <w:pPr>
      <w:autoSpaceDE/>
      <w:autoSpaceDN/>
      <w:adjustRightInd/>
      <w:spacing w:before="100" w:beforeAutospacing="1" w:after="100" w:afterAutospacing="1"/>
      <w:jc w:val="left"/>
    </w:pPr>
    <w:rPr>
      <w:rFonts w:ascii="Tahoma" w:eastAsia="Times New Roman" w:hAnsi="Tahoma" w:cs="Tahoma"/>
      <w:b/>
      <w:bCs/>
      <w:color w:val="000000"/>
      <w:spacing w:val="0"/>
      <w:sz w:val="18"/>
      <w:szCs w:val="18"/>
      <w:lang w:val="en-US" w:eastAsia="en-US"/>
    </w:rPr>
  </w:style>
  <w:style w:type="paragraph" w:customStyle="1" w:styleId="xl63">
    <w:name w:val="xl63"/>
    <w:basedOn w:val="Normal"/>
    <w:rsid w:val="00301880"/>
    <w:pPr>
      <w:pBdr>
        <w:left w:val="single" w:sz="8" w:space="0" w:color="FFFFFF"/>
        <w:right w:val="single" w:sz="8" w:space="0" w:color="FFFFFF"/>
      </w:pBdr>
      <w:shd w:val="clear" w:color="000000" w:fill="D9D9D9"/>
      <w:autoSpaceDE/>
      <w:autoSpaceDN/>
      <w:adjustRightInd/>
      <w:spacing w:before="100" w:beforeAutospacing="1" w:after="100" w:afterAutospacing="1"/>
      <w:jc w:val="left"/>
      <w:textAlignment w:val="top"/>
    </w:pPr>
    <w:rPr>
      <w:rFonts w:ascii="Times New Roman" w:eastAsia="Times New Roman" w:hAnsi="Times New Roman" w:cs="Times New Roman"/>
      <w:spacing w:val="0"/>
      <w:sz w:val="20"/>
      <w:lang w:val="en-US" w:eastAsia="en-US"/>
    </w:rPr>
  </w:style>
  <w:style w:type="paragraph" w:customStyle="1" w:styleId="xl64">
    <w:name w:val="xl64"/>
    <w:basedOn w:val="Normal"/>
    <w:rsid w:val="00301880"/>
    <w:pPr>
      <w:pBdr>
        <w:left w:val="single" w:sz="8" w:space="0" w:color="FFFFFF"/>
        <w:bottom w:val="single" w:sz="8" w:space="0" w:color="FFFFFF"/>
        <w:right w:val="single" w:sz="8" w:space="0" w:color="FFFFFF"/>
      </w:pBdr>
      <w:shd w:val="clear" w:color="000000" w:fill="D9D9D9"/>
      <w:autoSpaceDE/>
      <w:autoSpaceDN/>
      <w:adjustRightInd/>
      <w:spacing w:before="100" w:beforeAutospacing="1" w:after="100" w:afterAutospacing="1"/>
      <w:jc w:val="left"/>
      <w:textAlignment w:val="top"/>
    </w:pPr>
    <w:rPr>
      <w:rFonts w:ascii="Times New Roman" w:eastAsia="Times New Roman" w:hAnsi="Times New Roman" w:cs="Times New Roman"/>
      <w:spacing w:val="0"/>
      <w:sz w:val="20"/>
      <w:lang w:val="en-US" w:eastAsia="en-US"/>
    </w:rPr>
  </w:style>
  <w:style w:type="paragraph" w:customStyle="1" w:styleId="xl65">
    <w:name w:val="xl65"/>
    <w:basedOn w:val="Normal"/>
    <w:rsid w:val="00301880"/>
    <w:pPr>
      <w:pBdr>
        <w:left w:val="single" w:sz="8" w:space="0" w:color="FFFFFF"/>
        <w:right w:val="single" w:sz="8" w:space="0" w:color="FFFFFF"/>
      </w:pBdr>
      <w:shd w:val="clear" w:color="000000" w:fill="D9D9D9"/>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66">
    <w:name w:val="xl66"/>
    <w:basedOn w:val="Normal"/>
    <w:rsid w:val="00301880"/>
    <w:pPr>
      <w:autoSpaceDE/>
      <w:autoSpaceDN/>
      <w:adjustRightInd/>
      <w:spacing w:before="100" w:beforeAutospacing="1" w:after="100" w:afterAutospacing="1"/>
      <w:jc w:val="left"/>
      <w:textAlignment w:val="center"/>
    </w:pPr>
    <w:rPr>
      <w:rFonts w:ascii="Times New Roman" w:eastAsia="Times New Roman" w:hAnsi="Times New Roman" w:cs="Times New Roman"/>
      <w:spacing w:val="0"/>
      <w:sz w:val="20"/>
      <w:lang w:val="en-US" w:eastAsia="en-US"/>
    </w:rPr>
  </w:style>
  <w:style w:type="paragraph" w:customStyle="1" w:styleId="xl67">
    <w:name w:val="xl67"/>
    <w:basedOn w:val="Normal"/>
    <w:rsid w:val="00301880"/>
    <w:pPr>
      <w:pBdr>
        <w:left w:val="single" w:sz="8" w:space="0" w:color="FFFFFF"/>
        <w:bottom w:val="single" w:sz="8" w:space="0" w:color="FFFFFF"/>
        <w:right w:val="single" w:sz="8" w:space="0" w:color="FFFFFF"/>
      </w:pBdr>
      <w:shd w:val="clear" w:color="000000" w:fill="BFBFBF"/>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68">
    <w:name w:val="xl68"/>
    <w:basedOn w:val="Normal"/>
    <w:rsid w:val="00301880"/>
    <w:pPr>
      <w:autoSpaceDE/>
      <w:autoSpaceDN/>
      <w:adjustRightInd/>
      <w:spacing w:before="100" w:beforeAutospacing="1" w:after="100" w:afterAutospacing="1"/>
      <w:jc w:val="left"/>
    </w:pPr>
    <w:rPr>
      <w:rFonts w:ascii="Times New Roman" w:eastAsia="Times New Roman" w:hAnsi="Times New Roman" w:cs="Times New Roman"/>
      <w:spacing w:val="0"/>
      <w:sz w:val="20"/>
      <w:lang w:val="en-US" w:eastAsia="en-US"/>
    </w:rPr>
  </w:style>
  <w:style w:type="paragraph" w:customStyle="1" w:styleId="xl69">
    <w:name w:val="xl69"/>
    <w:basedOn w:val="Normal"/>
    <w:rsid w:val="00301880"/>
    <w:pPr>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70">
    <w:name w:val="xl70"/>
    <w:basedOn w:val="Normal"/>
    <w:rsid w:val="00301880"/>
    <w:pPr>
      <w:autoSpaceDE/>
      <w:autoSpaceDN/>
      <w:adjustRightInd/>
      <w:spacing w:before="100" w:beforeAutospacing="1" w:after="100" w:afterAutospacing="1"/>
      <w:jc w:val="left"/>
      <w:textAlignment w:val="center"/>
    </w:pPr>
    <w:rPr>
      <w:rFonts w:ascii="Arial" w:eastAsia="Times New Roman" w:hAnsi="Arial"/>
      <w:color w:val="000000"/>
      <w:spacing w:val="0"/>
      <w:sz w:val="20"/>
      <w:lang w:val="en-US" w:eastAsia="en-US"/>
    </w:rPr>
  </w:style>
  <w:style w:type="paragraph" w:customStyle="1" w:styleId="xl71">
    <w:name w:val="xl71"/>
    <w:basedOn w:val="Normal"/>
    <w:rsid w:val="00301880"/>
    <w:pPr>
      <w:pBdr>
        <w:top w:val="single" w:sz="8" w:space="0" w:color="FFFFFF"/>
        <w:left w:val="single" w:sz="8" w:space="0" w:color="FFFFFF"/>
        <w:bottom w:val="single" w:sz="8" w:space="0" w:color="FFFFFF"/>
      </w:pBdr>
      <w:shd w:val="clear" w:color="000000" w:fill="A15EA6"/>
      <w:autoSpaceDE/>
      <w:autoSpaceDN/>
      <w:adjustRightInd/>
      <w:spacing w:before="100" w:beforeAutospacing="1" w:after="100" w:afterAutospacing="1"/>
      <w:jc w:val="center"/>
      <w:textAlignment w:val="center"/>
    </w:pPr>
    <w:rPr>
      <w:rFonts w:ascii="Arial" w:eastAsia="Times New Roman" w:hAnsi="Arial"/>
      <w:b/>
      <w:bCs/>
      <w:color w:val="FFFFFF"/>
      <w:spacing w:val="0"/>
      <w:sz w:val="20"/>
      <w:lang w:val="en-US" w:eastAsia="en-US"/>
    </w:rPr>
  </w:style>
  <w:style w:type="paragraph" w:customStyle="1" w:styleId="xl72">
    <w:name w:val="xl72"/>
    <w:basedOn w:val="Normal"/>
    <w:rsid w:val="00301880"/>
    <w:pPr>
      <w:pBdr>
        <w:bottom w:val="single" w:sz="8" w:space="0" w:color="FFFFFF"/>
        <w:right w:val="single" w:sz="8" w:space="0" w:color="FFFFFF"/>
      </w:pBdr>
      <w:shd w:val="clear" w:color="000000" w:fill="F1F1F1"/>
      <w:autoSpaceDE/>
      <w:autoSpaceDN/>
      <w:adjustRightInd/>
      <w:spacing w:before="100" w:beforeAutospacing="1" w:after="100" w:afterAutospacing="1"/>
      <w:jc w:val="left"/>
      <w:textAlignment w:val="center"/>
    </w:pPr>
    <w:rPr>
      <w:rFonts w:ascii="Arial" w:eastAsia="Times New Roman" w:hAnsi="Arial"/>
      <w:color w:val="000000"/>
      <w:spacing w:val="0"/>
      <w:sz w:val="20"/>
      <w:lang w:val="en-US" w:eastAsia="en-US"/>
    </w:rPr>
  </w:style>
  <w:style w:type="paragraph" w:customStyle="1" w:styleId="xl73">
    <w:name w:val="xl73"/>
    <w:basedOn w:val="Normal"/>
    <w:rsid w:val="00301880"/>
    <w:pPr>
      <w:pBdr>
        <w:top w:val="single" w:sz="8" w:space="0" w:color="FFFFFF"/>
        <w:left w:val="single" w:sz="8" w:space="0" w:color="FFFFFF"/>
        <w:bottom w:val="single" w:sz="8" w:space="0" w:color="FFFFFF"/>
      </w:pBdr>
      <w:shd w:val="clear" w:color="000000" w:fill="F2F2F2"/>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74">
    <w:name w:val="xl74"/>
    <w:basedOn w:val="Normal"/>
    <w:rsid w:val="00301880"/>
    <w:pPr>
      <w:pBdr>
        <w:bottom w:val="single" w:sz="8" w:space="0" w:color="FFFFFF"/>
        <w:right w:val="single" w:sz="8" w:space="0" w:color="FFFFFF"/>
      </w:pBdr>
      <w:shd w:val="clear" w:color="000000" w:fill="F2F2F2"/>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75">
    <w:name w:val="xl75"/>
    <w:basedOn w:val="Normal"/>
    <w:rsid w:val="00301880"/>
    <w:pPr>
      <w:pBdr>
        <w:top w:val="single" w:sz="8" w:space="0" w:color="FFFFFF"/>
        <w:left w:val="single" w:sz="8" w:space="0" w:color="FFFFFF"/>
        <w:bottom w:val="single" w:sz="8" w:space="0" w:color="FFFFFF"/>
      </w:pBdr>
      <w:shd w:val="clear" w:color="000000" w:fill="F1F1F1"/>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76">
    <w:name w:val="xl76"/>
    <w:basedOn w:val="Normal"/>
    <w:rsid w:val="00301880"/>
    <w:pPr>
      <w:pBdr>
        <w:top w:val="single" w:sz="8" w:space="0" w:color="FFFFFF"/>
        <w:bottom w:val="single" w:sz="8" w:space="0" w:color="FFFFFF"/>
        <w:right w:val="single" w:sz="8" w:space="0" w:color="FFFFFF"/>
      </w:pBdr>
      <w:shd w:val="clear" w:color="000000" w:fill="F1F1F1"/>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77">
    <w:name w:val="xl77"/>
    <w:basedOn w:val="Normal"/>
    <w:rsid w:val="00301880"/>
    <w:pPr>
      <w:pBdr>
        <w:bottom w:val="single" w:sz="8" w:space="0" w:color="FFFFFF"/>
        <w:right w:val="single" w:sz="8" w:space="0" w:color="FFFFFF"/>
      </w:pBdr>
      <w:shd w:val="clear" w:color="000000" w:fill="F1F1F1"/>
      <w:autoSpaceDE/>
      <w:autoSpaceDN/>
      <w:adjustRightInd/>
      <w:spacing w:before="100" w:beforeAutospacing="1" w:after="100" w:afterAutospacing="1"/>
      <w:jc w:val="left"/>
      <w:textAlignment w:val="center"/>
    </w:pPr>
    <w:rPr>
      <w:rFonts w:ascii="Arial" w:eastAsia="Times New Roman" w:hAnsi="Arial"/>
      <w:b/>
      <w:bCs/>
      <w:i/>
      <w:iCs/>
      <w:color w:val="000000"/>
      <w:spacing w:val="0"/>
      <w:sz w:val="20"/>
      <w:lang w:val="en-US" w:eastAsia="en-US"/>
    </w:rPr>
  </w:style>
  <w:style w:type="paragraph" w:customStyle="1" w:styleId="xl78">
    <w:name w:val="xl78"/>
    <w:basedOn w:val="Normal"/>
    <w:rsid w:val="00301880"/>
    <w:pPr>
      <w:pBdr>
        <w:top w:val="single" w:sz="8" w:space="0" w:color="FFFFFF"/>
        <w:left w:val="single" w:sz="8" w:space="0" w:color="FFFFFF"/>
        <w:bottom w:val="single" w:sz="8" w:space="0" w:color="FFFFFF"/>
      </w:pBdr>
      <w:shd w:val="clear" w:color="000000" w:fill="F7CAAC"/>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79">
    <w:name w:val="xl79"/>
    <w:basedOn w:val="Normal"/>
    <w:rsid w:val="00301880"/>
    <w:pPr>
      <w:pBdr>
        <w:bottom w:val="single" w:sz="8" w:space="0" w:color="FFFFFF"/>
        <w:right w:val="single" w:sz="8" w:space="0" w:color="FFFFFF"/>
      </w:pBdr>
      <w:shd w:val="clear" w:color="000000" w:fill="F7CAAC"/>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80">
    <w:name w:val="xl80"/>
    <w:basedOn w:val="Normal"/>
    <w:rsid w:val="00301880"/>
    <w:pPr>
      <w:pBdr>
        <w:top w:val="single" w:sz="8" w:space="0" w:color="FFFFFF"/>
        <w:bottom w:val="single" w:sz="8" w:space="0" w:color="FFFFFF"/>
        <w:right w:val="single" w:sz="8" w:space="0" w:color="FFFFFF"/>
      </w:pBdr>
      <w:shd w:val="clear" w:color="000000" w:fill="F1F1F1"/>
      <w:autoSpaceDE/>
      <w:autoSpaceDN/>
      <w:adjustRightInd/>
      <w:spacing w:before="100" w:beforeAutospacing="1" w:after="100" w:afterAutospacing="1"/>
      <w:jc w:val="center"/>
      <w:textAlignment w:val="center"/>
    </w:pPr>
    <w:rPr>
      <w:rFonts w:ascii="Arial" w:eastAsia="Times New Roman" w:hAnsi="Arial"/>
      <w:b/>
      <w:bCs/>
      <w:color w:val="000000"/>
      <w:spacing w:val="0"/>
      <w:sz w:val="20"/>
      <w:lang w:val="en-US" w:eastAsia="en-US"/>
    </w:rPr>
  </w:style>
  <w:style w:type="paragraph" w:customStyle="1" w:styleId="xl81">
    <w:name w:val="xl81"/>
    <w:basedOn w:val="Normal"/>
    <w:rsid w:val="00301880"/>
    <w:pPr>
      <w:pBdr>
        <w:top w:val="single" w:sz="8" w:space="0" w:color="FFFFFF"/>
        <w:left w:val="single" w:sz="8" w:space="0" w:color="FFFFFF"/>
        <w:bottom w:val="single" w:sz="8" w:space="0" w:color="FFFFFF"/>
      </w:pBdr>
      <w:shd w:val="clear" w:color="000000" w:fill="F1F1F1"/>
      <w:autoSpaceDE/>
      <w:autoSpaceDN/>
      <w:adjustRightInd/>
      <w:spacing w:before="100" w:beforeAutospacing="1" w:after="100" w:afterAutospacing="1"/>
      <w:jc w:val="center"/>
      <w:textAlignment w:val="center"/>
    </w:pPr>
    <w:rPr>
      <w:rFonts w:ascii="Arial" w:eastAsia="Times New Roman" w:hAnsi="Arial"/>
      <w:b/>
      <w:bCs/>
      <w:color w:val="000000"/>
      <w:spacing w:val="0"/>
      <w:sz w:val="20"/>
      <w:lang w:val="en-US" w:eastAsia="en-US"/>
    </w:rPr>
  </w:style>
  <w:style w:type="paragraph" w:customStyle="1" w:styleId="xl82">
    <w:name w:val="xl82"/>
    <w:basedOn w:val="Normal"/>
    <w:rsid w:val="00301880"/>
    <w:pPr>
      <w:pBdr>
        <w:top w:val="single" w:sz="8" w:space="0" w:color="FFFFFF"/>
        <w:left w:val="single" w:sz="8" w:space="0" w:color="FFFFFF"/>
        <w:bottom w:val="single" w:sz="8" w:space="0" w:color="FFFFFF"/>
      </w:pBdr>
      <w:shd w:val="clear" w:color="000000" w:fill="D9D9D9"/>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83">
    <w:name w:val="xl83"/>
    <w:basedOn w:val="Normal"/>
    <w:rsid w:val="00301880"/>
    <w:pPr>
      <w:pBdr>
        <w:top w:val="single" w:sz="8" w:space="0" w:color="FFFFFF"/>
        <w:bottom w:val="single" w:sz="8" w:space="0" w:color="FFFFFF"/>
      </w:pBdr>
      <w:shd w:val="clear" w:color="000000" w:fill="D9D9D9"/>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84">
    <w:name w:val="xl84"/>
    <w:basedOn w:val="Normal"/>
    <w:rsid w:val="00301880"/>
    <w:pPr>
      <w:pBdr>
        <w:top w:val="single" w:sz="8" w:space="0" w:color="FFFFFF"/>
        <w:bottom w:val="single" w:sz="8" w:space="0" w:color="FFFFFF"/>
        <w:right w:val="single" w:sz="8" w:space="0" w:color="FFFFFF"/>
      </w:pBdr>
      <w:shd w:val="clear" w:color="000000" w:fill="D9D9D9"/>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85">
    <w:name w:val="xl85"/>
    <w:basedOn w:val="Normal"/>
    <w:rsid w:val="00301880"/>
    <w:pPr>
      <w:pBdr>
        <w:bottom w:val="single" w:sz="8" w:space="0" w:color="FFFFFF"/>
        <w:right w:val="single" w:sz="8" w:space="0" w:color="FFFFFF"/>
      </w:pBdr>
      <w:shd w:val="clear" w:color="000000" w:fill="F1F1F1"/>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86">
    <w:name w:val="xl86"/>
    <w:basedOn w:val="Normal"/>
    <w:rsid w:val="00301880"/>
    <w:pPr>
      <w:pBdr>
        <w:bottom w:val="single" w:sz="8" w:space="0" w:color="FFFFFF"/>
        <w:right w:val="single" w:sz="8" w:space="0" w:color="FFFFFF"/>
      </w:pBdr>
      <w:shd w:val="clear" w:color="000000" w:fill="F2F2F2"/>
      <w:autoSpaceDE/>
      <w:autoSpaceDN/>
      <w:adjustRightInd/>
      <w:spacing w:before="100" w:beforeAutospacing="1" w:after="100" w:afterAutospacing="1"/>
      <w:jc w:val="left"/>
      <w:textAlignment w:val="center"/>
    </w:pPr>
    <w:rPr>
      <w:rFonts w:ascii="Arial" w:eastAsia="Times New Roman" w:hAnsi="Arial"/>
      <w:b/>
      <w:bCs/>
      <w:i/>
      <w:iCs/>
      <w:color w:val="000000"/>
      <w:spacing w:val="0"/>
      <w:sz w:val="20"/>
      <w:lang w:val="en-US" w:eastAsia="en-US"/>
    </w:rPr>
  </w:style>
  <w:style w:type="paragraph" w:customStyle="1" w:styleId="xl87">
    <w:name w:val="xl87"/>
    <w:basedOn w:val="Normal"/>
    <w:rsid w:val="00301880"/>
    <w:pPr>
      <w:pBdr>
        <w:top w:val="single" w:sz="8" w:space="0" w:color="FFFFFF"/>
        <w:bottom w:val="single" w:sz="8" w:space="0" w:color="FFFFFF"/>
      </w:pBdr>
      <w:shd w:val="clear" w:color="000000" w:fill="F1F1F1"/>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88">
    <w:name w:val="xl88"/>
    <w:basedOn w:val="Normal"/>
    <w:rsid w:val="00301880"/>
    <w:pPr>
      <w:pBdr>
        <w:top w:val="single" w:sz="8" w:space="0" w:color="FFFFFF"/>
        <w:bottom w:val="single" w:sz="8" w:space="0" w:color="FFFFFF"/>
      </w:pBdr>
      <w:shd w:val="clear" w:color="000000" w:fill="F2F2F2"/>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89">
    <w:name w:val="xl89"/>
    <w:basedOn w:val="Normal"/>
    <w:rsid w:val="00301880"/>
    <w:pPr>
      <w:pBdr>
        <w:top w:val="single" w:sz="8" w:space="0" w:color="FFFFFF"/>
        <w:bottom w:val="single" w:sz="8" w:space="0" w:color="FFFFFF"/>
        <w:right w:val="single" w:sz="8" w:space="0" w:color="FFFFFF"/>
      </w:pBdr>
      <w:shd w:val="clear" w:color="000000" w:fill="F2F2F2"/>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90">
    <w:name w:val="xl90"/>
    <w:basedOn w:val="Normal"/>
    <w:rsid w:val="00301880"/>
    <w:pPr>
      <w:pBdr>
        <w:bottom w:val="single" w:sz="8" w:space="0" w:color="FFFFFF"/>
        <w:right w:val="single" w:sz="8" w:space="0" w:color="FFFFFF"/>
      </w:pBdr>
      <w:shd w:val="clear" w:color="000000" w:fill="BFBFBF"/>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91">
    <w:name w:val="xl91"/>
    <w:basedOn w:val="Normal"/>
    <w:rsid w:val="00301880"/>
    <w:pPr>
      <w:pBdr>
        <w:top w:val="single" w:sz="8" w:space="0" w:color="FFFFFF"/>
        <w:left w:val="single" w:sz="8" w:space="0" w:color="FFFFFF"/>
        <w:bottom w:val="single" w:sz="8" w:space="0" w:color="FFFFFF"/>
      </w:pBdr>
      <w:shd w:val="clear" w:color="000000" w:fill="BFBFBF"/>
      <w:autoSpaceDE/>
      <w:autoSpaceDN/>
      <w:adjustRightInd/>
      <w:spacing w:before="100" w:beforeAutospacing="1" w:after="100" w:afterAutospacing="1"/>
      <w:jc w:val="center"/>
      <w:textAlignment w:val="center"/>
    </w:pPr>
    <w:rPr>
      <w:rFonts w:ascii="Arial" w:eastAsia="Times New Roman" w:hAnsi="Arial"/>
      <w:b/>
      <w:bCs/>
      <w:color w:val="000000"/>
      <w:spacing w:val="0"/>
      <w:sz w:val="20"/>
      <w:lang w:val="en-US" w:eastAsia="en-US"/>
    </w:rPr>
  </w:style>
  <w:style w:type="paragraph" w:customStyle="1" w:styleId="xl92">
    <w:name w:val="xl92"/>
    <w:basedOn w:val="Normal"/>
    <w:rsid w:val="00301880"/>
    <w:pPr>
      <w:pBdr>
        <w:left w:val="single" w:sz="8" w:space="0" w:color="FFFFFF"/>
        <w:right w:val="single" w:sz="8" w:space="0" w:color="FFFFFF"/>
      </w:pBdr>
      <w:shd w:val="clear" w:color="000000" w:fill="D9D9D9"/>
      <w:autoSpaceDE/>
      <w:autoSpaceDN/>
      <w:adjustRightInd/>
      <w:spacing w:before="100" w:beforeAutospacing="1" w:after="100" w:afterAutospacing="1"/>
      <w:jc w:val="left"/>
      <w:textAlignment w:val="center"/>
    </w:pPr>
    <w:rPr>
      <w:rFonts w:ascii="Symbol" w:eastAsia="Times New Roman" w:hAnsi="Symbol" w:cs="Times New Roman"/>
      <w:color w:val="000000"/>
      <w:spacing w:val="0"/>
      <w:sz w:val="20"/>
      <w:lang w:val="en-US" w:eastAsia="en-US"/>
    </w:rPr>
  </w:style>
  <w:style w:type="paragraph" w:customStyle="1" w:styleId="xl93">
    <w:name w:val="xl93"/>
    <w:basedOn w:val="Normal"/>
    <w:rsid w:val="00301880"/>
    <w:pPr>
      <w:pBdr>
        <w:left w:val="single" w:sz="8" w:space="0" w:color="FFFFFF"/>
        <w:right w:val="single" w:sz="8" w:space="0" w:color="FFFFFF"/>
      </w:pBdr>
      <w:shd w:val="clear" w:color="000000" w:fill="D9D9D9"/>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94">
    <w:name w:val="xl94"/>
    <w:basedOn w:val="Normal"/>
    <w:rsid w:val="00301880"/>
    <w:pPr>
      <w:pBdr>
        <w:left w:val="single" w:sz="8" w:space="0" w:color="FFFFFF"/>
        <w:right w:val="single" w:sz="8" w:space="0" w:color="FFFFFF"/>
      </w:pBdr>
      <w:shd w:val="clear" w:color="000000" w:fill="D9D9D9"/>
      <w:autoSpaceDE/>
      <w:autoSpaceDN/>
      <w:adjustRightInd/>
      <w:spacing w:before="100" w:beforeAutospacing="1" w:after="100" w:afterAutospacing="1"/>
      <w:jc w:val="left"/>
      <w:textAlignment w:val="top"/>
    </w:pPr>
    <w:rPr>
      <w:rFonts w:ascii="Times New Roman" w:eastAsia="Times New Roman" w:hAnsi="Times New Roman" w:cs="Times New Roman"/>
      <w:spacing w:val="0"/>
      <w:sz w:val="20"/>
      <w:lang w:val="en-US" w:eastAsia="en-US"/>
    </w:rPr>
  </w:style>
  <w:style w:type="paragraph" w:customStyle="1" w:styleId="xl95">
    <w:name w:val="xl95"/>
    <w:basedOn w:val="Normal"/>
    <w:rsid w:val="00301880"/>
    <w:pPr>
      <w:pBdr>
        <w:left w:val="single" w:sz="8" w:space="0" w:color="FFFFFF"/>
        <w:bottom w:val="single" w:sz="8" w:space="0" w:color="FFFFFF"/>
        <w:right w:val="single" w:sz="8" w:space="0" w:color="FFFFFF"/>
      </w:pBdr>
      <w:shd w:val="clear" w:color="000000" w:fill="D9D9D9"/>
      <w:autoSpaceDE/>
      <w:autoSpaceDN/>
      <w:adjustRightInd/>
      <w:spacing w:before="100" w:beforeAutospacing="1" w:after="100" w:afterAutospacing="1"/>
      <w:jc w:val="left"/>
      <w:textAlignment w:val="top"/>
    </w:pPr>
    <w:rPr>
      <w:rFonts w:ascii="Times New Roman" w:eastAsia="Times New Roman" w:hAnsi="Times New Roman" w:cs="Times New Roman"/>
      <w:spacing w:val="0"/>
      <w:sz w:val="20"/>
      <w:lang w:val="en-US" w:eastAsia="en-US"/>
    </w:rPr>
  </w:style>
  <w:style w:type="paragraph" w:customStyle="1" w:styleId="xl96">
    <w:name w:val="xl96"/>
    <w:basedOn w:val="Normal"/>
    <w:rsid w:val="00301880"/>
    <w:pPr>
      <w:pBdr>
        <w:top w:val="single" w:sz="8" w:space="0" w:color="FFFFFF"/>
        <w:left w:val="single" w:sz="8" w:space="0" w:color="FFFFFF"/>
        <w:bottom w:val="single" w:sz="8" w:space="0" w:color="FFFFFF"/>
        <w:right w:val="single" w:sz="8" w:space="0" w:color="FFFFFF"/>
      </w:pBdr>
      <w:shd w:val="clear" w:color="000000" w:fill="A15EA6"/>
      <w:autoSpaceDE/>
      <w:autoSpaceDN/>
      <w:adjustRightInd/>
      <w:spacing w:before="100" w:beforeAutospacing="1" w:after="100" w:afterAutospacing="1"/>
      <w:jc w:val="center"/>
      <w:textAlignment w:val="center"/>
    </w:pPr>
    <w:rPr>
      <w:rFonts w:ascii="Arial" w:eastAsia="Times New Roman" w:hAnsi="Arial"/>
      <w:b/>
      <w:bCs/>
      <w:color w:val="FFFFFF"/>
      <w:spacing w:val="0"/>
      <w:sz w:val="20"/>
      <w:lang w:val="en-US" w:eastAsia="en-US"/>
    </w:rPr>
  </w:style>
  <w:style w:type="paragraph" w:customStyle="1" w:styleId="xl97">
    <w:name w:val="xl97"/>
    <w:basedOn w:val="Normal"/>
    <w:rsid w:val="00301880"/>
    <w:pPr>
      <w:pBdr>
        <w:left w:val="single" w:sz="8" w:space="0" w:color="FFFFFF"/>
        <w:right w:val="single" w:sz="8" w:space="0" w:color="FFFFFF"/>
      </w:pBdr>
      <w:shd w:val="clear" w:color="000000" w:fill="D9D9D9"/>
      <w:autoSpaceDE/>
      <w:autoSpaceDN/>
      <w:adjustRightInd/>
      <w:spacing w:before="100" w:beforeAutospacing="1" w:after="100" w:afterAutospacing="1"/>
      <w:jc w:val="left"/>
      <w:textAlignment w:val="top"/>
    </w:pPr>
    <w:rPr>
      <w:rFonts w:ascii="Symbol" w:eastAsia="Times New Roman" w:hAnsi="Symbol" w:cs="Times New Roman"/>
      <w:color w:val="000000"/>
      <w:spacing w:val="0"/>
      <w:sz w:val="18"/>
      <w:szCs w:val="18"/>
      <w:lang w:val="en-US" w:eastAsia="en-US"/>
    </w:rPr>
  </w:style>
  <w:style w:type="paragraph" w:customStyle="1" w:styleId="xl98">
    <w:name w:val="xl98"/>
    <w:basedOn w:val="Normal"/>
    <w:rsid w:val="00301880"/>
    <w:pPr>
      <w:pBdr>
        <w:left w:val="single" w:sz="8" w:space="0" w:color="FFFFFF"/>
        <w:right w:val="single" w:sz="8" w:space="0" w:color="FFFFFF"/>
      </w:pBdr>
      <w:shd w:val="clear" w:color="000000" w:fill="D9D9D9"/>
      <w:autoSpaceDE/>
      <w:autoSpaceDN/>
      <w:adjustRightInd/>
      <w:spacing w:before="100" w:beforeAutospacing="1" w:after="100" w:afterAutospacing="1"/>
      <w:jc w:val="left"/>
      <w:textAlignment w:val="center"/>
    </w:pPr>
    <w:rPr>
      <w:rFonts w:ascii="Symbol" w:eastAsia="Times New Roman" w:hAnsi="Symbol" w:cs="Times New Roman"/>
      <w:color w:val="000000"/>
      <w:spacing w:val="0"/>
      <w:sz w:val="20"/>
      <w:lang w:val="en-US" w:eastAsia="en-US"/>
    </w:rPr>
  </w:style>
  <w:style w:type="paragraph" w:customStyle="1" w:styleId="xl99">
    <w:name w:val="xl99"/>
    <w:basedOn w:val="Normal"/>
    <w:rsid w:val="00301880"/>
    <w:pPr>
      <w:autoSpaceDE/>
      <w:autoSpaceDN/>
      <w:adjustRightInd/>
      <w:spacing w:before="100" w:beforeAutospacing="1" w:after="100" w:afterAutospacing="1"/>
      <w:jc w:val="left"/>
      <w:textAlignment w:val="center"/>
    </w:pPr>
    <w:rPr>
      <w:rFonts w:ascii="Times New Roman" w:eastAsia="Times New Roman" w:hAnsi="Times New Roman" w:cs="Times New Roman"/>
      <w:b/>
      <w:bCs/>
      <w:i/>
      <w:iCs/>
      <w:spacing w:val="0"/>
      <w:sz w:val="24"/>
      <w:szCs w:val="24"/>
      <w:lang w:val="en-US" w:eastAsia="en-US"/>
    </w:rPr>
  </w:style>
  <w:style w:type="paragraph" w:customStyle="1" w:styleId="xl100">
    <w:name w:val="xl100"/>
    <w:basedOn w:val="Normal"/>
    <w:rsid w:val="00301880"/>
    <w:pPr>
      <w:pBdr>
        <w:bottom w:val="single" w:sz="8" w:space="0" w:color="FFFFFF"/>
        <w:right w:val="single" w:sz="8" w:space="0" w:color="FFFFFF"/>
      </w:pBdr>
      <w:shd w:val="clear" w:color="000000" w:fill="F1F1F1"/>
      <w:autoSpaceDE/>
      <w:autoSpaceDN/>
      <w:adjustRightInd/>
      <w:spacing w:before="100" w:beforeAutospacing="1" w:after="100" w:afterAutospacing="1"/>
      <w:jc w:val="left"/>
      <w:textAlignment w:val="center"/>
    </w:pPr>
    <w:rPr>
      <w:rFonts w:ascii="Arial" w:eastAsia="Times New Roman" w:hAnsi="Arial"/>
      <w:color w:val="000000"/>
      <w:spacing w:val="0"/>
      <w:sz w:val="20"/>
      <w:lang w:val="en-US" w:eastAsia="en-US"/>
    </w:rPr>
  </w:style>
  <w:style w:type="paragraph" w:customStyle="1" w:styleId="xl101">
    <w:name w:val="xl101"/>
    <w:basedOn w:val="Normal"/>
    <w:rsid w:val="00301880"/>
    <w:pPr>
      <w:pBdr>
        <w:top w:val="single" w:sz="8" w:space="0" w:color="FFFFFF"/>
        <w:left w:val="single" w:sz="8" w:space="0" w:color="FFFFFF"/>
        <w:bottom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02">
    <w:name w:val="xl102"/>
    <w:basedOn w:val="Normal"/>
    <w:rsid w:val="00301880"/>
    <w:pPr>
      <w:pBdr>
        <w:bottom w:val="single" w:sz="8" w:space="0" w:color="FFFFFF"/>
        <w:right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03">
    <w:name w:val="xl103"/>
    <w:basedOn w:val="Normal"/>
    <w:rsid w:val="00301880"/>
    <w:pPr>
      <w:pBdr>
        <w:top w:val="single" w:sz="8" w:space="0" w:color="FFFFFF"/>
        <w:left w:val="single" w:sz="8" w:space="0" w:color="FFFFFF"/>
        <w:bottom w:val="single" w:sz="8" w:space="0" w:color="FFFFFF"/>
      </w:pBdr>
      <w:shd w:val="clear" w:color="000000" w:fill="EDEDE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04">
    <w:name w:val="xl104"/>
    <w:basedOn w:val="Normal"/>
    <w:rsid w:val="00301880"/>
    <w:pPr>
      <w:pBdr>
        <w:bottom w:val="single" w:sz="8" w:space="0" w:color="FFFFFF"/>
        <w:right w:val="single" w:sz="8" w:space="0" w:color="FFFFFF"/>
      </w:pBdr>
      <w:shd w:val="clear" w:color="000000" w:fill="EDEDE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05">
    <w:name w:val="xl105"/>
    <w:basedOn w:val="Normal"/>
    <w:rsid w:val="00301880"/>
    <w:pPr>
      <w:pBdr>
        <w:top w:val="single" w:sz="8" w:space="0" w:color="FFFFFF"/>
        <w:left w:val="single" w:sz="8" w:space="0" w:color="FFFFFF"/>
        <w:bottom w:val="single" w:sz="8" w:space="0" w:color="FFFFFF"/>
      </w:pBdr>
      <w:shd w:val="clear" w:color="000000" w:fill="EDEDED"/>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06">
    <w:name w:val="xl106"/>
    <w:basedOn w:val="Normal"/>
    <w:rsid w:val="00301880"/>
    <w:pPr>
      <w:pBdr>
        <w:bottom w:val="single" w:sz="8" w:space="0" w:color="FFFFFF"/>
        <w:right w:val="single" w:sz="8" w:space="0" w:color="FFFFFF"/>
      </w:pBdr>
      <w:shd w:val="clear" w:color="000000" w:fill="F1F1F1"/>
      <w:autoSpaceDE/>
      <w:autoSpaceDN/>
      <w:adjustRightInd/>
      <w:spacing w:before="100" w:beforeAutospacing="1" w:after="100" w:afterAutospacing="1"/>
      <w:jc w:val="left"/>
      <w:textAlignment w:val="center"/>
    </w:pPr>
    <w:rPr>
      <w:rFonts w:ascii="Arial" w:eastAsia="Times New Roman" w:hAnsi="Arial"/>
      <w:i/>
      <w:iCs/>
      <w:spacing w:val="0"/>
      <w:sz w:val="20"/>
      <w:lang w:val="en-US" w:eastAsia="en-US"/>
    </w:rPr>
  </w:style>
  <w:style w:type="paragraph" w:customStyle="1" w:styleId="xl107">
    <w:name w:val="xl107"/>
    <w:basedOn w:val="Normal"/>
    <w:rsid w:val="00301880"/>
    <w:pPr>
      <w:pBdr>
        <w:top w:val="single" w:sz="8" w:space="0" w:color="FFFFFF"/>
        <w:left w:val="single" w:sz="8" w:space="0" w:color="FFFFFF"/>
        <w:bottom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08">
    <w:name w:val="xl108"/>
    <w:basedOn w:val="Normal"/>
    <w:rsid w:val="00301880"/>
    <w:pPr>
      <w:pBdr>
        <w:bottom w:val="single" w:sz="8" w:space="0" w:color="FFFFFF"/>
        <w:right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09">
    <w:name w:val="xl109"/>
    <w:basedOn w:val="Normal"/>
    <w:rsid w:val="00301880"/>
    <w:pPr>
      <w:pBdr>
        <w:bottom w:val="single" w:sz="8" w:space="0" w:color="FFFFFF"/>
        <w:right w:val="single" w:sz="8" w:space="0" w:color="FFFFFF"/>
      </w:pBdr>
      <w:shd w:val="clear" w:color="000000" w:fill="EDEDED"/>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10">
    <w:name w:val="xl110"/>
    <w:basedOn w:val="Normal"/>
    <w:rsid w:val="00301880"/>
    <w:pPr>
      <w:pBdr>
        <w:top w:val="single" w:sz="8" w:space="0" w:color="FFFFFF"/>
        <w:left w:val="single" w:sz="8" w:space="0" w:color="FFFFFF"/>
        <w:bottom w:val="single" w:sz="8" w:space="0" w:color="FFFFFF"/>
        <w:right w:val="single" w:sz="8" w:space="0" w:color="FFFFFF"/>
      </w:pBdr>
      <w:shd w:val="clear" w:color="000000" w:fill="F7CAAC"/>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11">
    <w:name w:val="xl111"/>
    <w:basedOn w:val="Normal"/>
    <w:rsid w:val="00301880"/>
    <w:pPr>
      <w:pBdr>
        <w:top w:val="single" w:sz="8" w:space="0" w:color="FFFFFF"/>
        <w:left w:val="single" w:sz="8" w:space="0" w:color="FFFFFF"/>
        <w:bottom w:val="single" w:sz="8" w:space="0" w:color="FFFFFF"/>
        <w:right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12">
    <w:name w:val="xl112"/>
    <w:basedOn w:val="Normal"/>
    <w:rsid w:val="00301880"/>
    <w:pPr>
      <w:pBdr>
        <w:top w:val="single" w:sz="8" w:space="0" w:color="FFFFFF"/>
        <w:bottom w:val="single" w:sz="8" w:space="0" w:color="FFFFFF"/>
      </w:pBdr>
      <w:shd w:val="clear" w:color="000000" w:fill="F1F1F1"/>
      <w:autoSpaceDE/>
      <w:autoSpaceDN/>
      <w:adjustRightInd/>
      <w:spacing w:before="100" w:beforeAutospacing="1" w:after="100" w:afterAutospacing="1"/>
      <w:jc w:val="center"/>
      <w:textAlignment w:val="center"/>
    </w:pPr>
    <w:rPr>
      <w:rFonts w:ascii="Arial" w:eastAsia="Times New Roman" w:hAnsi="Arial"/>
      <w:b/>
      <w:bCs/>
      <w:color w:val="000000"/>
      <w:spacing w:val="0"/>
      <w:sz w:val="20"/>
      <w:lang w:val="en-US" w:eastAsia="en-US"/>
    </w:rPr>
  </w:style>
  <w:style w:type="paragraph" w:customStyle="1" w:styleId="xl113">
    <w:name w:val="xl113"/>
    <w:basedOn w:val="Normal"/>
    <w:rsid w:val="00301880"/>
    <w:pPr>
      <w:pBdr>
        <w:top w:val="single" w:sz="8" w:space="0" w:color="FFFFFF"/>
        <w:bottom w:val="single" w:sz="8" w:space="0" w:color="FFFFFF"/>
        <w:right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14">
    <w:name w:val="xl114"/>
    <w:basedOn w:val="Normal"/>
    <w:rsid w:val="00301880"/>
    <w:pPr>
      <w:pBdr>
        <w:bottom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15">
    <w:name w:val="xl115"/>
    <w:basedOn w:val="Normal"/>
    <w:rsid w:val="00301880"/>
    <w:pPr>
      <w:pBdr>
        <w:top w:val="single" w:sz="8" w:space="0" w:color="FFFFFF"/>
        <w:bottom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16">
    <w:name w:val="xl116"/>
    <w:basedOn w:val="Normal"/>
    <w:rsid w:val="00301880"/>
    <w:pPr>
      <w:pBdr>
        <w:top w:val="single" w:sz="8" w:space="0" w:color="FFFFFF"/>
        <w:bottom w:val="single" w:sz="8" w:space="0" w:color="FFFFFF"/>
        <w:right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17">
    <w:name w:val="xl117"/>
    <w:basedOn w:val="Normal"/>
    <w:rsid w:val="00301880"/>
    <w:pPr>
      <w:pBdr>
        <w:top w:val="single" w:sz="8" w:space="0" w:color="FFFFFF"/>
        <w:bottom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18">
    <w:name w:val="xl118"/>
    <w:basedOn w:val="Normal"/>
    <w:rsid w:val="00301880"/>
    <w:pPr>
      <w:pBdr>
        <w:left w:val="single" w:sz="8" w:space="0" w:color="FFFFFF"/>
        <w:bottom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19">
    <w:name w:val="xl119"/>
    <w:basedOn w:val="Normal"/>
    <w:rsid w:val="00301880"/>
    <w:pPr>
      <w:pBdr>
        <w:left w:val="single" w:sz="8" w:space="0" w:color="FFFFFF"/>
        <w:bottom w:val="single" w:sz="8" w:space="0" w:color="FFFFFF"/>
        <w:right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20">
    <w:name w:val="xl120"/>
    <w:basedOn w:val="Normal"/>
    <w:rsid w:val="00301880"/>
    <w:pPr>
      <w:pBdr>
        <w:top w:val="single" w:sz="8" w:space="0" w:color="FFFFFF"/>
        <w:left w:val="single" w:sz="8" w:space="0" w:color="FFFFFF"/>
        <w:bottom w:val="single" w:sz="8" w:space="0" w:color="FFFFFF"/>
        <w:right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21">
    <w:name w:val="xl121"/>
    <w:basedOn w:val="Normal"/>
    <w:rsid w:val="00301880"/>
    <w:pPr>
      <w:pBdr>
        <w:left w:val="single" w:sz="8" w:space="0" w:color="FFFFFF"/>
        <w:bottom w:val="single" w:sz="8" w:space="0" w:color="FFFFFF"/>
        <w:right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22">
    <w:name w:val="xl122"/>
    <w:basedOn w:val="Normal"/>
    <w:rsid w:val="00301880"/>
    <w:pPr>
      <w:pBdr>
        <w:top w:val="single" w:sz="8" w:space="0" w:color="FFFFFF"/>
        <w:left w:val="single" w:sz="8" w:space="0" w:color="FFFFFF"/>
        <w:bottom w:val="single" w:sz="8" w:space="0" w:color="FFFFFF"/>
        <w:right w:val="single" w:sz="8" w:space="0" w:color="FFFFFF"/>
      </w:pBdr>
      <w:shd w:val="clear" w:color="000000" w:fill="F1F1F1"/>
      <w:autoSpaceDE/>
      <w:autoSpaceDN/>
      <w:adjustRightInd/>
      <w:spacing w:before="100" w:beforeAutospacing="1" w:after="100" w:afterAutospacing="1"/>
      <w:jc w:val="left"/>
      <w:textAlignment w:val="center"/>
    </w:pPr>
    <w:rPr>
      <w:rFonts w:ascii="Arial" w:eastAsia="Times New Roman" w:hAnsi="Arial"/>
      <w:color w:val="000000"/>
      <w:spacing w:val="0"/>
      <w:sz w:val="20"/>
      <w:lang w:val="en-US" w:eastAsia="en-US"/>
    </w:rPr>
  </w:style>
  <w:style w:type="paragraph" w:customStyle="1" w:styleId="xl123">
    <w:name w:val="xl123"/>
    <w:basedOn w:val="Normal"/>
    <w:rsid w:val="00301880"/>
    <w:pPr>
      <w:pBdr>
        <w:left w:val="single" w:sz="8" w:space="0" w:color="FFFFFF"/>
        <w:bottom w:val="single" w:sz="8" w:space="0" w:color="FFFFFF"/>
        <w:right w:val="single" w:sz="8" w:space="0" w:color="FFFFFF"/>
      </w:pBdr>
      <w:shd w:val="clear" w:color="000000" w:fill="F1F1F1"/>
      <w:autoSpaceDE/>
      <w:autoSpaceDN/>
      <w:adjustRightInd/>
      <w:spacing w:before="100" w:beforeAutospacing="1" w:after="100" w:afterAutospacing="1"/>
      <w:jc w:val="left"/>
      <w:textAlignment w:val="center"/>
    </w:pPr>
    <w:rPr>
      <w:rFonts w:ascii="Arial" w:eastAsia="Times New Roman" w:hAnsi="Arial"/>
      <w:color w:val="000000"/>
      <w:spacing w:val="0"/>
      <w:sz w:val="20"/>
      <w:lang w:val="en-US" w:eastAsia="en-US"/>
    </w:rPr>
  </w:style>
  <w:style w:type="paragraph" w:customStyle="1" w:styleId="xl124">
    <w:name w:val="xl124"/>
    <w:basedOn w:val="Normal"/>
    <w:rsid w:val="00301880"/>
    <w:pPr>
      <w:pBdr>
        <w:left w:val="single" w:sz="8" w:space="0" w:color="FFFFFF"/>
        <w:bottom w:val="single" w:sz="8" w:space="0" w:color="FFFFFF"/>
        <w:right w:val="single" w:sz="8" w:space="0" w:color="FFFFFF"/>
      </w:pBdr>
      <w:shd w:val="clear" w:color="000000" w:fill="F1F1F1"/>
      <w:autoSpaceDE/>
      <w:autoSpaceDN/>
      <w:adjustRightInd/>
      <w:spacing w:before="100" w:beforeAutospacing="1" w:after="100" w:afterAutospacing="1"/>
      <w:jc w:val="left"/>
      <w:textAlignment w:val="center"/>
    </w:pPr>
    <w:rPr>
      <w:rFonts w:ascii="Arial" w:eastAsia="Times New Roman" w:hAnsi="Arial"/>
      <w:b/>
      <w:bCs/>
      <w:i/>
      <w:iCs/>
      <w:color w:val="000000"/>
      <w:spacing w:val="0"/>
      <w:sz w:val="20"/>
      <w:lang w:val="en-US" w:eastAsia="en-US"/>
    </w:rPr>
  </w:style>
  <w:style w:type="paragraph" w:customStyle="1" w:styleId="xl125">
    <w:name w:val="xl125"/>
    <w:basedOn w:val="Normal"/>
    <w:rsid w:val="00301880"/>
    <w:pPr>
      <w:pBdr>
        <w:top w:val="single" w:sz="8" w:space="0" w:color="FFFFFF"/>
        <w:bottom w:val="single" w:sz="8" w:space="0" w:color="FFFFFF"/>
        <w:right w:val="single" w:sz="8" w:space="0" w:color="FFFFFF"/>
      </w:pBdr>
      <w:shd w:val="clear" w:color="000000" w:fill="EDEDE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26">
    <w:name w:val="xl126"/>
    <w:basedOn w:val="Normal"/>
    <w:rsid w:val="00301880"/>
    <w:pPr>
      <w:pBdr>
        <w:top w:val="single" w:sz="8" w:space="0" w:color="FFFFFF"/>
        <w:left w:val="single" w:sz="8" w:space="0" w:color="FFFFFF"/>
        <w:bottom w:val="single" w:sz="8" w:space="0" w:color="FFFFFF"/>
        <w:right w:val="single" w:sz="8" w:space="0" w:color="FFFFFF"/>
      </w:pBdr>
      <w:shd w:val="clear" w:color="000000" w:fill="EDEDE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27">
    <w:name w:val="xl127"/>
    <w:basedOn w:val="Normal"/>
    <w:rsid w:val="00301880"/>
    <w:pPr>
      <w:pBdr>
        <w:bottom w:val="single" w:sz="8" w:space="0" w:color="FFFFFF"/>
        <w:right w:val="single" w:sz="8" w:space="0" w:color="FFFFFF"/>
      </w:pBdr>
      <w:shd w:val="clear" w:color="000000" w:fill="F1F1F1"/>
      <w:autoSpaceDE/>
      <w:autoSpaceDN/>
      <w:adjustRightInd/>
      <w:spacing w:before="100" w:beforeAutospacing="1" w:after="100" w:afterAutospacing="1"/>
      <w:jc w:val="left"/>
      <w:textAlignment w:val="center"/>
    </w:pPr>
    <w:rPr>
      <w:rFonts w:ascii="Arial" w:eastAsia="Times New Roman" w:hAnsi="Arial"/>
      <w:b/>
      <w:bCs/>
      <w:i/>
      <w:iCs/>
      <w:spacing w:val="0"/>
      <w:sz w:val="20"/>
      <w:lang w:val="en-US" w:eastAsia="en-US"/>
    </w:rPr>
  </w:style>
  <w:style w:type="paragraph" w:customStyle="1" w:styleId="xl128">
    <w:name w:val="xl128"/>
    <w:basedOn w:val="Normal"/>
    <w:rsid w:val="00301880"/>
    <w:pPr>
      <w:pBdr>
        <w:bottom w:val="single" w:sz="8" w:space="0" w:color="FFFFFF"/>
        <w:right w:val="single" w:sz="8" w:space="0" w:color="FFFFFF"/>
      </w:pBdr>
      <w:shd w:val="clear" w:color="000000" w:fill="F1F1F1"/>
      <w:autoSpaceDE/>
      <w:autoSpaceDN/>
      <w:adjustRightInd/>
      <w:spacing w:before="100" w:beforeAutospacing="1" w:after="100" w:afterAutospacing="1"/>
      <w:jc w:val="left"/>
      <w:textAlignment w:val="center"/>
    </w:pPr>
    <w:rPr>
      <w:rFonts w:ascii="Arial" w:eastAsia="Times New Roman" w:hAnsi="Arial"/>
      <w:i/>
      <w:iCs/>
      <w:spacing w:val="0"/>
      <w:sz w:val="20"/>
      <w:lang w:val="en-US" w:eastAsia="en-US"/>
    </w:rPr>
  </w:style>
  <w:style w:type="paragraph" w:customStyle="1" w:styleId="xl129">
    <w:name w:val="xl129"/>
    <w:basedOn w:val="Normal"/>
    <w:rsid w:val="00301880"/>
    <w:pPr>
      <w:pBdr>
        <w:top w:val="single" w:sz="8" w:space="0" w:color="FFFFFF"/>
        <w:bottom w:val="single" w:sz="8" w:space="0" w:color="FFFFFF"/>
        <w:right w:val="single" w:sz="8" w:space="0" w:color="FFFFFF"/>
      </w:pBdr>
      <w:shd w:val="clear" w:color="000000" w:fill="EDEDED"/>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30">
    <w:name w:val="xl130"/>
    <w:basedOn w:val="Normal"/>
    <w:rsid w:val="00301880"/>
    <w:pPr>
      <w:pBdr>
        <w:top w:val="single" w:sz="8" w:space="0" w:color="FFFFFF"/>
        <w:left w:val="single" w:sz="8" w:space="0" w:color="FFFFFF"/>
        <w:bottom w:val="single" w:sz="8" w:space="0" w:color="FFFFFF"/>
        <w:right w:val="single" w:sz="8" w:space="0" w:color="FFFFFF"/>
      </w:pBdr>
      <w:shd w:val="clear" w:color="000000" w:fill="EDEDED"/>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31">
    <w:name w:val="xl131"/>
    <w:basedOn w:val="Normal"/>
    <w:rsid w:val="00301880"/>
    <w:pPr>
      <w:pBdr>
        <w:left w:val="single" w:sz="8" w:space="0" w:color="FFFFFF"/>
        <w:bottom w:val="single" w:sz="8" w:space="0" w:color="FFFFFF"/>
        <w:right w:val="single" w:sz="8" w:space="0" w:color="FFFFFF"/>
      </w:pBdr>
      <w:shd w:val="clear" w:color="000000" w:fill="EDEDED"/>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32">
    <w:name w:val="xl132"/>
    <w:basedOn w:val="Normal"/>
    <w:rsid w:val="00301880"/>
    <w:pPr>
      <w:pBdr>
        <w:bottom w:val="single" w:sz="8" w:space="0" w:color="FFFFFF"/>
        <w:right w:val="single" w:sz="8" w:space="0" w:color="FFFFFF"/>
      </w:pBdr>
      <w:shd w:val="clear" w:color="000000" w:fill="F1F1F1"/>
      <w:autoSpaceDE/>
      <w:autoSpaceDN/>
      <w:adjustRightInd/>
      <w:spacing w:before="100" w:beforeAutospacing="1" w:after="100" w:afterAutospacing="1"/>
      <w:jc w:val="left"/>
      <w:textAlignment w:val="center"/>
    </w:pPr>
    <w:rPr>
      <w:rFonts w:ascii="Arial" w:eastAsia="Times New Roman" w:hAnsi="Arial"/>
      <w:b/>
      <w:bCs/>
      <w:i/>
      <w:iCs/>
      <w:color w:val="000000"/>
      <w:spacing w:val="0"/>
      <w:sz w:val="20"/>
      <w:lang w:val="en-US" w:eastAsia="en-US"/>
    </w:rPr>
  </w:style>
  <w:style w:type="paragraph" w:customStyle="1" w:styleId="xl133">
    <w:name w:val="xl133"/>
    <w:basedOn w:val="Normal"/>
    <w:rsid w:val="00301880"/>
    <w:pPr>
      <w:pBdr>
        <w:bottom w:val="single" w:sz="8" w:space="0" w:color="FFFFFF"/>
        <w:right w:val="single" w:sz="8" w:space="0" w:color="FFFFFF"/>
      </w:pBdr>
      <w:shd w:val="clear" w:color="000000" w:fill="F1F1F1"/>
      <w:autoSpaceDE/>
      <w:autoSpaceDN/>
      <w:adjustRightInd/>
      <w:spacing w:before="100" w:beforeAutospacing="1" w:after="100" w:afterAutospacing="1"/>
      <w:jc w:val="left"/>
      <w:textAlignment w:val="center"/>
    </w:pPr>
    <w:rPr>
      <w:rFonts w:ascii="Arial" w:eastAsia="Times New Roman" w:hAnsi="Arial"/>
      <w:b/>
      <w:bCs/>
      <w:i/>
      <w:iCs/>
      <w:spacing w:val="0"/>
      <w:sz w:val="20"/>
      <w:lang w:val="en-US" w:eastAsia="en-US"/>
    </w:rPr>
  </w:style>
  <w:style w:type="paragraph" w:customStyle="1" w:styleId="xl134">
    <w:name w:val="xl134"/>
    <w:basedOn w:val="Normal"/>
    <w:rsid w:val="00301880"/>
    <w:pPr>
      <w:pBdr>
        <w:top w:val="single" w:sz="8" w:space="0" w:color="FFFFFF"/>
        <w:bottom w:val="single" w:sz="8" w:space="0" w:color="FFFFFF"/>
        <w:right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35">
    <w:name w:val="xl135"/>
    <w:basedOn w:val="Normal"/>
    <w:rsid w:val="00301880"/>
    <w:pPr>
      <w:pBdr>
        <w:top w:val="single" w:sz="8" w:space="0" w:color="FFFFFF"/>
        <w:left w:val="single" w:sz="8" w:space="0" w:color="FFFFFF"/>
        <w:bottom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36">
    <w:name w:val="xl136"/>
    <w:basedOn w:val="Normal"/>
    <w:rsid w:val="00301880"/>
    <w:pPr>
      <w:pBdr>
        <w:top w:val="single" w:sz="8" w:space="0" w:color="FFFFFF"/>
        <w:left w:val="single" w:sz="8" w:space="0" w:color="FFFFFF"/>
        <w:bottom w:val="single" w:sz="8" w:space="0" w:color="FFFFFF"/>
        <w:right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37">
    <w:name w:val="xl137"/>
    <w:basedOn w:val="Normal"/>
    <w:rsid w:val="00301880"/>
    <w:pPr>
      <w:pBdr>
        <w:top w:val="single" w:sz="8" w:space="0" w:color="FFFFFF"/>
        <w:left w:val="single" w:sz="8" w:space="0" w:color="FFFFFF"/>
        <w:bottom w:val="single" w:sz="8" w:space="0" w:color="FFFFFF"/>
        <w:right w:val="single" w:sz="8" w:space="0" w:color="FFFFFF"/>
      </w:pBdr>
      <w:shd w:val="clear" w:color="000000" w:fill="F1F1F1"/>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38">
    <w:name w:val="xl138"/>
    <w:basedOn w:val="Normal"/>
    <w:rsid w:val="00301880"/>
    <w:pPr>
      <w:pBdr>
        <w:left w:val="single" w:sz="8" w:space="0" w:color="FFFFFF"/>
        <w:bottom w:val="single" w:sz="8" w:space="0" w:color="FFFFFF"/>
        <w:right w:val="single" w:sz="8" w:space="0" w:color="FFFFFF"/>
      </w:pBdr>
      <w:shd w:val="clear" w:color="000000" w:fill="F1F1F1"/>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39">
    <w:name w:val="xl139"/>
    <w:basedOn w:val="Normal"/>
    <w:rsid w:val="00301880"/>
    <w:pPr>
      <w:pBdr>
        <w:left w:val="single" w:sz="8" w:space="0" w:color="FFFFFF"/>
        <w:bottom w:val="single" w:sz="8" w:space="0" w:color="FFFFFF"/>
        <w:right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40">
    <w:name w:val="xl140"/>
    <w:basedOn w:val="Normal"/>
    <w:rsid w:val="00301880"/>
    <w:pPr>
      <w:pBdr>
        <w:top w:val="single" w:sz="8" w:space="0" w:color="FFFFFF"/>
      </w:pBdr>
      <w:shd w:val="clear" w:color="000000" w:fill="D9D9D9"/>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141">
    <w:name w:val="xl141"/>
    <w:basedOn w:val="Normal"/>
    <w:rsid w:val="00301880"/>
    <w:pPr>
      <w:pBdr>
        <w:top w:val="single" w:sz="8" w:space="0" w:color="FFFFFF"/>
        <w:left w:val="single" w:sz="8" w:space="0" w:color="FFFFFF"/>
        <w:bottom w:val="single" w:sz="8" w:space="0" w:color="FFFFFF"/>
      </w:pBdr>
      <w:shd w:val="clear" w:color="000000" w:fill="EDEDE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42">
    <w:name w:val="xl142"/>
    <w:basedOn w:val="Normal"/>
    <w:rsid w:val="00301880"/>
    <w:pPr>
      <w:pBdr>
        <w:bottom w:val="single" w:sz="8" w:space="0" w:color="FFFFFF"/>
        <w:right w:val="single" w:sz="8" w:space="0" w:color="FFFFFF"/>
      </w:pBdr>
      <w:shd w:val="clear" w:color="000000" w:fill="F1F1F1"/>
      <w:autoSpaceDE/>
      <w:autoSpaceDN/>
      <w:adjustRightInd/>
      <w:spacing w:before="100" w:beforeAutospacing="1" w:after="100" w:afterAutospacing="1"/>
      <w:jc w:val="left"/>
      <w:textAlignment w:val="center"/>
    </w:pPr>
    <w:rPr>
      <w:rFonts w:ascii="Arial" w:eastAsia="Times New Roman" w:hAnsi="Arial"/>
      <w:spacing w:val="0"/>
      <w:sz w:val="20"/>
      <w:lang w:val="en-US" w:eastAsia="en-US"/>
    </w:rPr>
  </w:style>
  <w:style w:type="paragraph" w:customStyle="1" w:styleId="xl143">
    <w:name w:val="xl143"/>
    <w:basedOn w:val="Normal"/>
    <w:rsid w:val="00301880"/>
    <w:pPr>
      <w:pBdr>
        <w:top w:val="single" w:sz="8" w:space="0" w:color="FFFFFF"/>
        <w:bottom w:val="single" w:sz="8" w:space="0" w:color="FFFFFF"/>
      </w:pBdr>
      <w:shd w:val="clear" w:color="000000" w:fill="EDEDE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44">
    <w:name w:val="xl144"/>
    <w:basedOn w:val="Normal"/>
    <w:rsid w:val="00301880"/>
    <w:pPr>
      <w:pBdr>
        <w:top w:val="single" w:sz="8" w:space="0" w:color="FFFFFF"/>
        <w:bottom w:val="single" w:sz="8" w:space="0" w:color="FFFFFF"/>
      </w:pBdr>
      <w:shd w:val="clear" w:color="000000" w:fill="EDEDED"/>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45">
    <w:name w:val="xl145"/>
    <w:basedOn w:val="Normal"/>
    <w:rsid w:val="00301880"/>
    <w:pPr>
      <w:pBdr>
        <w:top w:val="single" w:sz="8" w:space="0" w:color="FFFFFF"/>
        <w:bottom w:val="single" w:sz="8" w:space="0" w:color="FFFFFF"/>
        <w:right w:val="single" w:sz="8" w:space="0" w:color="FFFFFF"/>
      </w:pBdr>
      <w:shd w:val="clear" w:color="000000" w:fill="EDEDED"/>
      <w:autoSpaceDE/>
      <w:autoSpaceDN/>
      <w:adjustRightInd/>
      <w:spacing w:before="100" w:beforeAutospacing="1" w:after="100" w:afterAutospacing="1"/>
      <w:jc w:val="center"/>
      <w:textAlignment w:val="center"/>
    </w:pPr>
    <w:rPr>
      <w:rFonts w:ascii="Arial" w:eastAsia="Times New Roman" w:hAnsi="Arial"/>
      <w:color w:val="FFFFFF"/>
      <w:spacing w:val="0"/>
      <w:sz w:val="20"/>
      <w:lang w:val="en-US" w:eastAsia="en-US"/>
    </w:rPr>
  </w:style>
  <w:style w:type="paragraph" w:customStyle="1" w:styleId="xl146">
    <w:name w:val="xl146"/>
    <w:basedOn w:val="Normal"/>
    <w:rsid w:val="00301880"/>
    <w:pPr>
      <w:pBdr>
        <w:bottom w:val="single" w:sz="8" w:space="0" w:color="FFFFFF"/>
      </w:pBdr>
      <w:shd w:val="clear" w:color="000000" w:fill="D9D9D9"/>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147">
    <w:name w:val="xl147"/>
    <w:basedOn w:val="Normal"/>
    <w:rsid w:val="00301880"/>
    <w:pPr>
      <w:pBdr>
        <w:top w:val="single" w:sz="8" w:space="0" w:color="FFFFFF"/>
        <w:left w:val="single" w:sz="8" w:space="0" w:color="FFFFFF"/>
        <w:bottom w:val="single" w:sz="8" w:space="0" w:color="FFFFFF"/>
        <w:right w:val="single" w:sz="8" w:space="0" w:color="FFFFFF"/>
      </w:pBdr>
      <w:shd w:val="clear" w:color="000000" w:fill="F2F2F2"/>
      <w:autoSpaceDE/>
      <w:autoSpaceDN/>
      <w:adjustRightInd/>
      <w:spacing w:before="100" w:beforeAutospacing="1" w:after="100" w:afterAutospacing="1"/>
      <w:jc w:val="center"/>
      <w:textAlignment w:val="center"/>
    </w:pPr>
    <w:rPr>
      <w:rFonts w:ascii="Arial" w:eastAsia="Times New Roman" w:hAnsi="Arial"/>
      <w:color w:val="000000"/>
      <w:spacing w:val="0"/>
      <w:sz w:val="20"/>
      <w:lang w:val="en-US" w:eastAsia="en-US"/>
    </w:rPr>
  </w:style>
  <w:style w:type="paragraph" w:customStyle="1" w:styleId="xl148">
    <w:name w:val="xl148"/>
    <w:basedOn w:val="Normal"/>
    <w:rsid w:val="00301880"/>
    <w:pPr>
      <w:pBdr>
        <w:bottom w:val="single" w:sz="8" w:space="0" w:color="FFFFFF"/>
      </w:pBdr>
      <w:shd w:val="clear" w:color="000000" w:fill="EDEDED"/>
      <w:autoSpaceDE/>
      <w:autoSpaceDN/>
      <w:adjustRightInd/>
      <w:spacing w:before="100" w:beforeAutospacing="1" w:after="100" w:afterAutospacing="1"/>
      <w:jc w:val="left"/>
    </w:pPr>
    <w:rPr>
      <w:rFonts w:ascii="Arial" w:eastAsia="Times New Roman" w:hAnsi="Arial"/>
      <w:color w:val="000000"/>
      <w:spacing w:val="0"/>
      <w:sz w:val="20"/>
      <w:lang w:val="en-US" w:eastAsia="en-US"/>
    </w:rPr>
  </w:style>
  <w:style w:type="paragraph" w:customStyle="1" w:styleId="xl149">
    <w:name w:val="xl149"/>
    <w:basedOn w:val="Normal"/>
    <w:rsid w:val="00301880"/>
    <w:pPr>
      <w:pBdr>
        <w:bottom w:val="single" w:sz="8" w:space="0" w:color="FFFFFF"/>
      </w:pBdr>
      <w:shd w:val="clear" w:color="000000" w:fill="EDEDED"/>
      <w:autoSpaceDE/>
      <w:autoSpaceDN/>
      <w:adjustRightInd/>
      <w:spacing w:before="100" w:beforeAutospacing="1" w:after="100" w:afterAutospacing="1"/>
      <w:jc w:val="left"/>
      <w:textAlignment w:val="center"/>
    </w:pPr>
    <w:rPr>
      <w:rFonts w:ascii="Arial" w:eastAsia="Times New Roman" w:hAnsi="Arial"/>
      <w:color w:val="000000"/>
      <w:spacing w:val="0"/>
      <w:sz w:val="20"/>
      <w:lang w:val="en-US" w:eastAsia="en-US"/>
    </w:rPr>
  </w:style>
  <w:style w:type="paragraph" w:customStyle="1" w:styleId="xl150">
    <w:name w:val="xl150"/>
    <w:basedOn w:val="Normal"/>
    <w:rsid w:val="00301880"/>
    <w:pPr>
      <w:pBdr>
        <w:top w:val="single" w:sz="8" w:space="0" w:color="FFFFFF"/>
        <w:bottom w:val="single" w:sz="8" w:space="0" w:color="FFFFFF"/>
      </w:pBdr>
      <w:shd w:val="clear" w:color="000000" w:fill="F8CBAD"/>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151">
    <w:name w:val="xl151"/>
    <w:basedOn w:val="Normal"/>
    <w:rsid w:val="00301880"/>
    <w:pPr>
      <w:pBdr>
        <w:top w:val="single" w:sz="8" w:space="0" w:color="FFFFFF"/>
        <w:left w:val="single" w:sz="8" w:space="0" w:color="FFFFFF"/>
        <w:bottom w:val="single" w:sz="8" w:space="0" w:color="FFFFFF"/>
        <w:right w:val="single" w:sz="8" w:space="0" w:color="FFFFFF"/>
      </w:pBdr>
      <w:shd w:val="clear" w:color="000000" w:fill="EDEDED"/>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152">
    <w:name w:val="xl152"/>
    <w:basedOn w:val="Normal"/>
    <w:rsid w:val="00301880"/>
    <w:pPr>
      <w:pBdr>
        <w:top w:val="single" w:sz="8" w:space="0" w:color="FFFFFF"/>
        <w:left w:val="single" w:sz="8" w:space="0" w:color="FFFFFF"/>
        <w:bottom w:val="single" w:sz="8" w:space="0" w:color="FFFFFF"/>
        <w:right w:val="single" w:sz="8" w:space="0" w:color="FFFFFF"/>
      </w:pBdr>
      <w:shd w:val="clear" w:color="000000" w:fill="F8CBAD"/>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153">
    <w:name w:val="xl153"/>
    <w:basedOn w:val="Normal"/>
    <w:rsid w:val="00301880"/>
    <w:pPr>
      <w:pBdr>
        <w:top w:val="single" w:sz="8" w:space="0" w:color="FFFFFF"/>
        <w:bottom w:val="single" w:sz="8" w:space="0" w:color="FFFFFF"/>
      </w:pBdr>
      <w:shd w:val="clear" w:color="000000" w:fill="F8CBAD"/>
      <w:autoSpaceDE/>
      <w:autoSpaceDN/>
      <w:adjustRightInd/>
      <w:spacing w:before="100" w:beforeAutospacing="1" w:after="100" w:afterAutospacing="1"/>
      <w:jc w:val="center"/>
      <w:textAlignment w:val="center"/>
    </w:pPr>
    <w:rPr>
      <w:rFonts w:ascii="Arial" w:eastAsia="Times New Roman" w:hAnsi="Arial"/>
      <w:spacing w:val="0"/>
      <w:sz w:val="20"/>
      <w:lang w:val="en-US" w:eastAsia="en-US"/>
    </w:rPr>
  </w:style>
  <w:style w:type="paragraph" w:customStyle="1" w:styleId="xl154">
    <w:name w:val="xl154"/>
    <w:basedOn w:val="Normal"/>
    <w:rsid w:val="00301880"/>
    <w:pPr>
      <w:pBdr>
        <w:left w:val="single" w:sz="8" w:space="0" w:color="FFFFFF"/>
        <w:right w:val="single" w:sz="8" w:space="0" w:color="FFFFFF"/>
      </w:pBdr>
      <w:autoSpaceDE/>
      <w:autoSpaceDN/>
      <w:adjustRightInd/>
      <w:spacing w:before="100" w:beforeAutospacing="1" w:after="100" w:afterAutospacing="1"/>
      <w:jc w:val="left"/>
      <w:textAlignment w:val="center"/>
    </w:pPr>
    <w:rPr>
      <w:rFonts w:ascii="Times New Roman" w:eastAsia="Times New Roman" w:hAnsi="Times New Roman" w:cs="Times New Roman"/>
      <w:spacing w:val="0"/>
      <w:sz w:val="24"/>
      <w:szCs w:val="24"/>
      <w:lang w:val="en-US" w:eastAsia="en-US"/>
    </w:rPr>
  </w:style>
  <w:style w:type="paragraph" w:customStyle="1" w:styleId="xl155">
    <w:name w:val="xl155"/>
    <w:basedOn w:val="Normal"/>
    <w:rsid w:val="00301880"/>
    <w:pPr>
      <w:pBdr>
        <w:top w:val="single" w:sz="8" w:space="0" w:color="FFFFFF"/>
        <w:bottom w:val="single" w:sz="8" w:space="0" w:color="FFFFFF"/>
      </w:pBdr>
      <w:autoSpaceDE/>
      <w:autoSpaceDN/>
      <w:adjustRightInd/>
      <w:spacing w:before="100" w:beforeAutospacing="1" w:after="100" w:afterAutospacing="1"/>
      <w:jc w:val="left"/>
      <w:textAlignment w:val="center"/>
    </w:pPr>
    <w:rPr>
      <w:rFonts w:ascii="Times New Roman" w:eastAsia="Times New Roman" w:hAnsi="Times New Roman" w:cs="Times New Roman"/>
      <w:spacing w:val="0"/>
      <w:sz w:val="24"/>
      <w:szCs w:val="24"/>
      <w:lang w:val="en-US" w:eastAsia="en-US"/>
    </w:rPr>
  </w:style>
  <w:style w:type="paragraph" w:customStyle="1" w:styleId="xl156">
    <w:name w:val="xl156"/>
    <w:basedOn w:val="Normal"/>
    <w:rsid w:val="00301880"/>
    <w:pPr>
      <w:pBdr>
        <w:left w:val="single" w:sz="8" w:space="0" w:color="FFFFFF"/>
        <w:right w:val="single" w:sz="8" w:space="0" w:color="FFFFFF"/>
      </w:pBdr>
      <w:shd w:val="clear" w:color="000000" w:fill="A15EA6"/>
      <w:autoSpaceDE/>
      <w:autoSpaceDN/>
      <w:adjustRightInd/>
      <w:spacing w:before="100" w:beforeAutospacing="1" w:after="100" w:afterAutospacing="1"/>
      <w:jc w:val="center"/>
      <w:textAlignment w:val="center"/>
    </w:pPr>
    <w:rPr>
      <w:rFonts w:ascii="Arial" w:eastAsia="Times New Roman" w:hAnsi="Arial"/>
      <w:b/>
      <w:bCs/>
      <w:color w:val="FFFFFF"/>
      <w:spacing w:val="0"/>
      <w:sz w:val="20"/>
      <w:lang w:val="en-US" w:eastAsia="en-US"/>
    </w:rPr>
  </w:style>
  <w:style w:type="paragraph" w:customStyle="1" w:styleId="xl157">
    <w:name w:val="xl157"/>
    <w:basedOn w:val="Normal"/>
    <w:rsid w:val="00301880"/>
    <w:pPr>
      <w:pBdr>
        <w:left w:val="single" w:sz="8" w:space="0" w:color="FFFFFF"/>
        <w:bottom w:val="single" w:sz="8" w:space="0" w:color="FFFFFF"/>
        <w:right w:val="single" w:sz="8" w:space="0" w:color="FFFFFF"/>
      </w:pBdr>
      <w:autoSpaceDE/>
      <w:autoSpaceDN/>
      <w:adjustRightInd/>
      <w:spacing w:before="100" w:beforeAutospacing="1" w:after="100" w:afterAutospacing="1"/>
      <w:jc w:val="center"/>
      <w:textAlignment w:val="center"/>
    </w:pPr>
    <w:rPr>
      <w:rFonts w:ascii="Times New Roman" w:eastAsia="Times New Roman" w:hAnsi="Times New Roman" w:cs="Times New Roman"/>
      <w:spacing w:val="0"/>
      <w:sz w:val="24"/>
      <w:szCs w:val="24"/>
      <w:lang w:val="en-US" w:eastAsia="en-US"/>
    </w:rPr>
  </w:style>
  <w:style w:type="paragraph" w:customStyle="1" w:styleId="xl158">
    <w:name w:val="xl158"/>
    <w:basedOn w:val="Normal"/>
    <w:rsid w:val="00301880"/>
    <w:pPr>
      <w:pBdr>
        <w:left w:val="single" w:sz="8" w:space="0" w:color="FFFFFF"/>
        <w:right w:val="single" w:sz="8" w:space="0" w:color="FFFFFF"/>
      </w:pBdr>
      <w:shd w:val="clear" w:color="000000" w:fill="A15EA6"/>
      <w:autoSpaceDE/>
      <w:autoSpaceDN/>
      <w:adjustRightInd/>
      <w:spacing w:before="100" w:beforeAutospacing="1" w:after="100" w:afterAutospacing="1"/>
      <w:jc w:val="center"/>
      <w:textAlignment w:val="center"/>
    </w:pPr>
    <w:rPr>
      <w:rFonts w:ascii="Arial" w:eastAsia="Times New Roman" w:hAnsi="Arial"/>
      <w:b/>
      <w:bCs/>
      <w:color w:val="FFFFFF"/>
      <w:spacing w:val="0"/>
      <w:sz w:val="20"/>
      <w:lang w:val="en-US" w:eastAsia="en-US"/>
    </w:rPr>
  </w:style>
  <w:style w:type="paragraph" w:customStyle="1" w:styleId="xl159">
    <w:name w:val="xl159"/>
    <w:basedOn w:val="Normal"/>
    <w:rsid w:val="00301880"/>
    <w:pPr>
      <w:pBdr>
        <w:left w:val="single" w:sz="8" w:space="0" w:color="FFFFFF"/>
        <w:bottom w:val="single" w:sz="8" w:space="0" w:color="FFFFFF"/>
        <w:right w:val="single" w:sz="8" w:space="0" w:color="FFFFFF"/>
      </w:pBdr>
      <w:autoSpaceDE/>
      <w:autoSpaceDN/>
      <w:adjustRightInd/>
      <w:spacing w:before="100" w:beforeAutospacing="1" w:after="100" w:afterAutospacing="1"/>
      <w:jc w:val="center"/>
      <w:textAlignment w:val="center"/>
    </w:pPr>
    <w:rPr>
      <w:rFonts w:ascii="Arial" w:eastAsia="Times New Roman" w:hAnsi="Arial"/>
      <w:b/>
      <w:bCs/>
      <w:color w:val="FFFFFF"/>
      <w:spacing w:val="0"/>
      <w:sz w:val="24"/>
      <w:szCs w:val="24"/>
      <w:lang w:val="en-US" w:eastAsia="en-US"/>
    </w:rPr>
  </w:style>
  <w:style w:type="paragraph" w:customStyle="1" w:styleId="xl160">
    <w:name w:val="xl160"/>
    <w:basedOn w:val="Normal"/>
    <w:rsid w:val="00301880"/>
    <w:pPr>
      <w:pBdr>
        <w:top w:val="single" w:sz="8" w:space="0" w:color="FFFFFF"/>
        <w:left w:val="single" w:sz="8" w:space="0" w:color="FFFFFF"/>
        <w:bottom w:val="single" w:sz="8" w:space="0" w:color="FFFFFF"/>
      </w:pBdr>
      <w:shd w:val="clear" w:color="000000" w:fill="D9D9D9"/>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161">
    <w:name w:val="xl161"/>
    <w:basedOn w:val="Normal"/>
    <w:rsid w:val="00301880"/>
    <w:pPr>
      <w:pBdr>
        <w:top w:val="single" w:sz="8" w:space="0" w:color="FFFFFF"/>
        <w:bottom w:val="single" w:sz="8" w:space="0" w:color="FFFFFF"/>
      </w:pBdr>
      <w:shd w:val="clear" w:color="000000" w:fill="D9D9D9"/>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162">
    <w:name w:val="xl162"/>
    <w:basedOn w:val="Normal"/>
    <w:rsid w:val="00301880"/>
    <w:pPr>
      <w:pBdr>
        <w:top w:val="single" w:sz="8" w:space="0" w:color="FFFFFF"/>
        <w:bottom w:val="single" w:sz="8" w:space="0" w:color="FFFFFF"/>
        <w:right w:val="single" w:sz="8" w:space="0" w:color="FFFFFF"/>
      </w:pBdr>
      <w:shd w:val="clear" w:color="000000" w:fill="D9D9D9"/>
      <w:autoSpaceDE/>
      <w:autoSpaceDN/>
      <w:adjustRightInd/>
      <w:spacing w:before="100" w:beforeAutospacing="1" w:after="100" w:afterAutospacing="1"/>
      <w:jc w:val="left"/>
      <w:textAlignment w:val="center"/>
    </w:pPr>
    <w:rPr>
      <w:rFonts w:ascii="Arial" w:eastAsia="Times New Roman" w:hAnsi="Arial"/>
      <w:b/>
      <w:bCs/>
      <w:color w:val="000000"/>
      <w:spacing w:val="0"/>
      <w:sz w:val="20"/>
      <w:lang w:val="en-US" w:eastAsia="en-US"/>
    </w:rPr>
  </w:style>
  <w:style w:type="paragraph" w:customStyle="1" w:styleId="xl163">
    <w:name w:val="xl163"/>
    <w:basedOn w:val="Normal"/>
    <w:rsid w:val="00301880"/>
    <w:pPr>
      <w:pBdr>
        <w:left w:val="single" w:sz="8" w:space="0" w:color="FFFFFF"/>
        <w:bottom w:val="single" w:sz="8" w:space="0" w:color="FFFFFF"/>
        <w:right w:val="single" w:sz="8" w:space="0" w:color="FFFFFF"/>
      </w:pBdr>
      <w:shd w:val="clear" w:color="000000" w:fill="A15EA6"/>
      <w:autoSpaceDE/>
      <w:autoSpaceDN/>
      <w:adjustRightInd/>
      <w:spacing w:before="100" w:beforeAutospacing="1" w:after="100" w:afterAutospacing="1"/>
      <w:jc w:val="center"/>
      <w:textAlignment w:val="center"/>
    </w:pPr>
    <w:rPr>
      <w:rFonts w:ascii="Arial" w:eastAsia="Times New Roman" w:hAnsi="Arial"/>
      <w:b/>
      <w:bCs/>
      <w:color w:val="FFFFFF"/>
      <w:spacing w:val="0"/>
      <w:sz w:val="20"/>
      <w:lang w:val="en-US" w:eastAsia="en-US"/>
    </w:rPr>
  </w:style>
  <w:style w:type="paragraph" w:customStyle="1" w:styleId="xl164">
    <w:name w:val="xl164"/>
    <w:basedOn w:val="Normal"/>
    <w:rsid w:val="00301880"/>
    <w:pPr>
      <w:pBdr>
        <w:left w:val="single" w:sz="8" w:space="0" w:color="FFFFFF"/>
        <w:bottom w:val="single" w:sz="8" w:space="0" w:color="FFFFFF"/>
      </w:pBdr>
      <w:shd w:val="clear" w:color="000000" w:fill="A15EA6"/>
      <w:autoSpaceDE/>
      <w:autoSpaceDN/>
      <w:adjustRightInd/>
      <w:spacing w:before="100" w:beforeAutospacing="1" w:after="100" w:afterAutospacing="1"/>
      <w:jc w:val="center"/>
      <w:textAlignment w:val="center"/>
    </w:pPr>
    <w:rPr>
      <w:rFonts w:ascii="Arial" w:eastAsia="Times New Roman" w:hAnsi="Arial"/>
      <w:b/>
      <w:bCs/>
      <w:color w:val="FFFFFF"/>
      <w:spacing w:val="0"/>
      <w:sz w:val="20"/>
      <w:lang w:val="en-US" w:eastAsia="en-US"/>
    </w:rPr>
  </w:style>
  <w:style w:type="paragraph" w:customStyle="1" w:styleId="xl165">
    <w:name w:val="xl165"/>
    <w:basedOn w:val="Normal"/>
    <w:rsid w:val="00301880"/>
    <w:pPr>
      <w:pBdr>
        <w:bottom w:val="single" w:sz="8" w:space="0" w:color="FFFFFF"/>
      </w:pBdr>
      <w:shd w:val="clear" w:color="000000" w:fill="A15EA6"/>
      <w:autoSpaceDE/>
      <w:autoSpaceDN/>
      <w:adjustRightInd/>
      <w:spacing w:before="100" w:beforeAutospacing="1" w:after="100" w:afterAutospacing="1"/>
      <w:jc w:val="center"/>
      <w:textAlignment w:val="center"/>
    </w:pPr>
    <w:rPr>
      <w:rFonts w:ascii="Arial" w:eastAsia="Times New Roman" w:hAnsi="Arial"/>
      <w:b/>
      <w:bCs/>
      <w:color w:val="FFFFFF"/>
      <w:spacing w:val="0"/>
      <w:sz w:val="20"/>
      <w:lang w:val="en-US" w:eastAsia="en-US"/>
    </w:rPr>
  </w:style>
  <w:style w:type="paragraph" w:customStyle="1" w:styleId="xl166">
    <w:name w:val="xl166"/>
    <w:basedOn w:val="Normal"/>
    <w:rsid w:val="00301880"/>
    <w:pPr>
      <w:pBdr>
        <w:bottom w:val="single" w:sz="8" w:space="0" w:color="FFFFFF"/>
        <w:right w:val="single" w:sz="8" w:space="0" w:color="FFFFFF"/>
      </w:pBdr>
      <w:shd w:val="clear" w:color="000000" w:fill="A15EA6"/>
      <w:autoSpaceDE/>
      <w:autoSpaceDN/>
      <w:adjustRightInd/>
      <w:spacing w:before="100" w:beforeAutospacing="1" w:after="100" w:afterAutospacing="1"/>
      <w:jc w:val="center"/>
      <w:textAlignment w:val="center"/>
    </w:pPr>
    <w:rPr>
      <w:rFonts w:ascii="Arial" w:eastAsia="Times New Roman" w:hAnsi="Arial"/>
      <w:b/>
      <w:bCs/>
      <w:color w:val="FFFFFF"/>
      <w:spacing w:val="0"/>
      <w:sz w:val="20"/>
      <w:lang w:val="en-US" w:eastAsia="en-US"/>
    </w:rPr>
  </w:style>
  <w:style w:type="paragraph" w:customStyle="1" w:styleId="BulletPoints">
    <w:name w:val="Bullet Points"/>
    <w:basedOn w:val="Normal"/>
    <w:link w:val="BulletPointsCharChar"/>
    <w:rsid w:val="00301880"/>
    <w:pPr>
      <w:numPr>
        <w:numId w:val="19"/>
      </w:numPr>
      <w:overflowPunct w:val="0"/>
      <w:spacing w:before="0" w:after="60" w:line="288" w:lineRule="auto"/>
      <w:jc w:val="left"/>
      <w:textAlignment w:val="baseline"/>
    </w:pPr>
    <w:rPr>
      <w:rFonts w:ascii="Verdana" w:eastAsia="Times New Roman" w:hAnsi="Verdana" w:cs="Times New Roman"/>
      <w:spacing w:val="0"/>
      <w:sz w:val="20"/>
      <w:lang w:val="en-NZ" w:eastAsia="en-US"/>
    </w:rPr>
  </w:style>
  <w:style w:type="paragraph" w:styleId="BlockText">
    <w:name w:val="Block Text"/>
    <w:basedOn w:val="Normal"/>
    <w:rsid w:val="00301880"/>
    <w:pPr>
      <w:overflowPunct w:val="0"/>
      <w:spacing w:before="0" w:after="0" w:line="288" w:lineRule="auto"/>
      <w:ind w:left="851" w:right="680"/>
      <w:jc w:val="left"/>
      <w:textAlignment w:val="baseline"/>
    </w:pPr>
    <w:rPr>
      <w:rFonts w:ascii="Verdana" w:eastAsia="Times New Roman" w:hAnsi="Verdana"/>
      <w:spacing w:val="0"/>
      <w:sz w:val="20"/>
      <w:lang w:val="en-NZ" w:eastAsia="en-US"/>
    </w:rPr>
  </w:style>
  <w:style w:type="character" w:customStyle="1" w:styleId="BulletPointsCharChar">
    <w:name w:val="Bullet Points Char Char"/>
    <w:link w:val="BulletPoints"/>
    <w:locked/>
    <w:rsid w:val="00301880"/>
    <w:rPr>
      <w:rFonts w:ascii="Verdana" w:eastAsia="Times New Roman" w:hAnsi="Verdana" w:cs="Times New Roman"/>
      <w:sz w:val="20"/>
      <w:szCs w:val="20"/>
      <w:lang w:val="en-NZ"/>
    </w:rPr>
  </w:style>
  <w:style w:type="character" w:customStyle="1" w:styleId="lt-line-clampraw-line">
    <w:name w:val="lt-line-clamp__raw-line"/>
    <w:basedOn w:val="DefaultParagraphFont"/>
    <w:rsid w:val="00301880"/>
  </w:style>
  <w:style w:type="character" w:customStyle="1" w:styleId="BodyBulletsChar">
    <w:name w:val="Body Bullets Char"/>
    <w:basedOn w:val="DefaultParagraphFont"/>
    <w:link w:val="BodyBullets"/>
    <w:rsid w:val="00301880"/>
    <w:rPr>
      <w:rFonts w:ascii="Arial" w:hAnsi="Arial"/>
      <w:color w:val="000000"/>
      <w:sz w:val="20"/>
      <w:szCs w:val="20"/>
    </w:rPr>
  </w:style>
  <w:style w:type="numbering" w:customStyle="1" w:styleId="CoffeyBullets1">
    <w:name w:val="Coffey Bullets1"/>
    <w:uiPriority w:val="99"/>
    <w:rsid w:val="00301880"/>
  </w:style>
  <w:style w:type="numbering" w:customStyle="1" w:styleId="CoffeyBullets2">
    <w:name w:val="Coffey Bullets2"/>
    <w:uiPriority w:val="99"/>
    <w:rsid w:val="00301880"/>
  </w:style>
  <w:style w:type="paragraph" w:customStyle="1" w:styleId="AnnexTitle">
    <w:name w:val="Annex Title"/>
    <w:basedOn w:val="Heading1"/>
    <w:link w:val="AnnexTitleChar"/>
    <w:uiPriority w:val="99"/>
    <w:qFormat/>
    <w:rsid w:val="00301880"/>
    <w:pPr>
      <w:spacing w:before="3000" w:after="0" w:line="192" w:lineRule="auto"/>
      <w:ind w:right="142"/>
    </w:pPr>
    <w:rPr>
      <w:rFonts w:ascii="Helvetica LT Std Light" w:eastAsia="Arial" w:hAnsi="Helvetica LT Std Light"/>
      <w:b w:val="0"/>
      <w:bCs w:val="0"/>
      <w:color w:val="003478"/>
      <w:spacing w:val="0"/>
      <w:sz w:val="40"/>
      <w:szCs w:val="40"/>
    </w:rPr>
  </w:style>
  <w:style w:type="character" w:customStyle="1" w:styleId="AnnexTitleChar">
    <w:name w:val="Annex Title Char"/>
    <w:basedOn w:val="Heading1Char"/>
    <w:link w:val="AnnexTitle"/>
    <w:uiPriority w:val="99"/>
    <w:rsid w:val="00301880"/>
    <w:rPr>
      <w:rFonts w:ascii="Helvetica LT Std Light" w:eastAsia="Arial" w:hAnsi="Helvetica LT Std Light" w:cs="Arial"/>
      <w:b w:val="0"/>
      <w:bCs w:val="0"/>
      <w:color w:val="003478"/>
      <w:spacing w:val="-6"/>
      <w:sz w:val="40"/>
      <w:szCs w:val="40"/>
    </w:rPr>
  </w:style>
  <w:style w:type="paragraph" w:styleId="TOC5">
    <w:name w:val="toc 5"/>
    <w:basedOn w:val="Normal"/>
    <w:next w:val="Normal"/>
    <w:autoRedefine/>
    <w:uiPriority w:val="39"/>
    <w:unhideWhenUsed/>
    <w:rsid w:val="00301880"/>
    <w:pPr>
      <w:autoSpaceDE/>
      <w:autoSpaceDN/>
      <w:adjustRightInd/>
      <w:spacing w:before="0" w:after="100" w:line="259" w:lineRule="auto"/>
      <w:ind w:left="880"/>
      <w:jc w:val="left"/>
    </w:pPr>
    <w:rPr>
      <w:rFonts w:asciiTheme="minorHAnsi" w:eastAsiaTheme="minorEastAsia" w:hAnsiTheme="minorHAnsi" w:cstheme="minorBidi"/>
      <w:spacing w:val="0"/>
      <w:szCs w:val="22"/>
      <w:lang w:eastAsia="en-AU"/>
    </w:rPr>
  </w:style>
  <w:style w:type="paragraph" w:styleId="TOC6">
    <w:name w:val="toc 6"/>
    <w:basedOn w:val="Normal"/>
    <w:next w:val="Normal"/>
    <w:autoRedefine/>
    <w:uiPriority w:val="39"/>
    <w:unhideWhenUsed/>
    <w:rsid w:val="00301880"/>
    <w:pPr>
      <w:autoSpaceDE/>
      <w:autoSpaceDN/>
      <w:adjustRightInd/>
      <w:spacing w:before="0" w:after="100" w:line="259" w:lineRule="auto"/>
      <w:ind w:left="1100"/>
      <w:jc w:val="left"/>
    </w:pPr>
    <w:rPr>
      <w:rFonts w:asciiTheme="minorHAnsi" w:eastAsiaTheme="minorEastAsia" w:hAnsiTheme="minorHAnsi" w:cstheme="minorBidi"/>
      <w:spacing w:val="0"/>
      <w:szCs w:val="22"/>
      <w:lang w:eastAsia="en-AU"/>
    </w:rPr>
  </w:style>
  <w:style w:type="paragraph" w:styleId="TOC8">
    <w:name w:val="toc 8"/>
    <w:basedOn w:val="Normal"/>
    <w:next w:val="Normal"/>
    <w:autoRedefine/>
    <w:uiPriority w:val="39"/>
    <w:unhideWhenUsed/>
    <w:rsid w:val="00301880"/>
    <w:pPr>
      <w:autoSpaceDE/>
      <w:autoSpaceDN/>
      <w:adjustRightInd/>
      <w:spacing w:before="0" w:after="100" w:line="259" w:lineRule="auto"/>
      <w:ind w:left="1540"/>
      <w:jc w:val="left"/>
    </w:pPr>
    <w:rPr>
      <w:rFonts w:asciiTheme="minorHAnsi" w:eastAsiaTheme="minorEastAsia" w:hAnsiTheme="minorHAnsi" w:cstheme="minorBidi"/>
      <w:spacing w:val="0"/>
      <w:szCs w:val="22"/>
      <w:lang w:eastAsia="en-AU"/>
    </w:rPr>
  </w:style>
  <w:style w:type="paragraph" w:styleId="TOC9">
    <w:name w:val="toc 9"/>
    <w:basedOn w:val="Normal"/>
    <w:next w:val="Normal"/>
    <w:autoRedefine/>
    <w:uiPriority w:val="39"/>
    <w:unhideWhenUsed/>
    <w:rsid w:val="00301880"/>
    <w:pPr>
      <w:autoSpaceDE/>
      <w:autoSpaceDN/>
      <w:adjustRightInd/>
      <w:spacing w:before="0" w:after="100" w:line="259" w:lineRule="auto"/>
      <w:ind w:left="1760"/>
      <w:jc w:val="left"/>
    </w:pPr>
    <w:rPr>
      <w:rFonts w:asciiTheme="minorHAnsi" w:eastAsiaTheme="minorEastAsia" w:hAnsiTheme="minorHAnsi" w:cstheme="minorBidi"/>
      <w:spacing w:val="0"/>
      <w:szCs w:val="22"/>
      <w:lang w:eastAsia="en-AU"/>
    </w:rPr>
  </w:style>
  <w:style w:type="table" w:customStyle="1" w:styleId="McLLTableGeneralText1">
    <w:name w:val="McLL Table General Text1"/>
    <w:basedOn w:val="TableNormal"/>
    <w:next w:val="TableGrid"/>
    <w:uiPriority w:val="39"/>
    <w:rsid w:val="00301880"/>
    <w:pPr>
      <w:spacing w:after="0" w:line="240" w:lineRule="auto"/>
    </w:pPr>
    <w:rPr>
      <w:rFonts w:ascii="Times New Roman" w:eastAsia="Arial"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301880"/>
    <w:pPr>
      <w:spacing w:after="0" w:line="240" w:lineRule="auto"/>
    </w:pPr>
    <w:rPr>
      <w:rFonts w:ascii="Times New Roman" w:eastAsia="Arial" w:hAnsi="Times New Roman" w:cs="Times New Roman"/>
      <w:sz w:val="20"/>
      <w:szCs w:val="20"/>
      <w:lang w:eastAsia="en-AU"/>
    </w:rPr>
    <w:tblPr>
      <w:tblStyleRowBandSize w:val="1"/>
      <w:tblStyleColBandSize w:val="1"/>
      <w:tblBorders>
        <w:top w:val="single" w:sz="2" w:space="0" w:color="1FE9FF" w:themeColor="accent1" w:themeTint="99"/>
        <w:bottom w:val="single" w:sz="2" w:space="0" w:color="1FE9FF" w:themeColor="accent1" w:themeTint="99"/>
        <w:insideH w:val="single" w:sz="2" w:space="0" w:color="1FE9FF" w:themeColor="accent1" w:themeTint="99"/>
        <w:insideV w:val="single" w:sz="2" w:space="0" w:color="1FE9FF" w:themeColor="accent1" w:themeTint="99"/>
      </w:tblBorders>
    </w:tblPr>
    <w:tblStylePr w:type="firstRow">
      <w:rPr>
        <w:b/>
        <w:bCs/>
      </w:rPr>
      <w:tblPr/>
      <w:tcPr>
        <w:tcBorders>
          <w:top w:val="nil"/>
          <w:bottom w:val="single" w:sz="12" w:space="0" w:color="1FE9FF" w:themeColor="accent1" w:themeTint="99"/>
          <w:insideH w:val="nil"/>
          <w:insideV w:val="nil"/>
        </w:tcBorders>
        <w:shd w:val="clear" w:color="auto" w:fill="FFFFFF" w:themeFill="background1"/>
      </w:tcPr>
    </w:tblStylePr>
    <w:tblStylePr w:type="lastRow">
      <w:rPr>
        <w:b/>
        <w:bCs/>
      </w:rPr>
      <w:tblPr/>
      <w:tcPr>
        <w:tcBorders>
          <w:top w:val="double" w:sz="2" w:space="0" w:color="1FE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GridTable4-Accent1">
    <w:name w:val="Grid Table 4 Accent 1"/>
    <w:basedOn w:val="TableNormal"/>
    <w:uiPriority w:val="49"/>
    <w:rsid w:val="00301880"/>
    <w:pPr>
      <w:spacing w:after="0" w:line="240" w:lineRule="auto"/>
    </w:pPr>
    <w:rPr>
      <w:rFonts w:ascii="Times New Roman" w:eastAsia="Arial" w:hAnsi="Times New Roman" w:cs="Times New Roman"/>
      <w:sz w:val="20"/>
      <w:szCs w:val="20"/>
      <w:lang w:eastAsia="en-AU"/>
    </w:rPr>
    <w:tblPr>
      <w:tblStyleRowBandSize w:val="1"/>
      <w:tblStyleColBandSize w:val="1"/>
      <w:tblBorders>
        <w:top w:val="single" w:sz="4" w:space="0" w:color="1FE9FF" w:themeColor="accent1" w:themeTint="99"/>
        <w:left w:val="single" w:sz="4" w:space="0" w:color="1FE9FF" w:themeColor="accent1" w:themeTint="99"/>
        <w:bottom w:val="single" w:sz="4" w:space="0" w:color="1FE9FF" w:themeColor="accent1" w:themeTint="99"/>
        <w:right w:val="single" w:sz="4" w:space="0" w:color="1FE9FF" w:themeColor="accent1" w:themeTint="99"/>
        <w:insideH w:val="single" w:sz="4" w:space="0" w:color="1FE9FF" w:themeColor="accent1" w:themeTint="99"/>
        <w:insideV w:val="single" w:sz="4" w:space="0" w:color="1FE9FF" w:themeColor="accent1" w:themeTint="99"/>
      </w:tblBorders>
    </w:tblPr>
    <w:tblStylePr w:type="firstRow">
      <w:rPr>
        <w:b/>
        <w:bCs/>
        <w:color w:val="FFFFFF" w:themeColor="background1"/>
      </w:rPr>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nil"/>
          <w:insideV w:val="nil"/>
        </w:tcBorders>
        <w:shd w:val="clear" w:color="auto" w:fill="007C89" w:themeFill="accent1"/>
      </w:tcPr>
    </w:tblStylePr>
    <w:tblStylePr w:type="lastRow">
      <w:rPr>
        <w:b/>
        <w:bCs/>
      </w:rPr>
      <w:tblPr/>
      <w:tcPr>
        <w:tcBorders>
          <w:top w:val="double" w:sz="4" w:space="0" w:color="007C89" w:themeColor="accent1"/>
        </w:tcBorders>
      </w:tc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GridTable5Dark-Accent2">
    <w:name w:val="Grid Table 5 Dark Accent 2"/>
    <w:basedOn w:val="TableNormal"/>
    <w:uiPriority w:val="50"/>
    <w:rsid w:val="00301880"/>
    <w:pPr>
      <w:spacing w:after="0" w:line="240" w:lineRule="auto"/>
    </w:pPr>
    <w:rPr>
      <w:rFonts w:ascii="Times New Roman" w:eastAsia="Arial"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3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C5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C5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C5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C5B4" w:themeFill="accent2"/>
      </w:tcPr>
    </w:tblStylePr>
    <w:tblStylePr w:type="band1Vert">
      <w:tblPr/>
      <w:tcPr>
        <w:shd w:val="clear" w:color="auto" w:fill="C1E7E0" w:themeFill="accent2" w:themeFillTint="66"/>
      </w:tcPr>
    </w:tblStylePr>
    <w:tblStylePr w:type="band1Horz">
      <w:tblPr/>
      <w:tcPr>
        <w:shd w:val="clear" w:color="auto" w:fill="C1E7E0" w:themeFill="accent2" w:themeFillTint="66"/>
      </w:tcPr>
    </w:tblStylePr>
  </w:style>
  <w:style w:type="table" w:styleId="ListTable3-Accent1">
    <w:name w:val="List Table 3 Accent 1"/>
    <w:basedOn w:val="TableNormal"/>
    <w:uiPriority w:val="48"/>
    <w:rsid w:val="00301880"/>
    <w:pPr>
      <w:spacing w:after="0" w:line="240" w:lineRule="auto"/>
    </w:pPr>
    <w:rPr>
      <w:rFonts w:ascii="Times New Roman" w:eastAsia="Arial" w:hAnsi="Times New Roman" w:cs="Times New Roman"/>
      <w:sz w:val="20"/>
      <w:szCs w:val="20"/>
      <w:lang w:eastAsia="en-AU"/>
    </w:rPr>
    <w:tblPr>
      <w:tblStyleRowBandSize w:val="1"/>
      <w:tblStyleColBandSize w:val="1"/>
      <w:tblBorders>
        <w:top w:val="single" w:sz="4" w:space="0" w:color="007C89" w:themeColor="accent1"/>
        <w:left w:val="single" w:sz="4" w:space="0" w:color="007C89" w:themeColor="accent1"/>
        <w:bottom w:val="single" w:sz="4" w:space="0" w:color="007C89" w:themeColor="accent1"/>
        <w:right w:val="single" w:sz="4" w:space="0" w:color="007C89" w:themeColor="accent1"/>
      </w:tblBorders>
    </w:tblPr>
    <w:tblStylePr w:type="firstRow">
      <w:rPr>
        <w:b/>
        <w:bCs/>
        <w:color w:val="FFFFFF" w:themeColor="background1"/>
      </w:rPr>
      <w:tblPr/>
      <w:tcPr>
        <w:shd w:val="clear" w:color="auto" w:fill="007C89" w:themeFill="accent1"/>
      </w:tcPr>
    </w:tblStylePr>
    <w:tblStylePr w:type="lastRow">
      <w:rPr>
        <w:b/>
        <w:bCs/>
      </w:rPr>
      <w:tblPr/>
      <w:tcPr>
        <w:tcBorders>
          <w:top w:val="double" w:sz="4" w:space="0" w:color="007C8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9" w:themeColor="accent1"/>
          <w:right w:val="single" w:sz="4" w:space="0" w:color="007C89" w:themeColor="accent1"/>
        </w:tcBorders>
      </w:tcPr>
    </w:tblStylePr>
    <w:tblStylePr w:type="band1Horz">
      <w:tblPr/>
      <w:tcPr>
        <w:tcBorders>
          <w:top w:val="single" w:sz="4" w:space="0" w:color="007C89" w:themeColor="accent1"/>
          <w:bottom w:val="single" w:sz="4" w:space="0" w:color="007C8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9" w:themeColor="accent1"/>
          <w:left w:val="nil"/>
        </w:tcBorders>
      </w:tcPr>
    </w:tblStylePr>
    <w:tblStylePr w:type="swCell">
      <w:tblPr/>
      <w:tcPr>
        <w:tcBorders>
          <w:top w:val="double" w:sz="4" w:space="0" w:color="007C89" w:themeColor="accent1"/>
          <w:right w:val="nil"/>
        </w:tcBorders>
      </w:tcPr>
    </w:tblStylePr>
  </w:style>
  <w:style w:type="table" w:styleId="ListTable3-Accent2">
    <w:name w:val="List Table 3 Accent 2"/>
    <w:basedOn w:val="TableNormal"/>
    <w:uiPriority w:val="48"/>
    <w:rsid w:val="00301880"/>
    <w:pPr>
      <w:spacing w:after="0" w:line="240" w:lineRule="auto"/>
    </w:pPr>
    <w:rPr>
      <w:rFonts w:ascii="Times New Roman" w:eastAsia="Arial" w:hAnsi="Times New Roman" w:cs="Times New Roman"/>
      <w:sz w:val="20"/>
      <w:szCs w:val="20"/>
      <w:lang w:eastAsia="en-AU"/>
    </w:rPr>
    <w:tblPr>
      <w:tblStyleRowBandSize w:val="1"/>
      <w:tblStyleColBandSize w:val="1"/>
      <w:tblBorders>
        <w:top w:val="single" w:sz="4" w:space="0" w:color="65C5B4" w:themeColor="accent2"/>
        <w:left w:val="single" w:sz="4" w:space="0" w:color="65C5B4" w:themeColor="accent2"/>
        <w:bottom w:val="single" w:sz="4" w:space="0" w:color="65C5B4" w:themeColor="accent2"/>
        <w:right w:val="single" w:sz="4" w:space="0" w:color="65C5B4" w:themeColor="accent2"/>
      </w:tblBorders>
    </w:tblPr>
    <w:tblStylePr w:type="firstRow">
      <w:rPr>
        <w:b/>
        <w:bCs/>
        <w:color w:val="FFFFFF" w:themeColor="background1"/>
      </w:rPr>
      <w:tblPr/>
      <w:tcPr>
        <w:shd w:val="clear" w:color="auto" w:fill="65C5B4" w:themeFill="accent2"/>
      </w:tcPr>
    </w:tblStylePr>
    <w:tblStylePr w:type="lastRow">
      <w:rPr>
        <w:b/>
        <w:bCs/>
      </w:rPr>
      <w:tblPr/>
      <w:tcPr>
        <w:tcBorders>
          <w:top w:val="double" w:sz="4" w:space="0" w:color="65C5B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C5B4" w:themeColor="accent2"/>
          <w:right w:val="single" w:sz="4" w:space="0" w:color="65C5B4" w:themeColor="accent2"/>
        </w:tcBorders>
      </w:tcPr>
    </w:tblStylePr>
    <w:tblStylePr w:type="band1Horz">
      <w:tblPr/>
      <w:tcPr>
        <w:tcBorders>
          <w:top w:val="single" w:sz="4" w:space="0" w:color="65C5B4" w:themeColor="accent2"/>
          <w:bottom w:val="single" w:sz="4" w:space="0" w:color="65C5B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C5B4" w:themeColor="accent2"/>
          <w:left w:val="nil"/>
        </w:tcBorders>
      </w:tcPr>
    </w:tblStylePr>
    <w:tblStylePr w:type="swCell">
      <w:tblPr/>
      <w:tcPr>
        <w:tcBorders>
          <w:top w:val="double" w:sz="4" w:space="0" w:color="65C5B4" w:themeColor="accent2"/>
          <w:right w:val="nil"/>
        </w:tcBorders>
      </w:tcPr>
    </w:tblStylePr>
  </w:style>
  <w:style w:type="table" w:styleId="ListTable4-Accent1">
    <w:name w:val="List Table 4 Accent 1"/>
    <w:basedOn w:val="TableNormal"/>
    <w:uiPriority w:val="49"/>
    <w:rsid w:val="00301880"/>
    <w:pPr>
      <w:spacing w:after="0" w:line="240" w:lineRule="auto"/>
    </w:pPr>
    <w:rPr>
      <w:rFonts w:ascii="Times New Roman" w:eastAsia="Arial" w:hAnsi="Times New Roman" w:cs="Times New Roman"/>
      <w:sz w:val="20"/>
      <w:szCs w:val="20"/>
      <w:lang w:eastAsia="en-AU"/>
    </w:rPr>
    <w:tblPr>
      <w:tblStyleRowBandSize w:val="1"/>
      <w:tblStyleColBandSize w:val="1"/>
      <w:tblBorders>
        <w:top w:val="single" w:sz="4" w:space="0" w:color="1FE9FF" w:themeColor="accent1" w:themeTint="99"/>
        <w:left w:val="single" w:sz="4" w:space="0" w:color="1FE9FF" w:themeColor="accent1" w:themeTint="99"/>
        <w:bottom w:val="single" w:sz="4" w:space="0" w:color="1FE9FF" w:themeColor="accent1" w:themeTint="99"/>
        <w:right w:val="single" w:sz="4" w:space="0" w:color="1FE9FF" w:themeColor="accent1" w:themeTint="99"/>
        <w:insideH w:val="single" w:sz="4" w:space="0" w:color="1FE9FF" w:themeColor="accent1" w:themeTint="99"/>
      </w:tblBorders>
    </w:tblPr>
    <w:tblStylePr w:type="firstRow">
      <w:rPr>
        <w:b/>
        <w:bCs/>
        <w:color w:val="FFFFFF" w:themeColor="background1"/>
      </w:rPr>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nil"/>
        </w:tcBorders>
        <w:shd w:val="clear" w:color="auto" w:fill="007C89" w:themeFill="accent1"/>
      </w:tcPr>
    </w:tblStylePr>
    <w:tblStylePr w:type="lastRow">
      <w:rPr>
        <w:b/>
        <w:bCs/>
      </w:rPr>
      <w:tblPr/>
      <w:tcPr>
        <w:tcBorders>
          <w:top w:val="double" w:sz="4" w:space="0" w:color="1FE9FF" w:themeColor="accent1" w:themeTint="99"/>
        </w:tcBorders>
      </w:tc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numbering" w:customStyle="1" w:styleId="CoffeyBullets3">
    <w:name w:val="Coffey Bullets3"/>
    <w:uiPriority w:val="99"/>
    <w:rsid w:val="00301880"/>
  </w:style>
  <w:style w:type="character" w:styleId="UnresolvedMention">
    <w:name w:val="Unresolved Mention"/>
    <w:basedOn w:val="DefaultParagraphFont"/>
    <w:uiPriority w:val="99"/>
    <w:unhideWhenUsed/>
    <w:rsid w:val="00301880"/>
    <w:rPr>
      <w:color w:val="605E5C"/>
      <w:shd w:val="clear" w:color="auto" w:fill="E1DFDD"/>
    </w:rPr>
  </w:style>
  <w:style w:type="table" w:customStyle="1" w:styleId="Style1">
    <w:name w:val="Style1"/>
    <w:basedOn w:val="TableNormal"/>
    <w:uiPriority w:val="99"/>
    <w:rsid w:val="00301880"/>
    <w:pPr>
      <w:spacing w:after="0" w:line="240" w:lineRule="auto"/>
    </w:pPr>
    <w:rPr>
      <w:lang w:val="en-US"/>
    </w:rPr>
    <w:tblPr>
      <w:tblBorders>
        <w:top w:val="single" w:sz="4" w:space="0" w:color="007C89" w:themeColor="accent1"/>
        <w:bottom w:val="single" w:sz="4" w:space="0" w:color="007C89" w:themeColor="accent1"/>
        <w:insideH w:val="single" w:sz="4" w:space="0" w:color="007C89" w:themeColor="accent1"/>
      </w:tblBorders>
    </w:tblPr>
    <w:tblStylePr w:type="firstRow">
      <w:rPr>
        <w:b/>
        <w:color w:val="FFFFFF" w:themeColor="background1"/>
      </w:rPr>
      <w:tblPr/>
      <w:tcPr>
        <w:tcBorders>
          <w:top w:val="nil"/>
        </w:tcBorders>
        <w:shd w:val="clear" w:color="auto" w:fill="007C89" w:themeFill="accent1"/>
      </w:tcPr>
    </w:tblStylePr>
  </w:style>
  <w:style w:type="paragraph" w:customStyle="1" w:styleId="xmsolistparagraph">
    <w:name w:val="x_msolistparagraph"/>
    <w:basedOn w:val="Normal"/>
    <w:rsid w:val="00301880"/>
    <w:pPr>
      <w:autoSpaceDE/>
      <w:autoSpaceDN/>
      <w:adjustRightInd/>
      <w:spacing w:before="100" w:beforeAutospacing="1" w:after="100" w:afterAutospacing="1"/>
      <w:jc w:val="left"/>
    </w:pPr>
    <w:rPr>
      <w:rFonts w:ascii="Times New Roman" w:eastAsia="Times New Roman" w:hAnsi="Times New Roman" w:cs="Times New Roman"/>
      <w:spacing w:val="0"/>
      <w:sz w:val="24"/>
      <w:szCs w:val="24"/>
      <w:lang w:val="en-US" w:eastAsia="en-US"/>
    </w:rPr>
  </w:style>
  <w:style w:type="character" w:styleId="Mention">
    <w:name w:val="Mention"/>
    <w:basedOn w:val="DefaultParagraphFont"/>
    <w:uiPriority w:val="99"/>
    <w:unhideWhenUsed/>
    <w:rsid w:val="00301880"/>
    <w:rPr>
      <w:color w:val="2B579A"/>
      <w:shd w:val="clear" w:color="auto" w:fill="E1DFDD"/>
    </w:rPr>
  </w:style>
  <w:style w:type="paragraph" w:customStyle="1" w:styleId="Bulleted">
    <w:name w:val="Bulleted"/>
    <w:basedOn w:val="Normal"/>
    <w:rsid w:val="00301880"/>
    <w:pPr>
      <w:numPr>
        <w:numId w:val="24"/>
      </w:numPr>
      <w:autoSpaceDE/>
      <w:autoSpaceDN/>
      <w:adjustRightInd/>
      <w:spacing w:before="0" w:after="160" w:line="256" w:lineRule="auto"/>
      <w:jc w:val="left"/>
    </w:pPr>
    <w:rPr>
      <w:rFonts w:asciiTheme="minorHAnsi" w:eastAsiaTheme="minorHAnsi" w:hAnsiTheme="minorHAnsi" w:cstheme="minorBidi"/>
      <w:spacing w:val="0"/>
      <w:szCs w:val="22"/>
      <w:lang w:eastAsia="en-US"/>
    </w:rPr>
  </w:style>
  <w:style w:type="table" w:customStyle="1" w:styleId="CoffeyGrey1">
    <w:name w:val="Coffey Grey1"/>
    <w:basedOn w:val="TableGrid"/>
    <w:uiPriority w:val="99"/>
    <w:rsid w:val="00211890"/>
    <w:pPr>
      <w:spacing w:before="100" w:after="100" w:line="360" w:lineRule="auto"/>
    </w:pPr>
    <w:rPr>
      <w:rFonts w:ascii="Arial" w:eastAsia="Arial" w:hAnsi="Arial" w:cs="Times New Roman"/>
      <w:sz w:val="19"/>
      <w:szCs w:val="20"/>
      <w:lang w:eastAsia="en-AU"/>
    </w:rPr>
    <w:tblPr>
      <w:tblBorders>
        <w:top w:val="none" w:sz="0" w:space="0" w:color="auto"/>
        <w:bottom w:val="dotted" w:sz="4" w:space="0" w:color="A6A6A6"/>
        <w:insideH w:val="dotted" w:sz="4" w:space="0" w:color="A6A6A6"/>
      </w:tblBorders>
    </w:tblPr>
    <w:tcPr>
      <w:shd w:val="clear" w:color="auto" w:fill="auto"/>
    </w:tcPr>
    <w:tblStylePr w:type="firstRow">
      <w:rPr>
        <w:rFonts w:ascii="Arial" w:hAnsi="Arial"/>
        <w:b/>
        <w:color w:val="003478"/>
        <w:sz w:val="19"/>
      </w:rPr>
      <w:tblPr/>
      <w:tcPr>
        <w:tcBorders>
          <w:top w:val="nil"/>
          <w:left w:val="nil"/>
          <w:bottom w:val="single" w:sz="24" w:space="0" w:color="5482AB"/>
          <w:right w:val="nil"/>
          <w:insideH w:val="nil"/>
          <w:insideV w:val="nil"/>
          <w:tl2br w:val="nil"/>
          <w:tr2bl w:val="nil"/>
        </w:tcBorders>
        <w:shd w:val="clear" w:color="auto" w:fill="auto"/>
      </w:tcPr>
    </w:tblStylePr>
    <w:tblStylePr w:type="firstCol">
      <w:rPr>
        <w:b/>
      </w:rPr>
      <w:tblPr/>
      <w:tcPr>
        <w:shd w:val="clear" w:color="auto" w:fill="F2F2F2"/>
      </w:tcPr>
    </w:tblStylePr>
  </w:style>
  <w:style w:type="table" w:customStyle="1" w:styleId="TableGridLight100000">
    <w:name w:val="Table Grid Light100000"/>
    <w:basedOn w:val="TableNormal"/>
    <w:next w:val="TableGridLight10000"/>
    <w:uiPriority w:val="40"/>
    <w:rsid w:val="00020F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cLLTableGeneralText3">
    <w:name w:val="McLL Table General Text3"/>
    <w:basedOn w:val="TableNormal"/>
    <w:next w:val="TableGrid"/>
    <w:uiPriority w:val="39"/>
    <w:rsid w:val="00B84413"/>
    <w:pPr>
      <w:spacing w:after="0" w:line="240" w:lineRule="auto"/>
    </w:pPr>
    <w:rPr>
      <w:rFonts w:ascii="Times New Roman" w:eastAsia="Arial"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A1667"/>
    <w:pPr>
      <w:autoSpaceDE/>
      <w:autoSpaceDN/>
      <w:adjustRightInd/>
      <w:spacing w:before="100" w:beforeAutospacing="1" w:after="100" w:afterAutospacing="1"/>
      <w:jc w:val="left"/>
    </w:pPr>
    <w:rPr>
      <w:rFonts w:ascii="Times New Roman" w:eastAsia="Times New Roman" w:hAnsi="Times New Roman" w:cs="Times New Roman"/>
      <w:spacing w:val="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261155">
      <w:bodyDiv w:val="1"/>
      <w:marLeft w:val="0"/>
      <w:marRight w:val="0"/>
      <w:marTop w:val="0"/>
      <w:marBottom w:val="0"/>
      <w:divBdr>
        <w:top w:val="none" w:sz="0" w:space="0" w:color="auto"/>
        <w:left w:val="none" w:sz="0" w:space="0" w:color="auto"/>
        <w:bottom w:val="none" w:sz="0" w:space="0" w:color="auto"/>
        <w:right w:val="none" w:sz="0" w:space="0" w:color="auto"/>
      </w:divBdr>
    </w:div>
    <w:div w:id="328336147">
      <w:bodyDiv w:val="1"/>
      <w:marLeft w:val="0"/>
      <w:marRight w:val="0"/>
      <w:marTop w:val="0"/>
      <w:marBottom w:val="0"/>
      <w:divBdr>
        <w:top w:val="none" w:sz="0" w:space="0" w:color="auto"/>
        <w:left w:val="none" w:sz="0" w:space="0" w:color="auto"/>
        <w:bottom w:val="none" w:sz="0" w:space="0" w:color="auto"/>
        <w:right w:val="none" w:sz="0" w:space="0" w:color="auto"/>
      </w:divBdr>
      <w:divsChild>
        <w:div w:id="2062291199">
          <w:marLeft w:val="0"/>
          <w:marRight w:val="0"/>
          <w:marTop w:val="0"/>
          <w:marBottom w:val="0"/>
          <w:divBdr>
            <w:top w:val="none" w:sz="0" w:space="0" w:color="auto"/>
            <w:left w:val="none" w:sz="0" w:space="0" w:color="auto"/>
            <w:bottom w:val="none" w:sz="0" w:space="0" w:color="auto"/>
            <w:right w:val="none" w:sz="0" w:space="0" w:color="auto"/>
          </w:divBdr>
          <w:divsChild>
            <w:div w:id="13641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28666">
      <w:bodyDiv w:val="1"/>
      <w:marLeft w:val="0"/>
      <w:marRight w:val="0"/>
      <w:marTop w:val="0"/>
      <w:marBottom w:val="0"/>
      <w:divBdr>
        <w:top w:val="none" w:sz="0" w:space="0" w:color="auto"/>
        <w:left w:val="none" w:sz="0" w:space="0" w:color="auto"/>
        <w:bottom w:val="none" w:sz="0" w:space="0" w:color="auto"/>
        <w:right w:val="none" w:sz="0" w:space="0" w:color="auto"/>
      </w:divBdr>
    </w:div>
    <w:div w:id="1055008327">
      <w:bodyDiv w:val="1"/>
      <w:marLeft w:val="0"/>
      <w:marRight w:val="0"/>
      <w:marTop w:val="0"/>
      <w:marBottom w:val="0"/>
      <w:divBdr>
        <w:top w:val="none" w:sz="0" w:space="0" w:color="auto"/>
        <w:left w:val="none" w:sz="0" w:space="0" w:color="auto"/>
        <w:bottom w:val="none" w:sz="0" w:space="0" w:color="auto"/>
        <w:right w:val="none" w:sz="0" w:space="0" w:color="auto"/>
      </w:divBdr>
    </w:div>
    <w:div w:id="1157260760">
      <w:bodyDiv w:val="1"/>
      <w:marLeft w:val="0"/>
      <w:marRight w:val="0"/>
      <w:marTop w:val="0"/>
      <w:marBottom w:val="0"/>
      <w:divBdr>
        <w:top w:val="none" w:sz="0" w:space="0" w:color="auto"/>
        <w:left w:val="none" w:sz="0" w:space="0" w:color="auto"/>
        <w:bottom w:val="none" w:sz="0" w:space="0" w:color="auto"/>
        <w:right w:val="none" w:sz="0" w:space="0" w:color="auto"/>
      </w:divBdr>
      <w:divsChild>
        <w:div w:id="113063611">
          <w:marLeft w:val="360"/>
          <w:marRight w:val="0"/>
          <w:marTop w:val="0"/>
          <w:marBottom w:val="0"/>
          <w:divBdr>
            <w:top w:val="none" w:sz="0" w:space="0" w:color="auto"/>
            <w:left w:val="none" w:sz="0" w:space="0" w:color="auto"/>
            <w:bottom w:val="none" w:sz="0" w:space="0" w:color="auto"/>
            <w:right w:val="none" w:sz="0" w:space="0" w:color="auto"/>
          </w:divBdr>
        </w:div>
        <w:div w:id="988286114">
          <w:marLeft w:val="360"/>
          <w:marRight w:val="0"/>
          <w:marTop w:val="0"/>
          <w:marBottom w:val="0"/>
          <w:divBdr>
            <w:top w:val="none" w:sz="0" w:space="0" w:color="auto"/>
            <w:left w:val="none" w:sz="0" w:space="0" w:color="auto"/>
            <w:bottom w:val="none" w:sz="0" w:space="0" w:color="auto"/>
            <w:right w:val="none" w:sz="0" w:space="0" w:color="auto"/>
          </w:divBdr>
        </w:div>
        <w:div w:id="1085955163">
          <w:marLeft w:val="360"/>
          <w:marRight w:val="0"/>
          <w:marTop w:val="0"/>
          <w:marBottom w:val="0"/>
          <w:divBdr>
            <w:top w:val="none" w:sz="0" w:space="0" w:color="auto"/>
            <w:left w:val="none" w:sz="0" w:space="0" w:color="auto"/>
            <w:bottom w:val="none" w:sz="0" w:space="0" w:color="auto"/>
            <w:right w:val="none" w:sz="0" w:space="0" w:color="auto"/>
          </w:divBdr>
        </w:div>
        <w:div w:id="2003313106">
          <w:marLeft w:val="360"/>
          <w:marRight w:val="0"/>
          <w:marTop w:val="0"/>
          <w:marBottom w:val="0"/>
          <w:divBdr>
            <w:top w:val="none" w:sz="0" w:space="0" w:color="auto"/>
            <w:left w:val="none" w:sz="0" w:space="0" w:color="auto"/>
            <w:bottom w:val="none" w:sz="0" w:space="0" w:color="auto"/>
            <w:right w:val="none" w:sz="0" w:space="0" w:color="auto"/>
          </w:divBdr>
        </w:div>
      </w:divsChild>
    </w:div>
    <w:div w:id="1296912310">
      <w:bodyDiv w:val="1"/>
      <w:marLeft w:val="0"/>
      <w:marRight w:val="0"/>
      <w:marTop w:val="0"/>
      <w:marBottom w:val="0"/>
      <w:divBdr>
        <w:top w:val="none" w:sz="0" w:space="0" w:color="auto"/>
        <w:left w:val="none" w:sz="0" w:space="0" w:color="auto"/>
        <w:bottom w:val="none" w:sz="0" w:space="0" w:color="auto"/>
        <w:right w:val="none" w:sz="0" w:space="0" w:color="auto"/>
      </w:divBdr>
    </w:div>
    <w:div w:id="1364595127">
      <w:bodyDiv w:val="1"/>
      <w:marLeft w:val="0"/>
      <w:marRight w:val="0"/>
      <w:marTop w:val="0"/>
      <w:marBottom w:val="0"/>
      <w:divBdr>
        <w:top w:val="none" w:sz="0" w:space="0" w:color="auto"/>
        <w:left w:val="none" w:sz="0" w:space="0" w:color="auto"/>
        <w:bottom w:val="none" w:sz="0" w:space="0" w:color="auto"/>
        <w:right w:val="none" w:sz="0" w:space="0" w:color="auto"/>
      </w:divBdr>
    </w:div>
    <w:div w:id="1408573176">
      <w:bodyDiv w:val="1"/>
      <w:marLeft w:val="0"/>
      <w:marRight w:val="0"/>
      <w:marTop w:val="0"/>
      <w:marBottom w:val="0"/>
      <w:divBdr>
        <w:top w:val="none" w:sz="0" w:space="0" w:color="auto"/>
        <w:left w:val="none" w:sz="0" w:space="0" w:color="auto"/>
        <w:bottom w:val="none" w:sz="0" w:space="0" w:color="auto"/>
        <w:right w:val="none" w:sz="0" w:space="0" w:color="auto"/>
      </w:divBdr>
    </w:div>
    <w:div w:id="1431320619">
      <w:bodyDiv w:val="1"/>
      <w:marLeft w:val="0"/>
      <w:marRight w:val="0"/>
      <w:marTop w:val="0"/>
      <w:marBottom w:val="0"/>
      <w:divBdr>
        <w:top w:val="none" w:sz="0" w:space="0" w:color="auto"/>
        <w:left w:val="none" w:sz="0" w:space="0" w:color="auto"/>
        <w:bottom w:val="none" w:sz="0" w:space="0" w:color="auto"/>
        <w:right w:val="none" w:sz="0" w:space="0" w:color="auto"/>
      </w:divBdr>
    </w:div>
    <w:div w:id="1442602294">
      <w:bodyDiv w:val="1"/>
      <w:marLeft w:val="0"/>
      <w:marRight w:val="0"/>
      <w:marTop w:val="0"/>
      <w:marBottom w:val="0"/>
      <w:divBdr>
        <w:top w:val="none" w:sz="0" w:space="0" w:color="auto"/>
        <w:left w:val="none" w:sz="0" w:space="0" w:color="auto"/>
        <w:bottom w:val="none" w:sz="0" w:space="0" w:color="auto"/>
        <w:right w:val="none" w:sz="0" w:space="0" w:color="auto"/>
      </w:divBdr>
    </w:div>
    <w:div w:id="1477337529">
      <w:bodyDiv w:val="1"/>
      <w:marLeft w:val="0"/>
      <w:marRight w:val="0"/>
      <w:marTop w:val="0"/>
      <w:marBottom w:val="0"/>
      <w:divBdr>
        <w:top w:val="none" w:sz="0" w:space="0" w:color="auto"/>
        <w:left w:val="none" w:sz="0" w:space="0" w:color="auto"/>
        <w:bottom w:val="none" w:sz="0" w:space="0" w:color="auto"/>
        <w:right w:val="none" w:sz="0" w:space="0" w:color="auto"/>
      </w:divBdr>
    </w:div>
    <w:div w:id="1571690406">
      <w:bodyDiv w:val="1"/>
      <w:marLeft w:val="0"/>
      <w:marRight w:val="0"/>
      <w:marTop w:val="0"/>
      <w:marBottom w:val="0"/>
      <w:divBdr>
        <w:top w:val="none" w:sz="0" w:space="0" w:color="auto"/>
        <w:left w:val="none" w:sz="0" w:space="0" w:color="auto"/>
        <w:bottom w:val="none" w:sz="0" w:space="0" w:color="auto"/>
        <w:right w:val="none" w:sz="0" w:space="0" w:color="auto"/>
      </w:divBdr>
    </w:div>
    <w:div w:id="168605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pm.gov.au/media/papua-new-guinea-port-upgrades-support-trade-and-connectivity" TargetMode="External"/><Relationship Id="rId2" Type="http://schemas.openxmlformats.org/officeDocument/2006/relationships/hyperlink" Target="https://www.oecd.org/cfe/leed/36279186.pdf" TargetMode="External"/><Relationship Id="rId1" Type="http://schemas.openxmlformats.org/officeDocument/2006/relationships/hyperlink" Target="https://www.oecd.org/cfe/leed/36279186.pdf" TargetMode="External"/></Relationships>
</file>

<file path=word/theme/theme1.xml><?xml version="1.0" encoding="utf-8"?>
<a:theme xmlns:a="http://schemas.openxmlformats.org/drawingml/2006/main" name="Office Theme">
  <a:themeElements>
    <a:clrScheme name="DFAT Branding">
      <a:dk1>
        <a:sysClr val="windowText" lastClr="000000"/>
      </a:dk1>
      <a:lt1>
        <a:sysClr val="window" lastClr="FFFFFF"/>
      </a:lt1>
      <a:dk2>
        <a:srgbClr val="44546A"/>
      </a:dk2>
      <a:lt2>
        <a:srgbClr val="E7E6E6"/>
      </a:lt2>
      <a:accent1>
        <a:srgbClr val="007C89"/>
      </a:accent1>
      <a:accent2>
        <a:srgbClr val="65C5B4"/>
      </a:accent2>
      <a:accent3>
        <a:srgbClr val="838E99"/>
      </a:accent3>
      <a:accent4>
        <a:srgbClr val="B5582D"/>
      </a:accent4>
      <a:accent5>
        <a:srgbClr val="FFFFFF"/>
      </a:accent5>
      <a:accent6>
        <a:srgbClr val="FFFFFF"/>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0BB13-867B-4389-BB5E-5AE4D39E1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11936</Words>
  <Characters>68633</Characters>
  <Application>Microsoft Office Word</Application>
  <DocSecurity>0</DocSecurity>
  <Lines>1596</Lines>
  <Paragraphs>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80029</CharactersWithSpaces>
  <SharedDoc>false</SharedDoc>
  <HLinks>
    <vt:vector size="144" baseType="variant">
      <vt:variant>
        <vt:i4>1245241</vt:i4>
      </vt:variant>
      <vt:variant>
        <vt:i4>122</vt:i4>
      </vt:variant>
      <vt:variant>
        <vt:i4>0</vt:i4>
      </vt:variant>
      <vt:variant>
        <vt:i4>5</vt:i4>
      </vt:variant>
      <vt:variant>
        <vt:lpwstr/>
      </vt:variant>
      <vt:variant>
        <vt:lpwstr>_Toc93948516</vt:lpwstr>
      </vt:variant>
      <vt:variant>
        <vt:i4>1048633</vt:i4>
      </vt:variant>
      <vt:variant>
        <vt:i4>116</vt:i4>
      </vt:variant>
      <vt:variant>
        <vt:i4>0</vt:i4>
      </vt:variant>
      <vt:variant>
        <vt:i4>5</vt:i4>
      </vt:variant>
      <vt:variant>
        <vt:lpwstr/>
      </vt:variant>
      <vt:variant>
        <vt:lpwstr>_Toc93948515</vt:lpwstr>
      </vt:variant>
      <vt:variant>
        <vt:i4>1114169</vt:i4>
      </vt:variant>
      <vt:variant>
        <vt:i4>110</vt:i4>
      </vt:variant>
      <vt:variant>
        <vt:i4>0</vt:i4>
      </vt:variant>
      <vt:variant>
        <vt:i4>5</vt:i4>
      </vt:variant>
      <vt:variant>
        <vt:lpwstr/>
      </vt:variant>
      <vt:variant>
        <vt:lpwstr>_Toc93948514</vt:lpwstr>
      </vt:variant>
      <vt:variant>
        <vt:i4>1441849</vt:i4>
      </vt:variant>
      <vt:variant>
        <vt:i4>104</vt:i4>
      </vt:variant>
      <vt:variant>
        <vt:i4>0</vt:i4>
      </vt:variant>
      <vt:variant>
        <vt:i4>5</vt:i4>
      </vt:variant>
      <vt:variant>
        <vt:lpwstr/>
      </vt:variant>
      <vt:variant>
        <vt:lpwstr>_Toc93948513</vt:lpwstr>
      </vt:variant>
      <vt:variant>
        <vt:i4>1507385</vt:i4>
      </vt:variant>
      <vt:variant>
        <vt:i4>98</vt:i4>
      </vt:variant>
      <vt:variant>
        <vt:i4>0</vt:i4>
      </vt:variant>
      <vt:variant>
        <vt:i4>5</vt:i4>
      </vt:variant>
      <vt:variant>
        <vt:lpwstr/>
      </vt:variant>
      <vt:variant>
        <vt:lpwstr>_Toc93948512</vt:lpwstr>
      </vt:variant>
      <vt:variant>
        <vt:i4>1310777</vt:i4>
      </vt:variant>
      <vt:variant>
        <vt:i4>92</vt:i4>
      </vt:variant>
      <vt:variant>
        <vt:i4>0</vt:i4>
      </vt:variant>
      <vt:variant>
        <vt:i4>5</vt:i4>
      </vt:variant>
      <vt:variant>
        <vt:lpwstr/>
      </vt:variant>
      <vt:variant>
        <vt:lpwstr>_Toc93948511</vt:lpwstr>
      </vt:variant>
      <vt:variant>
        <vt:i4>1376313</vt:i4>
      </vt:variant>
      <vt:variant>
        <vt:i4>86</vt:i4>
      </vt:variant>
      <vt:variant>
        <vt:i4>0</vt:i4>
      </vt:variant>
      <vt:variant>
        <vt:i4>5</vt:i4>
      </vt:variant>
      <vt:variant>
        <vt:lpwstr/>
      </vt:variant>
      <vt:variant>
        <vt:lpwstr>_Toc93948510</vt:lpwstr>
      </vt:variant>
      <vt:variant>
        <vt:i4>1835064</vt:i4>
      </vt:variant>
      <vt:variant>
        <vt:i4>80</vt:i4>
      </vt:variant>
      <vt:variant>
        <vt:i4>0</vt:i4>
      </vt:variant>
      <vt:variant>
        <vt:i4>5</vt:i4>
      </vt:variant>
      <vt:variant>
        <vt:lpwstr/>
      </vt:variant>
      <vt:variant>
        <vt:lpwstr>_Toc93948509</vt:lpwstr>
      </vt:variant>
      <vt:variant>
        <vt:i4>1900600</vt:i4>
      </vt:variant>
      <vt:variant>
        <vt:i4>74</vt:i4>
      </vt:variant>
      <vt:variant>
        <vt:i4>0</vt:i4>
      </vt:variant>
      <vt:variant>
        <vt:i4>5</vt:i4>
      </vt:variant>
      <vt:variant>
        <vt:lpwstr/>
      </vt:variant>
      <vt:variant>
        <vt:lpwstr>_Toc93948508</vt:lpwstr>
      </vt:variant>
      <vt:variant>
        <vt:i4>1179704</vt:i4>
      </vt:variant>
      <vt:variant>
        <vt:i4>68</vt:i4>
      </vt:variant>
      <vt:variant>
        <vt:i4>0</vt:i4>
      </vt:variant>
      <vt:variant>
        <vt:i4>5</vt:i4>
      </vt:variant>
      <vt:variant>
        <vt:lpwstr/>
      </vt:variant>
      <vt:variant>
        <vt:lpwstr>_Toc93948507</vt:lpwstr>
      </vt:variant>
      <vt:variant>
        <vt:i4>1245240</vt:i4>
      </vt:variant>
      <vt:variant>
        <vt:i4>62</vt:i4>
      </vt:variant>
      <vt:variant>
        <vt:i4>0</vt:i4>
      </vt:variant>
      <vt:variant>
        <vt:i4>5</vt:i4>
      </vt:variant>
      <vt:variant>
        <vt:lpwstr/>
      </vt:variant>
      <vt:variant>
        <vt:lpwstr>_Toc93948506</vt:lpwstr>
      </vt:variant>
      <vt:variant>
        <vt:i4>1048632</vt:i4>
      </vt:variant>
      <vt:variant>
        <vt:i4>56</vt:i4>
      </vt:variant>
      <vt:variant>
        <vt:i4>0</vt:i4>
      </vt:variant>
      <vt:variant>
        <vt:i4>5</vt:i4>
      </vt:variant>
      <vt:variant>
        <vt:lpwstr/>
      </vt:variant>
      <vt:variant>
        <vt:lpwstr>_Toc93948505</vt:lpwstr>
      </vt:variant>
      <vt:variant>
        <vt:i4>1114168</vt:i4>
      </vt:variant>
      <vt:variant>
        <vt:i4>50</vt:i4>
      </vt:variant>
      <vt:variant>
        <vt:i4>0</vt:i4>
      </vt:variant>
      <vt:variant>
        <vt:i4>5</vt:i4>
      </vt:variant>
      <vt:variant>
        <vt:lpwstr/>
      </vt:variant>
      <vt:variant>
        <vt:lpwstr>_Toc93948504</vt:lpwstr>
      </vt:variant>
      <vt:variant>
        <vt:i4>1441848</vt:i4>
      </vt:variant>
      <vt:variant>
        <vt:i4>44</vt:i4>
      </vt:variant>
      <vt:variant>
        <vt:i4>0</vt:i4>
      </vt:variant>
      <vt:variant>
        <vt:i4>5</vt:i4>
      </vt:variant>
      <vt:variant>
        <vt:lpwstr/>
      </vt:variant>
      <vt:variant>
        <vt:lpwstr>_Toc93948503</vt:lpwstr>
      </vt:variant>
      <vt:variant>
        <vt:i4>1507384</vt:i4>
      </vt:variant>
      <vt:variant>
        <vt:i4>38</vt:i4>
      </vt:variant>
      <vt:variant>
        <vt:i4>0</vt:i4>
      </vt:variant>
      <vt:variant>
        <vt:i4>5</vt:i4>
      </vt:variant>
      <vt:variant>
        <vt:lpwstr/>
      </vt:variant>
      <vt:variant>
        <vt:lpwstr>_Toc93948502</vt:lpwstr>
      </vt:variant>
      <vt:variant>
        <vt:i4>1310776</vt:i4>
      </vt:variant>
      <vt:variant>
        <vt:i4>32</vt:i4>
      </vt:variant>
      <vt:variant>
        <vt:i4>0</vt:i4>
      </vt:variant>
      <vt:variant>
        <vt:i4>5</vt:i4>
      </vt:variant>
      <vt:variant>
        <vt:lpwstr/>
      </vt:variant>
      <vt:variant>
        <vt:lpwstr>_Toc93948501</vt:lpwstr>
      </vt:variant>
      <vt:variant>
        <vt:i4>1376312</vt:i4>
      </vt:variant>
      <vt:variant>
        <vt:i4>26</vt:i4>
      </vt:variant>
      <vt:variant>
        <vt:i4>0</vt:i4>
      </vt:variant>
      <vt:variant>
        <vt:i4>5</vt:i4>
      </vt:variant>
      <vt:variant>
        <vt:lpwstr/>
      </vt:variant>
      <vt:variant>
        <vt:lpwstr>_Toc93948500</vt:lpwstr>
      </vt:variant>
      <vt:variant>
        <vt:i4>1900593</vt:i4>
      </vt:variant>
      <vt:variant>
        <vt:i4>20</vt:i4>
      </vt:variant>
      <vt:variant>
        <vt:i4>0</vt:i4>
      </vt:variant>
      <vt:variant>
        <vt:i4>5</vt:i4>
      </vt:variant>
      <vt:variant>
        <vt:lpwstr/>
      </vt:variant>
      <vt:variant>
        <vt:lpwstr>_Toc93948499</vt:lpwstr>
      </vt:variant>
      <vt:variant>
        <vt:i4>1835057</vt:i4>
      </vt:variant>
      <vt:variant>
        <vt:i4>14</vt:i4>
      </vt:variant>
      <vt:variant>
        <vt:i4>0</vt:i4>
      </vt:variant>
      <vt:variant>
        <vt:i4>5</vt:i4>
      </vt:variant>
      <vt:variant>
        <vt:lpwstr/>
      </vt:variant>
      <vt:variant>
        <vt:lpwstr>_Toc93948498</vt:lpwstr>
      </vt:variant>
      <vt:variant>
        <vt:i4>1245233</vt:i4>
      </vt:variant>
      <vt:variant>
        <vt:i4>8</vt:i4>
      </vt:variant>
      <vt:variant>
        <vt:i4>0</vt:i4>
      </vt:variant>
      <vt:variant>
        <vt:i4>5</vt:i4>
      </vt:variant>
      <vt:variant>
        <vt:lpwstr/>
      </vt:variant>
      <vt:variant>
        <vt:lpwstr>_Toc93948497</vt:lpwstr>
      </vt:variant>
      <vt:variant>
        <vt:i4>1179697</vt:i4>
      </vt:variant>
      <vt:variant>
        <vt:i4>2</vt:i4>
      </vt:variant>
      <vt:variant>
        <vt:i4>0</vt:i4>
      </vt:variant>
      <vt:variant>
        <vt:i4>5</vt:i4>
      </vt:variant>
      <vt:variant>
        <vt:lpwstr/>
      </vt:variant>
      <vt:variant>
        <vt:lpwstr>_Toc93948496</vt:lpwstr>
      </vt:variant>
      <vt:variant>
        <vt:i4>1769500</vt:i4>
      </vt:variant>
      <vt:variant>
        <vt:i4>6</vt:i4>
      </vt:variant>
      <vt:variant>
        <vt:i4>0</vt:i4>
      </vt:variant>
      <vt:variant>
        <vt:i4>5</vt:i4>
      </vt:variant>
      <vt:variant>
        <vt:lpwstr>https://www.pm.gov.au/media/papua-new-guinea-port-upgrades-support-trade-and-connectivity</vt:lpwstr>
      </vt:variant>
      <vt:variant>
        <vt:lpwstr/>
      </vt:variant>
      <vt:variant>
        <vt:i4>7405629</vt:i4>
      </vt:variant>
      <vt:variant>
        <vt:i4>3</vt:i4>
      </vt:variant>
      <vt:variant>
        <vt:i4>0</vt:i4>
      </vt:variant>
      <vt:variant>
        <vt:i4>5</vt:i4>
      </vt:variant>
      <vt:variant>
        <vt:lpwstr>https://www.oecd.org/cfe/leed/36279186.pdf</vt:lpwstr>
      </vt:variant>
      <vt:variant>
        <vt:lpwstr/>
      </vt:variant>
      <vt:variant>
        <vt:i4>7405629</vt:i4>
      </vt:variant>
      <vt:variant>
        <vt:i4>0</vt:i4>
      </vt:variant>
      <vt:variant>
        <vt:i4>0</vt:i4>
      </vt:variant>
      <vt:variant>
        <vt:i4>5</vt:i4>
      </vt:variant>
      <vt:variant>
        <vt:lpwstr>https://www.oecd.org/cfe/leed/36279186.pdf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2022-08-19T02:00:00Z</dcterms:created>
  <dcterms:modified xsi:type="dcterms:W3CDTF">2022-08-19T02:00:00Z</dcterms:modified>
  <cp:category/>
</cp:coreProperties>
</file>