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8C1B2" w14:textId="4641C1F5" w:rsidR="001A4A3A" w:rsidRPr="00DF1163" w:rsidRDefault="001A4A3A" w:rsidP="00DF1163">
      <w:pPr>
        <w:pStyle w:val="Heading1"/>
      </w:pPr>
      <w:r w:rsidRPr="00DF1163">
        <w:t>Review of the Australia-PNG Government Transport Partnership</w:t>
      </w:r>
    </w:p>
    <w:p w14:paraId="68FB8322" w14:textId="77777777" w:rsidR="001A4A3A" w:rsidRPr="00DF1163" w:rsidRDefault="001A4A3A" w:rsidP="00DF1163">
      <w:pPr>
        <w:pStyle w:val="Heading1"/>
        <w:rPr>
          <w:b w:val="0"/>
          <w:bCs w:val="0"/>
          <w:u w:val="single"/>
        </w:rPr>
      </w:pPr>
      <w:r w:rsidRPr="00DF1163">
        <w:rPr>
          <w:b w:val="0"/>
          <w:bCs w:val="0"/>
          <w:u w:val="single"/>
        </w:rPr>
        <w:t>DFAT Management Response</w:t>
      </w:r>
    </w:p>
    <w:p w14:paraId="4D11A31D" w14:textId="77777777" w:rsidR="005A05A2" w:rsidRDefault="005A05A2" w:rsidP="001A4A3A">
      <w:pPr>
        <w:rPr>
          <w:sz w:val="24"/>
          <w:szCs w:val="24"/>
        </w:rPr>
      </w:pPr>
    </w:p>
    <w:p w14:paraId="4BB133F2" w14:textId="4B9277FB" w:rsidR="005A05A2" w:rsidRDefault="001A4A3A" w:rsidP="001A4A3A">
      <w:pPr>
        <w:rPr>
          <w:sz w:val="24"/>
          <w:szCs w:val="24"/>
        </w:rPr>
      </w:pPr>
      <w:r>
        <w:rPr>
          <w:sz w:val="24"/>
          <w:szCs w:val="24"/>
        </w:rPr>
        <w:t xml:space="preserve">The Australian Government has a long history of providing support and fostering partnerships in Papua New Guinea’s transport sector. </w:t>
      </w:r>
    </w:p>
    <w:p w14:paraId="164AB871" w14:textId="77777777" w:rsidR="005A05A2" w:rsidRDefault="005A05A2" w:rsidP="001A4A3A">
      <w:pPr>
        <w:rPr>
          <w:sz w:val="24"/>
          <w:szCs w:val="24"/>
        </w:rPr>
      </w:pPr>
    </w:p>
    <w:p w14:paraId="1D3A0D5F" w14:textId="4FB580E1" w:rsidR="005A05A2" w:rsidRDefault="001A4A3A" w:rsidP="001A4A3A">
      <w:pPr>
        <w:rPr>
          <w:sz w:val="24"/>
          <w:szCs w:val="24"/>
        </w:rPr>
      </w:pPr>
      <w:r>
        <w:rPr>
          <w:sz w:val="24"/>
          <w:szCs w:val="24"/>
        </w:rPr>
        <w:t xml:space="preserve">The Australia-PNG Government Transport Partnership’ comprises </w:t>
      </w:r>
      <w:r w:rsidR="00B86C7A">
        <w:rPr>
          <w:sz w:val="24"/>
          <w:szCs w:val="24"/>
        </w:rPr>
        <w:t xml:space="preserve">an overarching </w:t>
      </w:r>
      <w:r>
        <w:rPr>
          <w:sz w:val="24"/>
          <w:szCs w:val="24"/>
        </w:rPr>
        <w:t>Memorandum of Understanding (MoU)</w:t>
      </w:r>
      <w:r w:rsidR="00B86C7A">
        <w:rPr>
          <w:sz w:val="24"/>
          <w:szCs w:val="24"/>
        </w:rPr>
        <w:t xml:space="preserve"> covering aviation and maritime activities</w:t>
      </w:r>
      <w:r>
        <w:rPr>
          <w:sz w:val="24"/>
          <w:szCs w:val="24"/>
        </w:rPr>
        <w:t xml:space="preserve">, </w:t>
      </w:r>
      <w:r w:rsidR="00B86C7A">
        <w:rPr>
          <w:sz w:val="24"/>
          <w:szCs w:val="24"/>
        </w:rPr>
        <w:t xml:space="preserve">and </w:t>
      </w:r>
      <w:r>
        <w:rPr>
          <w:sz w:val="24"/>
          <w:szCs w:val="24"/>
        </w:rPr>
        <w:t xml:space="preserve">the </w:t>
      </w:r>
      <w:r w:rsidR="00E81312">
        <w:rPr>
          <w:sz w:val="24"/>
          <w:szCs w:val="24"/>
        </w:rPr>
        <w:t xml:space="preserve">ODA-funded </w:t>
      </w:r>
      <w:r>
        <w:rPr>
          <w:sz w:val="24"/>
          <w:szCs w:val="24"/>
        </w:rPr>
        <w:t>Transport Sector Support Program (TSSP)</w:t>
      </w:r>
      <w:r w:rsidR="005A05A2">
        <w:rPr>
          <w:sz w:val="24"/>
          <w:szCs w:val="24"/>
        </w:rPr>
        <w:t>.</w:t>
      </w:r>
    </w:p>
    <w:p w14:paraId="74102A2D" w14:textId="77777777" w:rsidR="005A05A2" w:rsidRDefault="005A05A2" w:rsidP="001A4A3A">
      <w:pPr>
        <w:rPr>
          <w:sz w:val="24"/>
          <w:szCs w:val="24"/>
        </w:rPr>
      </w:pPr>
    </w:p>
    <w:p w14:paraId="395FDD86" w14:textId="358ABEA5" w:rsidR="001A4A3A" w:rsidRDefault="001A4A3A" w:rsidP="001A4A3A">
      <w:pPr>
        <w:rPr>
          <w:sz w:val="24"/>
          <w:szCs w:val="24"/>
        </w:rPr>
      </w:pPr>
      <w:r>
        <w:rPr>
          <w:sz w:val="24"/>
          <w:szCs w:val="24"/>
        </w:rPr>
        <w:t>Since 2019, there have been further Australian investments in Papua New Guinea’s transport sector through the Australian Infrastructure Financing Facility for the Pacific (AIFFP)</w:t>
      </w:r>
      <w:r w:rsidR="0043469A">
        <w:rPr>
          <w:sz w:val="24"/>
          <w:szCs w:val="24"/>
        </w:rPr>
        <w:t xml:space="preserve">. </w:t>
      </w:r>
      <w:r>
        <w:rPr>
          <w:sz w:val="24"/>
          <w:szCs w:val="24"/>
        </w:rPr>
        <w:t>The Department of Foreign Affairs and Trade (DFAT) contracted Tetra Tech International Development (Tetra Tech) to undertake an independent review of the Australia-PNG Government Transport Partnership (the Partnership).</w:t>
      </w:r>
      <w:r w:rsidR="00D37281">
        <w:rPr>
          <w:sz w:val="24"/>
          <w:szCs w:val="24"/>
        </w:rPr>
        <w:t xml:space="preserve"> </w:t>
      </w:r>
      <w:r>
        <w:rPr>
          <w:sz w:val="24"/>
          <w:szCs w:val="24"/>
        </w:rPr>
        <w:t xml:space="preserve">DFAT’s management response to the review follows. </w:t>
      </w:r>
    </w:p>
    <w:p w14:paraId="09F4F4CC" w14:textId="01FE52BA" w:rsidR="00D07D60" w:rsidRDefault="00D07D60" w:rsidP="00D07D60">
      <w:pPr>
        <w:widowControl/>
        <w:autoSpaceDE/>
        <w:autoSpaceDN/>
        <w:spacing w:after="160" w:line="259" w:lineRule="auto"/>
        <w:rPr>
          <w:rFonts w:asciiTheme="minorHAnsi" w:hAnsiTheme="minorHAnsi"/>
          <w:color w:val="000000" w:themeColor="text1"/>
          <w:sz w:val="24"/>
          <w:szCs w:val="24"/>
        </w:rPr>
      </w:pPr>
    </w:p>
    <w:tbl>
      <w:tblPr>
        <w:tblStyle w:val="TableGrid"/>
        <w:tblW w:w="10206" w:type="dxa"/>
        <w:tblInd w:w="-572" w:type="dxa"/>
        <w:tblLook w:val="04A0" w:firstRow="1" w:lastRow="0" w:firstColumn="1" w:lastColumn="0" w:noHBand="0" w:noVBand="1"/>
      </w:tblPr>
      <w:tblGrid>
        <w:gridCol w:w="5387"/>
        <w:gridCol w:w="1843"/>
        <w:gridCol w:w="2976"/>
      </w:tblGrid>
      <w:tr w:rsidR="007D079E" w14:paraId="4AE1756C" w14:textId="77777777" w:rsidTr="004E20E6">
        <w:trPr>
          <w:tblHeader/>
        </w:trPr>
        <w:tc>
          <w:tcPr>
            <w:tcW w:w="5387" w:type="dxa"/>
          </w:tcPr>
          <w:p w14:paraId="3293241C" w14:textId="6EE28939" w:rsidR="007D079E" w:rsidRPr="00720D18" w:rsidRDefault="007D079E" w:rsidP="00CA6D3A">
            <w:pPr>
              <w:spacing w:before="78"/>
              <w:ind w:right="125"/>
              <w:rPr>
                <w:rFonts w:asciiTheme="minorHAnsi" w:hAnsiTheme="minorHAnsi"/>
                <w:b/>
                <w:bCs/>
                <w:color w:val="000000" w:themeColor="text1"/>
                <w:sz w:val="24"/>
                <w:szCs w:val="24"/>
              </w:rPr>
            </w:pPr>
            <w:r w:rsidRPr="00720D18">
              <w:rPr>
                <w:rFonts w:asciiTheme="minorHAnsi" w:hAnsiTheme="minorHAnsi"/>
                <w:b/>
                <w:bCs/>
                <w:color w:val="000000" w:themeColor="text1"/>
                <w:sz w:val="24"/>
                <w:szCs w:val="24"/>
              </w:rPr>
              <w:t>Recommendation</w:t>
            </w:r>
          </w:p>
        </w:tc>
        <w:tc>
          <w:tcPr>
            <w:tcW w:w="1843" w:type="dxa"/>
          </w:tcPr>
          <w:p w14:paraId="51DD0C01" w14:textId="05B0505D" w:rsidR="007D079E" w:rsidRPr="00720D18" w:rsidRDefault="007D079E" w:rsidP="00CA6D3A">
            <w:pPr>
              <w:spacing w:before="78"/>
              <w:ind w:right="125"/>
              <w:rPr>
                <w:rFonts w:asciiTheme="minorHAnsi" w:hAnsiTheme="minorHAnsi"/>
                <w:b/>
                <w:bCs/>
                <w:color w:val="000000" w:themeColor="text1"/>
                <w:sz w:val="24"/>
                <w:szCs w:val="24"/>
              </w:rPr>
            </w:pPr>
            <w:r w:rsidRPr="00720D18">
              <w:rPr>
                <w:rFonts w:asciiTheme="minorHAnsi" w:hAnsiTheme="minorHAnsi"/>
                <w:b/>
                <w:bCs/>
                <w:color w:val="000000" w:themeColor="text1"/>
                <w:sz w:val="24"/>
                <w:szCs w:val="24"/>
              </w:rPr>
              <w:t>DFAT Management Response</w:t>
            </w:r>
          </w:p>
        </w:tc>
        <w:tc>
          <w:tcPr>
            <w:tcW w:w="2976" w:type="dxa"/>
          </w:tcPr>
          <w:p w14:paraId="2822674B" w14:textId="70884C71" w:rsidR="007D079E" w:rsidRPr="00720D18" w:rsidRDefault="007D079E" w:rsidP="00CA6D3A">
            <w:pPr>
              <w:spacing w:before="78"/>
              <w:ind w:right="125"/>
              <w:rPr>
                <w:rFonts w:asciiTheme="minorHAnsi" w:hAnsiTheme="minorHAnsi"/>
                <w:b/>
                <w:bCs/>
                <w:color w:val="000000" w:themeColor="text1"/>
                <w:sz w:val="24"/>
                <w:szCs w:val="24"/>
              </w:rPr>
            </w:pPr>
            <w:r w:rsidRPr="00720D18">
              <w:rPr>
                <w:rFonts w:asciiTheme="minorHAnsi" w:hAnsiTheme="minorHAnsi"/>
                <w:b/>
                <w:bCs/>
                <w:color w:val="000000" w:themeColor="text1"/>
                <w:sz w:val="24"/>
                <w:szCs w:val="24"/>
              </w:rPr>
              <w:t>Progress</w:t>
            </w:r>
          </w:p>
        </w:tc>
      </w:tr>
      <w:tr w:rsidR="006B0CBA" w14:paraId="564B78D5" w14:textId="77777777" w:rsidTr="00D33FE2">
        <w:tc>
          <w:tcPr>
            <w:tcW w:w="5387" w:type="dxa"/>
          </w:tcPr>
          <w:p w14:paraId="3CE0420E" w14:textId="77777777" w:rsidR="006B0CBA" w:rsidRDefault="006B0CBA" w:rsidP="006B0CBA">
            <w:pPr>
              <w:rPr>
                <w:b/>
                <w:bCs/>
                <w:i/>
                <w:iCs/>
                <w:sz w:val="24"/>
                <w:szCs w:val="24"/>
              </w:rPr>
            </w:pPr>
            <w:r>
              <w:rPr>
                <w:b/>
                <w:bCs/>
                <w:i/>
                <w:iCs/>
                <w:sz w:val="24"/>
                <w:szCs w:val="24"/>
              </w:rPr>
              <w:t>Recommendation 1</w:t>
            </w:r>
          </w:p>
          <w:p w14:paraId="361348F7" w14:textId="0252E73C" w:rsidR="006B0CBA" w:rsidRDefault="006B0CBA" w:rsidP="006B0CBA">
            <w:pPr>
              <w:spacing w:before="78"/>
              <w:ind w:right="125"/>
              <w:rPr>
                <w:rFonts w:asciiTheme="minorHAnsi" w:hAnsiTheme="minorHAnsi"/>
                <w:color w:val="000000" w:themeColor="text1"/>
                <w:sz w:val="24"/>
                <w:szCs w:val="24"/>
              </w:rPr>
            </w:pPr>
            <w:r>
              <w:rPr>
                <w:sz w:val="24"/>
                <w:szCs w:val="24"/>
              </w:rPr>
              <w:t xml:space="preserve">That Australia (via DFAT and DITRDC) through a consultative process with </w:t>
            </w:r>
            <w:proofErr w:type="spellStart"/>
            <w:r>
              <w:rPr>
                <w:sz w:val="24"/>
                <w:szCs w:val="24"/>
              </w:rPr>
              <w:t>GoPNG</w:t>
            </w:r>
            <w:proofErr w:type="spellEnd"/>
            <w:r>
              <w:rPr>
                <w:sz w:val="24"/>
                <w:szCs w:val="24"/>
              </w:rPr>
              <w:t xml:space="preserve"> develop a</w:t>
            </w:r>
            <w:r>
              <w:t xml:space="preserve"> </w:t>
            </w:r>
            <w:r>
              <w:rPr>
                <w:sz w:val="24"/>
                <w:szCs w:val="24"/>
              </w:rPr>
              <w:t xml:space="preserve">comprehensive strategy for Australian assistance to PNG’s transport sector. The strategy should articulate the objectives of the investments in the transport sector, the rationale of different support mechanisms across the different modes of transport, and the balance between investments in physical assets, institutional support, and capacity development. The strategy should also show the connections and alignment with ‘Connect PNG’, the current </w:t>
            </w:r>
            <w:proofErr w:type="spellStart"/>
            <w:r>
              <w:rPr>
                <w:sz w:val="24"/>
                <w:szCs w:val="24"/>
              </w:rPr>
              <w:t>GoPNG</w:t>
            </w:r>
            <w:proofErr w:type="spellEnd"/>
            <w:r>
              <w:rPr>
                <w:sz w:val="24"/>
                <w:szCs w:val="24"/>
              </w:rPr>
              <w:t xml:space="preserve"> policy that aims to rebuild the country’s road infrastructure on a 20-year program.</w:t>
            </w:r>
          </w:p>
        </w:tc>
        <w:tc>
          <w:tcPr>
            <w:tcW w:w="1843" w:type="dxa"/>
          </w:tcPr>
          <w:p w14:paraId="1CE30559" w14:textId="017ECDB7" w:rsidR="006B0CBA" w:rsidRDefault="006B0CBA" w:rsidP="00B86C7A">
            <w:pPr>
              <w:spacing w:before="78"/>
              <w:ind w:right="125"/>
              <w:rPr>
                <w:rFonts w:asciiTheme="minorHAnsi" w:hAnsiTheme="minorHAnsi"/>
                <w:color w:val="000000" w:themeColor="text1"/>
                <w:sz w:val="24"/>
                <w:szCs w:val="24"/>
              </w:rPr>
            </w:pPr>
            <w:r>
              <w:rPr>
                <w:sz w:val="24"/>
                <w:szCs w:val="24"/>
              </w:rPr>
              <w:t xml:space="preserve">Agree </w:t>
            </w:r>
          </w:p>
        </w:tc>
        <w:tc>
          <w:tcPr>
            <w:tcW w:w="2976" w:type="dxa"/>
          </w:tcPr>
          <w:p w14:paraId="4C50E419" w14:textId="3764B3FA" w:rsidR="00B86C7A" w:rsidRPr="0068376C" w:rsidRDefault="00536853" w:rsidP="0068376C">
            <w:pPr>
              <w:spacing w:before="78"/>
              <w:ind w:right="125"/>
              <w:rPr>
                <w:color w:val="000000" w:themeColor="text1"/>
                <w:sz w:val="24"/>
                <w:szCs w:val="24"/>
              </w:rPr>
            </w:pPr>
            <w:r>
              <w:rPr>
                <w:color w:val="000000" w:themeColor="text1"/>
                <w:sz w:val="24"/>
                <w:szCs w:val="24"/>
              </w:rPr>
              <w:t xml:space="preserve">DFAT and </w:t>
            </w:r>
            <w:proofErr w:type="gramStart"/>
            <w:r>
              <w:rPr>
                <w:color w:val="000000" w:themeColor="text1"/>
                <w:sz w:val="24"/>
                <w:szCs w:val="24"/>
              </w:rPr>
              <w:t xml:space="preserve">DITRDC </w:t>
            </w:r>
            <w:r w:rsidR="00B86C7A">
              <w:rPr>
                <w:color w:val="000000" w:themeColor="text1"/>
                <w:sz w:val="24"/>
                <w:szCs w:val="24"/>
              </w:rPr>
              <w:t xml:space="preserve"> will</w:t>
            </w:r>
            <w:proofErr w:type="gramEnd"/>
            <w:r w:rsidR="00B86C7A">
              <w:rPr>
                <w:color w:val="000000" w:themeColor="text1"/>
                <w:sz w:val="24"/>
                <w:szCs w:val="24"/>
              </w:rPr>
              <w:t xml:space="preserve"> </w:t>
            </w:r>
            <w:proofErr w:type="spellStart"/>
            <w:r w:rsidR="00B86C7A">
              <w:rPr>
                <w:color w:val="000000" w:themeColor="text1"/>
                <w:sz w:val="24"/>
                <w:szCs w:val="24"/>
              </w:rPr>
              <w:t>prioritise</w:t>
            </w:r>
            <w:proofErr w:type="spellEnd"/>
            <w:r w:rsidR="00B86C7A">
              <w:rPr>
                <w:color w:val="000000" w:themeColor="text1"/>
                <w:sz w:val="24"/>
                <w:szCs w:val="24"/>
              </w:rPr>
              <w:t xml:space="preserve"> the development of the Strategy – </w:t>
            </w:r>
            <w:r w:rsidR="00560A87">
              <w:rPr>
                <w:color w:val="000000" w:themeColor="text1"/>
                <w:sz w:val="24"/>
                <w:szCs w:val="24"/>
              </w:rPr>
              <w:t xml:space="preserve">including </w:t>
            </w:r>
            <w:r w:rsidR="00B86C7A">
              <w:rPr>
                <w:color w:val="000000" w:themeColor="text1"/>
                <w:sz w:val="24"/>
                <w:szCs w:val="24"/>
              </w:rPr>
              <w:t xml:space="preserve">a key overarching </w:t>
            </w:r>
            <w:r w:rsidR="00560A87">
              <w:rPr>
                <w:color w:val="000000" w:themeColor="text1"/>
                <w:sz w:val="24"/>
                <w:szCs w:val="24"/>
              </w:rPr>
              <w:t>set of objectives</w:t>
            </w:r>
            <w:r w:rsidR="00AF0D20">
              <w:rPr>
                <w:color w:val="000000" w:themeColor="text1"/>
                <w:sz w:val="24"/>
                <w:szCs w:val="24"/>
              </w:rPr>
              <w:t>, following the TSSP3 design</w:t>
            </w:r>
            <w:r w:rsidR="00560A87">
              <w:rPr>
                <w:color w:val="000000" w:themeColor="text1"/>
                <w:sz w:val="24"/>
                <w:szCs w:val="24"/>
              </w:rPr>
              <w:t xml:space="preserve">. </w:t>
            </w:r>
            <w:r w:rsidR="0068376C">
              <w:rPr>
                <w:color w:val="000000" w:themeColor="text1"/>
                <w:sz w:val="24"/>
                <w:szCs w:val="24"/>
              </w:rPr>
              <w:t xml:space="preserve">The Strategy will provide bilateral endorsement of high-level partnership objectives. </w:t>
            </w:r>
            <w:r w:rsidR="00560A87">
              <w:rPr>
                <w:color w:val="000000" w:themeColor="text1"/>
                <w:sz w:val="24"/>
                <w:szCs w:val="24"/>
              </w:rPr>
              <w:t xml:space="preserve"> </w:t>
            </w:r>
          </w:p>
        </w:tc>
      </w:tr>
      <w:tr w:rsidR="006B0CBA" w14:paraId="6CE598E0" w14:textId="77777777" w:rsidTr="00D33FE2">
        <w:tc>
          <w:tcPr>
            <w:tcW w:w="5387" w:type="dxa"/>
          </w:tcPr>
          <w:p w14:paraId="417D9B99" w14:textId="77777777" w:rsidR="006B0CBA" w:rsidRDefault="006B0CBA" w:rsidP="006B0CBA">
            <w:pPr>
              <w:rPr>
                <w:b/>
                <w:bCs/>
                <w:i/>
                <w:iCs/>
                <w:sz w:val="24"/>
                <w:szCs w:val="24"/>
              </w:rPr>
            </w:pPr>
            <w:r>
              <w:rPr>
                <w:b/>
                <w:bCs/>
                <w:i/>
                <w:iCs/>
                <w:sz w:val="24"/>
                <w:szCs w:val="24"/>
              </w:rPr>
              <w:t>Recommendation 2</w:t>
            </w:r>
          </w:p>
          <w:p w14:paraId="515DEC2D" w14:textId="0AC71C45" w:rsidR="006B0CBA" w:rsidRDefault="006B0CBA" w:rsidP="006B0CBA">
            <w:pPr>
              <w:spacing w:before="78"/>
              <w:ind w:right="125"/>
              <w:rPr>
                <w:rFonts w:asciiTheme="minorHAnsi" w:hAnsiTheme="minorHAnsi"/>
                <w:color w:val="000000" w:themeColor="text1"/>
                <w:sz w:val="24"/>
                <w:szCs w:val="24"/>
              </w:rPr>
            </w:pPr>
            <w:r>
              <w:rPr>
                <w:sz w:val="24"/>
                <w:szCs w:val="24"/>
              </w:rPr>
              <w:t xml:space="preserve">That DFAT, DITRDC and </w:t>
            </w:r>
            <w:proofErr w:type="spellStart"/>
            <w:r>
              <w:rPr>
                <w:sz w:val="24"/>
                <w:szCs w:val="24"/>
              </w:rPr>
              <w:t>GoPNG</w:t>
            </w:r>
            <w:proofErr w:type="spellEnd"/>
            <w:r>
              <w:rPr>
                <w:sz w:val="24"/>
                <w:szCs w:val="24"/>
              </w:rPr>
              <w:t xml:space="preserve"> clearly articulate, communicate, and </w:t>
            </w:r>
            <w:proofErr w:type="spellStart"/>
            <w:r>
              <w:rPr>
                <w:sz w:val="24"/>
                <w:szCs w:val="24"/>
              </w:rPr>
              <w:t>socialise</w:t>
            </w:r>
            <w:proofErr w:type="spellEnd"/>
            <w:r>
              <w:rPr>
                <w:sz w:val="24"/>
                <w:szCs w:val="24"/>
              </w:rPr>
              <w:t xml:space="preserve"> the current Partnership objectives beyond the senior levels of the </w:t>
            </w:r>
            <w:proofErr w:type="spellStart"/>
            <w:r>
              <w:rPr>
                <w:sz w:val="24"/>
                <w:szCs w:val="24"/>
              </w:rPr>
              <w:t>GoPNG</w:t>
            </w:r>
            <w:proofErr w:type="spellEnd"/>
            <w:r>
              <w:rPr>
                <w:sz w:val="24"/>
                <w:szCs w:val="24"/>
              </w:rPr>
              <w:t xml:space="preserve"> agencies. This is an opportunity to have a common shared understanding and appreciation of the partnerships across the sector, properly align initiatives, develop better and joint agreeable initiatives and position the Partnership as the foundation of Australia and </w:t>
            </w:r>
            <w:proofErr w:type="spellStart"/>
            <w:r>
              <w:rPr>
                <w:sz w:val="24"/>
                <w:szCs w:val="24"/>
              </w:rPr>
              <w:t>GoPNG</w:t>
            </w:r>
            <w:proofErr w:type="spellEnd"/>
            <w:r>
              <w:rPr>
                <w:sz w:val="24"/>
                <w:szCs w:val="24"/>
              </w:rPr>
              <w:t xml:space="preserve"> bilateral engagements within the transport sector.</w:t>
            </w:r>
          </w:p>
        </w:tc>
        <w:tc>
          <w:tcPr>
            <w:tcW w:w="1843" w:type="dxa"/>
          </w:tcPr>
          <w:p w14:paraId="1B3A5816" w14:textId="40316A9A" w:rsidR="006B0CBA" w:rsidRDefault="006B0CBA" w:rsidP="006B0CBA">
            <w:pPr>
              <w:spacing w:before="78"/>
              <w:ind w:right="125"/>
              <w:rPr>
                <w:rFonts w:asciiTheme="minorHAnsi" w:hAnsiTheme="minorHAnsi"/>
                <w:color w:val="000000" w:themeColor="text1"/>
                <w:sz w:val="24"/>
                <w:szCs w:val="24"/>
              </w:rPr>
            </w:pPr>
            <w:r>
              <w:rPr>
                <w:sz w:val="24"/>
                <w:szCs w:val="24"/>
              </w:rPr>
              <w:t xml:space="preserve">Agree. </w:t>
            </w:r>
          </w:p>
        </w:tc>
        <w:tc>
          <w:tcPr>
            <w:tcW w:w="2976" w:type="dxa"/>
          </w:tcPr>
          <w:p w14:paraId="28520063" w14:textId="356AC54D" w:rsidR="006B0CBA" w:rsidRDefault="00F77903" w:rsidP="00560A87">
            <w:pPr>
              <w:spacing w:before="78"/>
              <w:ind w:right="125"/>
              <w:rPr>
                <w:rFonts w:asciiTheme="minorHAnsi" w:hAnsiTheme="minorHAnsi"/>
                <w:color w:val="000000" w:themeColor="text1"/>
                <w:sz w:val="24"/>
                <w:szCs w:val="24"/>
              </w:rPr>
            </w:pPr>
            <w:r>
              <w:rPr>
                <w:sz w:val="24"/>
                <w:szCs w:val="24"/>
              </w:rPr>
              <w:t xml:space="preserve">We will continue </w:t>
            </w:r>
            <w:r w:rsidR="003E4933">
              <w:rPr>
                <w:sz w:val="24"/>
                <w:szCs w:val="24"/>
              </w:rPr>
              <w:t>articulating the importance of and</w:t>
            </w:r>
            <w:r>
              <w:rPr>
                <w:sz w:val="24"/>
                <w:szCs w:val="24"/>
              </w:rPr>
              <w:t xml:space="preserve"> </w:t>
            </w:r>
            <w:r w:rsidR="004715AA">
              <w:rPr>
                <w:sz w:val="24"/>
                <w:szCs w:val="24"/>
              </w:rPr>
              <w:t xml:space="preserve">benefits </w:t>
            </w:r>
            <w:r w:rsidR="003E4933">
              <w:rPr>
                <w:sz w:val="24"/>
                <w:szCs w:val="24"/>
              </w:rPr>
              <w:t>from</w:t>
            </w:r>
            <w:r w:rsidR="004715AA">
              <w:rPr>
                <w:sz w:val="24"/>
                <w:szCs w:val="24"/>
              </w:rPr>
              <w:t xml:space="preserve"> the transport partnership</w:t>
            </w:r>
            <w:r w:rsidR="00777059">
              <w:rPr>
                <w:sz w:val="24"/>
                <w:szCs w:val="24"/>
              </w:rPr>
              <w:t xml:space="preserve"> through </w:t>
            </w:r>
            <w:r w:rsidR="00560A87">
              <w:rPr>
                <w:sz w:val="24"/>
                <w:szCs w:val="24"/>
              </w:rPr>
              <w:t xml:space="preserve">appropriate coordination mechanisms and </w:t>
            </w:r>
            <w:r w:rsidR="00670996">
              <w:rPr>
                <w:sz w:val="24"/>
                <w:szCs w:val="24"/>
              </w:rPr>
              <w:t xml:space="preserve">  Agency Support Arrangements</w:t>
            </w:r>
            <w:r w:rsidR="004715AA">
              <w:rPr>
                <w:sz w:val="24"/>
                <w:szCs w:val="24"/>
              </w:rPr>
              <w:t>.</w:t>
            </w:r>
          </w:p>
        </w:tc>
      </w:tr>
      <w:tr w:rsidR="006B0CBA" w14:paraId="3310C76F" w14:textId="77777777" w:rsidTr="00D33FE2">
        <w:tc>
          <w:tcPr>
            <w:tcW w:w="5387" w:type="dxa"/>
          </w:tcPr>
          <w:p w14:paraId="13944BD3" w14:textId="77777777" w:rsidR="006B0CBA" w:rsidRDefault="006B0CBA" w:rsidP="006B0CBA">
            <w:pPr>
              <w:rPr>
                <w:b/>
                <w:bCs/>
                <w:i/>
                <w:iCs/>
                <w:sz w:val="24"/>
                <w:szCs w:val="24"/>
              </w:rPr>
            </w:pPr>
            <w:r>
              <w:rPr>
                <w:b/>
                <w:bCs/>
                <w:i/>
                <w:iCs/>
                <w:sz w:val="24"/>
                <w:szCs w:val="24"/>
              </w:rPr>
              <w:lastRenderedPageBreak/>
              <w:t>Recommendation 3</w:t>
            </w:r>
          </w:p>
          <w:p w14:paraId="467CE3E9" w14:textId="3B2D9F71" w:rsidR="006B0CBA" w:rsidRDefault="006B0CBA" w:rsidP="006B0CBA">
            <w:pPr>
              <w:spacing w:before="78"/>
              <w:ind w:right="125"/>
              <w:rPr>
                <w:rFonts w:asciiTheme="minorHAnsi" w:hAnsiTheme="minorHAnsi"/>
                <w:color w:val="000000" w:themeColor="text1"/>
                <w:sz w:val="24"/>
                <w:szCs w:val="24"/>
              </w:rPr>
            </w:pPr>
            <w:r>
              <w:rPr>
                <w:sz w:val="24"/>
                <w:szCs w:val="24"/>
              </w:rPr>
              <w:t>That DFAT simplifies and streamlines ASAs by shifting to a Tasking Note implementation arrangement upon renewal of the current ASAs. This will ensure agile and flexible implementation processes and provide room for revisions of activities as scope and context change.</w:t>
            </w:r>
          </w:p>
        </w:tc>
        <w:tc>
          <w:tcPr>
            <w:tcW w:w="1843" w:type="dxa"/>
          </w:tcPr>
          <w:p w14:paraId="404035DD" w14:textId="76FBE725" w:rsidR="006B0CBA" w:rsidRDefault="006B0CBA" w:rsidP="006B0CBA">
            <w:pPr>
              <w:spacing w:before="78"/>
              <w:ind w:right="125"/>
              <w:rPr>
                <w:rFonts w:asciiTheme="minorHAnsi" w:hAnsiTheme="minorHAnsi"/>
                <w:color w:val="000000" w:themeColor="text1"/>
                <w:sz w:val="24"/>
                <w:szCs w:val="24"/>
              </w:rPr>
            </w:pPr>
            <w:r>
              <w:rPr>
                <w:sz w:val="24"/>
                <w:szCs w:val="24"/>
              </w:rPr>
              <w:t>Agree</w:t>
            </w:r>
            <w:r w:rsidR="004715AA">
              <w:rPr>
                <w:sz w:val="24"/>
                <w:szCs w:val="24"/>
              </w:rPr>
              <w:t>.</w:t>
            </w:r>
            <w:r>
              <w:rPr>
                <w:sz w:val="24"/>
                <w:szCs w:val="24"/>
              </w:rPr>
              <w:t xml:space="preserve"> </w:t>
            </w:r>
          </w:p>
        </w:tc>
        <w:tc>
          <w:tcPr>
            <w:tcW w:w="2976" w:type="dxa"/>
          </w:tcPr>
          <w:p w14:paraId="7A5F3F6A" w14:textId="2F3352D3" w:rsidR="006B0CBA" w:rsidRDefault="003E4933" w:rsidP="006B0CBA">
            <w:pPr>
              <w:spacing w:before="78"/>
              <w:ind w:right="125"/>
              <w:rPr>
                <w:rFonts w:asciiTheme="minorHAnsi" w:hAnsiTheme="minorHAnsi"/>
                <w:color w:val="000000" w:themeColor="text1"/>
                <w:sz w:val="24"/>
                <w:szCs w:val="24"/>
              </w:rPr>
            </w:pPr>
            <w:r>
              <w:rPr>
                <w:sz w:val="24"/>
                <w:szCs w:val="24"/>
              </w:rPr>
              <w:t xml:space="preserve">AHC </w:t>
            </w:r>
            <w:r w:rsidR="00B847C1">
              <w:rPr>
                <w:sz w:val="24"/>
                <w:szCs w:val="24"/>
              </w:rPr>
              <w:t xml:space="preserve">and TSSP </w:t>
            </w:r>
            <w:r>
              <w:rPr>
                <w:sz w:val="24"/>
                <w:szCs w:val="24"/>
              </w:rPr>
              <w:t>has commenced w</w:t>
            </w:r>
            <w:r w:rsidR="004715AA">
              <w:rPr>
                <w:sz w:val="24"/>
                <w:szCs w:val="24"/>
              </w:rPr>
              <w:t>ork to streamline ASAs and reporting arrangements</w:t>
            </w:r>
            <w:r w:rsidR="00B847C1">
              <w:rPr>
                <w:sz w:val="24"/>
                <w:szCs w:val="24"/>
              </w:rPr>
              <w:t xml:space="preserve"> in consultation with </w:t>
            </w:r>
            <w:proofErr w:type="spellStart"/>
            <w:r w:rsidR="00B847C1">
              <w:rPr>
                <w:sz w:val="24"/>
                <w:szCs w:val="24"/>
              </w:rPr>
              <w:t>GoPNG</w:t>
            </w:r>
            <w:proofErr w:type="spellEnd"/>
            <w:r w:rsidR="00B847C1">
              <w:rPr>
                <w:sz w:val="24"/>
                <w:szCs w:val="24"/>
              </w:rPr>
              <w:t xml:space="preserve"> stakeholders</w:t>
            </w:r>
            <w:r w:rsidR="00FB66F6">
              <w:rPr>
                <w:sz w:val="24"/>
                <w:szCs w:val="24"/>
              </w:rPr>
              <w:t xml:space="preserve">. </w:t>
            </w:r>
          </w:p>
        </w:tc>
      </w:tr>
      <w:tr w:rsidR="00E801D5" w14:paraId="39D45BC7" w14:textId="77777777" w:rsidTr="00D33FE2">
        <w:tc>
          <w:tcPr>
            <w:tcW w:w="5387" w:type="dxa"/>
          </w:tcPr>
          <w:p w14:paraId="604A77F5" w14:textId="77777777" w:rsidR="00E801D5" w:rsidRDefault="00E801D5" w:rsidP="00E801D5">
            <w:pPr>
              <w:rPr>
                <w:b/>
                <w:bCs/>
                <w:i/>
                <w:iCs/>
                <w:sz w:val="24"/>
                <w:szCs w:val="24"/>
              </w:rPr>
            </w:pPr>
            <w:r>
              <w:rPr>
                <w:b/>
                <w:bCs/>
                <w:i/>
                <w:iCs/>
                <w:sz w:val="24"/>
                <w:szCs w:val="24"/>
              </w:rPr>
              <w:t>Recommendation 4</w:t>
            </w:r>
          </w:p>
          <w:p w14:paraId="46870CAF" w14:textId="23E8DDE7" w:rsidR="00E801D5" w:rsidRDefault="00E801D5" w:rsidP="00E801D5">
            <w:pPr>
              <w:spacing w:before="78"/>
              <w:ind w:right="125"/>
              <w:rPr>
                <w:rFonts w:asciiTheme="minorHAnsi" w:hAnsiTheme="minorHAnsi"/>
                <w:color w:val="000000" w:themeColor="text1"/>
                <w:sz w:val="24"/>
                <w:szCs w:val="24"/>
              </w:rPr>
            </w:pPr>
            <w:r>
              <w:rPr>
                <w:sz w:val="24"/>
                <w:szCs w:val="24"/>
              </w:rPr>
              <w:t xml:space="preserve">That DFAT reduces the scope for progress reporting of the ASAs from quarterly reports to bi-annual reports to lessen the reporting burden on stretched </w:t>
            </w:r>
            <w:proofErr w:type="spellStart"/>
            <w:r>
              <w:rPr>
                <w:sz w:val="24"/>
                <w:szCs w:val="24"/>
              </w:rPr>
              <w:t>GoPNG</w:t>
            </w:r>
            <w:proofErr w:type="spellEnd"/>
            <w:r>
              <w:rPr>
                <w:sz w:val="24"/>
                <w:szCs w:val="24"/>
              </w:rPr>
              <w:t xml:space="preserve"> agencies and TSSP2. The 6-monthly reports should track implementation progress. By reducing some of the reporting requirements, agencies can focus on implementing their activities to </w:t>
            </w:r>
            <w:proofErr w:type="spellStart"/>
            <w:r>
              <w:rPr>
                <w:sz w:val="24"/>
                <w:szCs w:val="24"/>
              </w:rPr>
              <w:t>minimise</w:t>
            </w:r>
            <w:proofErr w:type="spellEnd"/>
            <w:r>
              <w:rPr>
                <w:sz w:val="24"/>
                <w:szCs w:val="24"/>
              </w:rPr>
              <w:t xml:space="preserve"> underspends.</w:t>
            </w:r>
          </w:p>
        </w:tc>
        <w:tc>
          <w:tcPr>
            <w:tcW w:w="1843" w:type="dxa"/>
          </w:tcPr>
          <w:p w14:paraId="45FE5D21" w14:textId="15F112D9" w:rsidR="00E801D5" w:rsidRDefault="00E801D5" w:rsidP="00E801D5">
            <w:pPr>
              <w:spacing w:before="78"/>
              <w:ind w:right="125"/>
              <w:rPr>
                <w:rFonts w:asciiTheme="minorHAnsi" w:hAnsiTheme="minorHAnsi"/>
                <w:color w:val="000000" w:themeColor="text1"/>
                <w:sz w:val="24"/>
                <w:szCs w:val="24"/>
              </w:rPr>
            </w:pPr>
            <w:r>
              <w:rPr>
                <w:sz w:val="24"/>
                <w:szCs w:val="24"/>
              </w:rPr>
              <w:t xml:space="preserve">Agree. </w:t>
            </w:r>
          </w:p>
        </w:tc>
        <w:tc>
          <w:tcPr>
            <w:tcW w:w="2976" w:type="dxa"/>
          </w:tcPr>
          <w:p w14:paraId="4A47A6BC" w14:textId="2BA81051" w:rsidR="00E801D5" w:rsidRDefault="00E801D5" w:rsidP="00E801D5">
            <w:pPr>
              <w:spacing w:before="78"/>
              <w:ind w:right="125"/>
              <w:rPr>
                <w:rFonts w:asciiTheme="minorHAnsi" w:hAnsiTheme="minorHAnsi"/>
                <w:color w:val="000000" w:themeColor="text1"/>
                <w:sz w:val="24"/>
                <w:szCs w:val="24"/>
              </w:rPr>
            </w:pPr>
            <w:r w:rsidRPr="0008525F">
              <w:rPr>
                <w:sz w:val="24"/>
                <w:szCs w:val="24"/>
              </w:rPr>
              <w:t>AHC</w:t>
            </w:r>
            <w:r w:rsidR="00B847C1">
              <w:rPr>
                <w:sz w:val="24"/>
                <w:szCs w:val="24"/>
              </w:rPr>
              <w:t xml:space="preserve"> and TSSP</w:t>
            </w:r>
            <w:r w:rsidRPr="0008525F">
              <w:rPr>
                <w:sz w:val="24"/>
                <w:szCs w:val="24"/>
              </w:rPr>
              <w:t xml:space="preserve"> ha</w:t>
            </w:r>
            <w:r w:rsidR="00297C96">
              <w:rPr>
                <w:sz w:val="24"/>
                <w:szCs w:val="24"/>
              </w:rPr>
              <w:t>ve</w:t>
            </w:r>
            <w:r w:rsidRPr="0008525F">
              <w:rPr>
                <w:sz w:val="24"/>
                <w:szCs w:val="24"/>
              </w:rPr>
              <w:t xml:space="preserve"> commenced work to streamline ASAs and reporting arrangements</w:t>
            </w:r>
            <w:r w:rsidR="00B847C1">
              <w:rPr>
                <w:sz w:val="24"/>
                <w:szCs w:val="24"/>
              </w:rPr>
              <w:t xml:space="preserve"> in consultation with </w:t>
            </w:r>
            <w:proofErr w:type="spellStart"/>
            <w:r w:rsidR="00B847C1">
              <w:rPr>
                <w:sz w:val="24"/>
                <w:szCs w:val="24"/>
              </w:rPr>
              <w:t>GoPNG</w:t>
            </w:r>
            <w:proofErr w:type="spellEnd"/>
            <w:r w:rsidR="00B847C1">
              <w:rPr>
                <w:sz w:val="24"/>
                <w:szCs w:val="24"/>
              </w:rPr>
              <w:t xml:space="preserve"> stakeholders</w:t>
            </w:r>
            <w:r w:rsidRPr="0008525F">
              <w:rPr>
                <w:sz w:val="24"/>
                <w:szCs w:val="24"/>
              </w:rPr>
              <w:t>.</w:t>
            </w:r>
            <w:r w:rsidR="00D96E81">
              <w:rPr>
                <w:sz w:val="24"/>
                <w:szCs w:val="24"/>
              </w:rPr>
              <w:t xml:space="preserve">  This includes moving from quarterly to biannual reporting. </w:t>
            </w:r>
          </w:p>
        </w:tc>
      </w:tr>
      <w:tr w:rsidR="00E801D5" w14:paraId="12293761" w14:textId="77777777" w:rsidTr="00D33FE2">
        <w:tc>
          <w:tcPr>
            <w:tcW w:w="5387" w:type="dxa"/>
          </w:tcPr>
          <w:p w14:paraId="3795AFF9" w14:textId="77777777" w:rsidR="00E801D5" w:rsidRDefault="00E801D5" w:rsidP="00E801D5">
            <w:pPr>
              <w:rPr>
                <w:rFonts w:asciiTheme="minorHAnsi" w:hAnsiTheme="minorHAnsi" w:cstheme="minorBidi"/>
                <w:b/>
                <w:bCs/>
                <w:i/>
                <w:iCs/>
                <w:sz w:val="24"/>
                <w:szCs w:val="24"/>
              </w:rPr>
            </w:pPr>
            <w:r>
              <w:rPr>
                <w:b/>
                <w:bCs/>
                <w:i/>
                <w:iCs/>
                <w:sz w:val="24"/>
                <w:szCs w:val="24"/>
              </w:rPr>
              <w:t>Recommendation 5</w:t>
            </w:r>
          </w:p>
          <w:p w14:paraId="60DE5D02" w14:textId="048CC11F" w:rsidR="00E801D5" w:rsidRDefault="00E801D5" w:rsidP="00E801D5">
            <w:pPr>
              <w:spacing w:before="78"/>
              <w:ind w:right="125"/>
              <w:rPr>
                <w:rFonts w:asciiTheme="minorHAnsi" w:hAnsiTheme="minorHAnsi"/>
                <w:color w:val="000000" w:themeColor="text1"/>
                <w:sz w:val="24"/>
                <w:szCs w:val="24"/>
              </w:rPr>
            </w:pPr>
            <w:r>
              <w:rPr>
                <w:sz w:val="24"/>
                <w:szCs w:val="24"/>
              </w:rPr>
              <w:t xml:space="preserve">That both DFAT and </w:t>
            </w:r>
            <w:proofErr w:type="spellStart"/>
            <w:r>
              <w:rPr>
                <w:sz w:val="24"/>
                <w:szCs w:val="24"/>
              </w:rPr>
              <w:t>GoPNG</w:t>
            </w:r>
            <w:proofErr w:type="spellEnd"/>
            <w:r>
              <w:rPr>
                <w:sz w:val="24"/>
                <w:szCs w:val="24"/>
              </w:rPr>
              <w:t xml:space="preserve"> agencies strengthen outcomes and results reporting frameworks to enhance measuring progress beyond activities implemented. Results frameworks and approaches could be embedded within individual ASAs / Tasking Notes or can be part of the overarching Partnership framework that measures different partnership arrangements between Australia and </w:t>
            </w:r>
            <w:proofErr w:type="gramStart"/>
            <w:r>
              <w:rPr>
                <w:sz w:val="24"/>
                <w:szCs w:val="24"/>
              </w:rPr>
              <w:t>PNG as a whole</w:t>
            </w:r>
            <w:proofErr w:type="gramEnd"/>
            <w:r>
              <w:rPr>
                <w:sz w:val="24"/>
                <w:szCs w:val="24"/>
              </w:rPr>
              <w:t>. This is an opportunity to evidence outcomes achieved and enhance the visibility of the gains made by the Partnerships.</w:t>
            </w:r>
          </w:p>
        </w:tc>
        <w:tc>
          <w:tcPr>
            <w:tcW w:w="1843" w:type="dxa"/>
          </w:tcPr>
          <w:p w14:paraId="4DA2EF1E" w14:textId="0877B839" w:rsidR="00E801D5" w:rsidRDefault="00E801D5" w:rsidP="00E801D5">
            <w:pPr>
              <w:spacing w:before="78"/>
              <w:ind w:right="125"/>
              <w:rPr>
                <w:rFonts w:asciiTheme="minorHAnsi" w:hAnsiTheme="minorHAnsi"/>
                <w:color w:val="000000" w:themeColor="text1"/>
                <w:sz w:val="24"/>
                <w:szCs w:val="24"/>
              </w:rPr>
            </w:pPr>
            <w:r>
              <w:rPr>
                <w:sz w:val="24"/>
                <w:szCs w:val="24"/>
              </w:rPr>
              <w:t xml:space="preserve">Agree. </w:t>
            </w:r>
          </w:p>
        </w:tc>
        <w:tc>
          <w:tcPr>
            <w:tcW w:w="2976" w:type="dxa"/>
          </w:tcPr>
          <w:p w14:paraId="7EBC201F" w14:textId="6FE84965" w:rsidR="00E801D5" w:rsidRDefault="00161796" w:rsidP="00560A87">
            <w:pPr>
              <w:spacing w:before="78"/>
              <w:ind w:right="125"/>
              <w:rPr>
                <w:rFonts w:asciiTheme="minorHAnsi" w:hAnsiTheme="minorHAnsi"/>
                <w:color w:val="000000" w:themeColor="text1"/>
                <w:sz w:val="24"/>
                <w:szCs w:val="24"/>
              </w:rPr>
            </w:pPr>
            <w:r>
              <w:rPr>
                <w:rFonts w:asciiTheme="minorHAnsi" w:hAnsiTheme="minorHAnsi"/>
                <w:color w:val="000000" w:themeColor="text1"/>
                <w:sz w:val="24"/>
                <w:szCs w:val="24"/>
              </w:rPr>
              <w:t xml:space="preserve">Further to response to recommendation 1, </w:t>
            </w:r>
            <w:r w:rsidR="00560A87">
              <w:rPr>
                <w:rFonts w:asciiTheme="minorHAnsi" w:hAnsiTheme="minorHAnsi"/>
                <w:color w:val="000000" w:themeColor="text1"/>
                <w:sz w:val="24"/>
                <w:szCs w:val="24"/>
              </w:rPr>
              <w:t>the Strategy should include high level measures that provide a basis for progress reporting and evaluation.</w:t>
            </w:r>
          </w:p>
        </w:tc>
      </w:tr>
      <w:tr w:rsidR="006B0CBA" w14:paraId="60BB6501" w14:textId="77777777" w:rsidTr="00D33FE2">
        <w:tc>
          <w:tcPr>
            <w:tcW w:w="5387" w:type="dxa"/>
          </w:tcPr>
          <w:p w14:paraId="26D977B0" w14:textId="77777777" w:rsidR="006B0CBA" w:rsidRDefault="006B0CBA" w:rsidP="006B0CBA">
            <w:pPr>
              <w:rPr>
                <w:b/>
                <w:bCs/>
                <w:i/>
                <w:iCs/>
                <w:sz w:val="24"/>
                <w:szCs w:val="24"/>
              </w:rPr>
            </w:pPr>
            <w:r>
              <w:rPr>
                <w:b/>
                <w:bCs/>
                <w:i/>
                <w:iCs/>
                <w:sz w:val="24"/>
                <w:szCs w:val="24"/>
              </w:rPr>
              <w:t>Recommendation 6</w:t>
            </w:r>
          </w:p>
          <w:p w14:paraId="12A0A701" w14:textId="7FD161F7" w:rsidR="006B0CBA" w:rsidRDefault="006B0CBA" w:rsidP="006B0CBA">
            <w:pPr>
              <w:spacing w:before="78"/>
              <w:ind w:right="125"/>
              <w:rPr>
                <w:rFonts w:asciiTheme="minorHAnsi" w:hAnsiTheme="minorHAnsi"/>
                <w:color w:val="000000" w:themeColor="text1"/>
                <w:sz w:val="24"/>
                <w:szCs w:val="24"/>
              </w:rPr>
            </w:pPr>
            <w:r>
              <w:rPr>
                <w:sz w:val="24"/>
                <w:szCs w:val="24"/>
              </w:rPr>
              <w:t>For future capacity development efforts within the Partnership, the TSSP2 Capacity Development Framework provides a blueprint for engagement. An analysis of agency implementation status of the capacity development activities outlined in the Framework that needs further support is a good start on how to build and sustain capabilities within the transport sector in PNG.</w:t>
            </w:r>
          </w:p>
        </w:tc>
        <w:tc>
          <w:tcPr>
            <w:tcW w:w="1843" w:type="dxa"/>
          </w:tcPr>
          <w:p w14:paraId="38337B06" w14:textId="116D112F" w:rsidR="006B0CBA" w:rsidRDefault="006B0CBA" w:rsidP="006B0CBA">
            <w:pPr>
              <w:spacing w:before="78"/>
              <w:ind w:right="125"/>
              <w:rPr>
                <w:rFonts w:asciiTheme="minorHAnsi" w:hAnsiTheme="minorHAnsi"/>
                <w:color w:val="000000" w:themeColor="text1"/>
                <w:sz w:val="24"/>
                <w:szCs w:val="24"/>
              </w:rPr>
            </w:pPr>
            <w:r>
              <w:rPr>
                <w:sz w:val="24"/>
                <w:szCs w:val="24"/>
              </w:rPr>
              <w:t>Agree in principle</w:t>
            </w:r>
            <w:r w:rsidR="005D75D7">
              <w:rPr>
                <w:sz w:val="24"/>
                <w:szCs w:val="24"/>
              </w:rPr>
              <w:t>.</w:t>
            </w:r>
            <w:r>
              <w:rPr>
                <w:sz w:val="24"/>
                <w:szCs w:val="24"/>
              </w:rPr>
              <w:t xml:space="preserve"> </w:t>
            </w:r>
          </w:p>
        </w:tc>
        <w:tc>
          <w:tcPr>
            <w:tcW w:w="2976" w:type="dxa"/>
          </w:tcPr>
          <w:p w14:paraId="2A036EB8" w14:textId="36957ED0" w:rsidR="006B0CBA" w:rsidRDefault="00EB1D41" w:rsidP="006B0CBA">
            <w:pPr>
              <w:spacing w:before="78"/>
              <w:ind w:right="125"/>
              <w:rPr>
                <w:rFonts w:asciiTheme="minorHAnsi" w:hAnsiTheme="minorHAnsi"/>
                <w:color w:val="000000" w:themeColor="text1"/>
                <w:sz w:val="24"/>
                <w:szCs w:val="24"/>
              </w:rPr>
            </w:pPr>
            <w:r>
              <w:rPr>
                <w:sz w:val="24"/>
                <w:szCs w:val="24"/>
              </w:rPr>
              <w:t xml:space="preserve">DFAT and DITRDC to </w:t>
            </w:r>
            <w:proofErr w:type="spellStart"/>
            <w:r>
              <w:rPr>
                <w:sz w:val="24"/>
                <w:szCs w:val="24"/>
              </w:rPr>
              <w:t>finalise</w:t>
            </w:r>
            <w:proofErr w:type="spellEnd"/>
            <w:r>
              <w:rPr>
                <w:sz w:val="24"/>
                <w:szCs w:val="24"/>
              </w:rPr>
              <w:t xml:space="preserve"> the elements or refinements of the </w:t>
            </w:r>
            <w:r w:rsidR="00072DBF">
              <w:rPr>
                <w:sz w:val="24"/>
                <w:szCs w:val="24"/>
              </w:rPr>
              <w:t xml:space="preserve">Capacity Development Framework </w:t>
            </w:r>
            <w:r>
              <w:rPr>
                <w:sz w:val="24"/>
                <w:szCs w:val="24"/>
              </w:rPr>
              <w:t xml:space="preserve">that are suited to being </w:t>
            </w:r>
            <w:r w:rsidR="00072DBF">
              <w:rPr>
                <w:sz w:val="24"/>
                <w:szCs w:val="24"/>
              </w:rPr>
              <w:t xml:space="preserve">within ASAs </w:t>
            </w:r>
            <w:r w:rsidR="006A292D">
              <w:rPr>
                <w:sz w:val="24"/>
                <w:szCs w:val="24"/>
              </w:rPr>
              <w:t xml:space="preserve">with </w:t>
            </w:r>
            <w:r>
              <w:rPr>
                <w:sz w:val="24"/>
                <w:szCs w:val="24"/>
              </w:rPr>
              <w:t xml:space="preserve">Australian and </w:t>
            </w:r>
            <w:proofErr w:type="spellStart"/>
            <w:r w:rsidR="006A292D">
              <w:rPr>
                <w:sz w:val="24"/>
                <w:szCs w:val="24"/>
              </w:rPr>
              <w:t>GoPNG</w:t>
            </w:r>
            <w:proofErr w:type="spellEnd"/>
            <w:r w:rsidR="006A292D">
              <w:rPr>
                <w:sz w:val="24"/>
                <w:szCs w:val="24"/>
              </w:rPr>
              <w:t xml:space="preserve"> transport agencies.  </w:t>
            </w:r>
          </w:p>
        </w:tc>
      </w:tr>
      <w:tr w:rsidR="006B0CBA" w14:paraId="7B3BBB6E" w14:textId="77777777" w:rsidTr="00D33FE2">
        <w:tc>
          <w:tcPr>
            <w:tcW w:w="5387" w:type="dxa"/>
          </w:tcPr>
          <w:p w14:paraId="1EA8486E" w14:textId="77777777" w:rsidR="006B0CBA" w:rsidRDefault="006B0CBA" w:rsidP="006B0CBA">
            <w:pPr>
              <w:rPr>
                <w:b/>
                <w:bCs/>
                <w:i/>
                <w:iCs/>
                <w:sz w:val="24"/>
                <w:szCs w:val="24"/>
              </w:rPr>
            </w:pPr>
            <w:r>
              <w:rPr>
                <w:b/>
                <w:bCs/>
                <w:i/>
                <w:iCs/>
                <w:sz w:val="24"/>
                <w:szCs w:val="24"/>
              </w:rPr>
              <w:t>Recommendation 7</w:t>
            </w:r>
          </w:p>
          <w:p w14:paraId="38EF55A4" w14:textId="25DE3837" w:rsidR="006B0CBA" w:rsidRDefault="006B0CBA" w:rsidP="006B0CBA">
            <w:pPr>
              <w:rPr>
                <w:sz w:val="24"/>
                <w:szCs w:val="24"/>
              </w:rPr>
            </w:pPr>
            <w:r>
              <w:rPr>
                <w:sz w:val="24"/>
                <w:szCs w:val="24"/>
              </w:rPr>
              <w:t xml:space="preserve">The recommendation from the 2020 Review of the IPP to transfer the DITRDC Infrastructure advisors from the IPP to bilateral sector program, TSSP, by </w:t>
            </w:r>
          </w:p>
          <w:p w14:paraId="448276F2" w14:textId="50B53876" w:rsidR="006B0CBA" w:rsidRDefault="006B0CBA" w:rsidP="006B0CBA">
            <w:pPr>
              <w:spacing w:before="78"/>
              <w:ind w:right="125"/>
              <w:rPr>
                <w:rFonts w:asciiTheme="minorHAnsi" w:hAnsiTheme="minorHAnsi"/>
                <w:color w:val="000000" w:themeColor="text1"/>
                <w:sz w:val="24"/>
                <w:szCs w:val="24"/>
              </w:rPr>
            </w:pPr>
            <w:r>
              <w:rPr>
                <w:sz w:val="24"/>
                <w:szCs w:val="24"/>
              </w:rPr>
              <w:t xml:space="preserve">mid-2022 is welcome, noting there will need to be </w:t>
            </w:r>
            <w:r>
              <w:rPr>
                <w:sz w:val="24"/>
                <w:szCs w:val="24"/>
              </w:rPr>
              <w:lastRenderedPageBreak/>
              <w:t>clear funding and reporting lines. It is envisaged that the advisor will report to both DFAT and DITRDC. DFAT and DITRDC should therefore collaborate on defining and shaping the function and scope of the role (in consultation with DoT and TSSP2) to enhance clarity of mandates and improved and informed collaboration. Overall, the advisor should retain their DITRDC scope of work but collaborate with DFAT under TSSP, and support program implementation of TSSP2 through closer working relationships with the managing contractor.</w:t>
            </w:r>
          </w:p>
        </w:tc>
        <w:tc>
          <w:tcPr>
            <w:tcW w:w="1843" w:type="dxa"/>
          </w:tcPr>
          <w:p w14:paraId="0E20F77A" w14:textId="76D6A185" w:rsidR="006B0CBA" w:rsidRDefault="006B0CBA" w:rsidP="006B0CBA">
            <w:pPr>
              <w:rPr>
                <w:sz w:val="24"/>
                <w:szCs w:val="24"/>
              </w:rPr>
            </w:pPr>
            <w:r>
              <w:rPr>
                <w:sz w:val="24"/>
                <w:szCs w:val="24"/>
              </w:rPr>
              <w:lastRenderedPageBreak/>
              <w:t>Agree</w:t>
            </w:r>
            <w:r w:rsidR="006A292D">
              <w:rPr>
                <w:sz w:val="24"/>
                <w:szCs w:val="24"/>
              </w:rPr>
              <w:t>.</w:t>
            </w:r>
          </w:p>
          <w:p w14:paraId="21C2AFC1" w14:textId="77777777" w:rsidR="006B0CBA" w:rsidRDefault="006B0CBA" w:rsidP="006B0CBA">
            <w:pPr>
              <w:rPr>
                <w:b/>
                <w:bCs/>
                <w:i/>
                <w:iCs/>
                <w:sz w:val="24"/>
                <w:szCs w:val="24"/>
              </w:rPr>
            </w:pPr>
          </w:p>
          <w:p w14:paraId="5C19EEB7" w14:textId="77777777" w:rsidR="006B0CBA" w:rsidRDefault="006B0CBA" w:rsidP="006B0CBA">
            <w:pPr>
              <w:spacing w:before="78"/>
              <w:ind w:right="125"/>
              <w:rPr>
                <w:rFonts w:asciiTheme="minorHAnsi" w:hAnsiTheme="minorHAnsi"/>
                <w:color w:val="000000" w:themeColor="text1"/>
                <w:sz w:val="24"/>
                <w:szCs w:val="24"/>
              </w:rPr>
            </w:pPr>
          </w:p>
        </w:tc>
        <w:tc>
          <w:tcPr>
            <w:tcW w:w="2976" w:type="dxa"/>
          </w:tcPr>
          <w:p w14:paraId="69E7C349" w14:textId="4535C5BA" w:rsidR="006B0CBA" w:rsidRDefault="00012746" w:rsidP="000B388E">
            <w:pPr>
              <w:spacing w:before="78"/>
              <w:ind w:right="125"/>
              <w:rPr>
                <w:rFonts w:asciiTheme="minorHAnsi" w:hAnsiTheme="minorHAnsi"/>
                <w:color w:val="000000" w:themeColor="text1"/>
                <w:sz w:val="24"/>
                <w:szCs w:val="24"/>
              </w:rPr>
            </w:pPr>
            <w:r>
              <w:rPr>
                <w:sz w:val="24"/>
                <w:szCs w:val="24"/>
              </w:rPr>
              <w:t xml:space="preserve">DFAT and DITRDC to </w:t>
            </w:r>
            <w:proofErr w:type="spellStart"/>
            <w:r w:rsidR="00D1130E">
              <w:rPr>
                <w:sz w:val="24"/>
                <w:szCs w:val="24"/>
              </w:rPr>
              <w:t>finalise</w:t>
            </w:r>
            <w:proofErr w:type="spellEnd"/>
            <w:r w:rsidR="00D1130E">
              <w:rPr>
                <w:sz w:val="24"/>
                <w:szCs w:val="24"/>
              </w:rPr>
              <w:t xml:space="preserve"> </w:t>
            </w:r>
            <w:r w:rsidR="00EB1D41">
              <w:rPr>
                <w:sz w:val="24"/>
                <w:szCs w:val="24"/>
              </w:rPr>
              <w:t>the functions, work with other PNG a</w:t>
            </w:r>
            <w:r w:rsidR="000B388E">
              <w:rPr>
                <w:sz w:val="24"/>
                <w:szCs w:val="24"/>
              </w:rPr>
              <w:t xml:space="preserve">nd Australian transport agencies and DFAT, </w:t>
            </w:r>
            <w:r w:rsidR="00EB1D41">
              <w:rPr>
                <w:sz w:val="24"/>
                <w:szCs w:val="24"/>
              </w:rPr>
              <w:lastRenderedPageBreak/>
              <w:t xml:space="preserve">location and reporting arrangements of the DITRDC adviser role. </w:t>
            </w:r>
            <w:r w:rsidR="00BA2EF8">
              <w:rPr>
                <w:sz w:val="24"/>
                <w:szCs w:val="24"/>
              </w:rPr>
              <w:t>This can also be considered as part of the TSSP3 design.</w:t>
            </w:r>
            <w:r w:rsidR="0068376C">
              <w:rPr>
                <w:sz w:val="24"/>
                <w:szCs w:val="24"/>
              </w:rPr>
              <w:t xml:space="preserve"> </w:t>
            </w:r>
          </w:p>
        </w:tc>
      </w:tr>
      <w:tr w:rsidR="006A292D" w14:paraId="68D4354D" w14:textId="77777777" w:rsidTr="00D33FE2">
        <w:tc>
          <w:tcPr>
            <w:tcW w:w="5387" w:type="dxa"/>
          </w:tcPr>
          <w:p w14:paraId="5343F66F" w14:textId="77777777" w:rsidR="006A292D" w:rsidRDefault="006A292D" w:rsidP="006A292D">
            <w:pPr>
              <w:rPr>
                <w:b/>
                <w:bCs/>
                <w:i/>
                <w:iCs/>
                <w:sz w:val="24"/>
                <w:szCs w:val="24"/>
              </w:rPr>
            </w:pPr>
            <w:r>
              <w:rPr>
                <w:b/>
                <w:bCs/>
                <w:i/>
                <w:iCs/>
                <w:sz w:val="24"/>
                <w:szCs w:val="24"/>
              </w:rPr>
              <w:lastRenderedPageBreak/>
              <w:t>Recommendation 8</w:t>
            </w:r>
          </w:p>
          <w:p w14:paraId="70E68F8C" w14:textId="7151EBEB" w:rsidR="006A292D" w:rsidRDefault="006A292D" w:rsidP="006A292D">
            <w:pPr>
              <w:spacing w:before="78"/>
              <w:ind w:right="125"/>
              <w:rPr>
                <w:rFonts w:asciiTheme="minorHAnsi" w:hAnsiTheme="minorHAnsi"/>
                <w:color w:val="000000" w:themeColor="text1"/>
                <w:sz w:val="24"/>
                <w:szCs w:val="24"/>
              </w:rPr>
            </w:pPr>
            <w:r>
              <w:rPr>
                <w:sz w:val="24"/>
                <w:szCs w:val="24"/>
              </w:rPr>
              <w:t xml:space="preserve">That DFAT and DITRDC in defining and shaping the scope and mandate of the IPP technical advisors moving to the bilateral sector program, TSSP, should explore other roles that the advisor could undertake beyond infrastructure policy advice in PNG. For instance, the advisor could also act as an intermediary between Australian and the </w:t>
            </w:r>
            <w:proofErr w:type="spellStart"/>
            <w:r>
              <w:rPr>
                <w:sz w:val="24"/>
                <w:szCs w:val="24"/>
              </w:rPr>
              <w:t>GoPNG</w:t>
            </w:r>
            <w:proofErr w:type="spellEnd"/>
            <w:r>
              <w:rPr>
                <w:sz w:val="24"/>
                <w:szCs w:val="24"/>
              </w:rPr>
              <w:t xml:space="preserve"> transport agencies and provide coordination support for the Partnership. Also, the advisor could support DFAT with developing the Australia-PNG transport sector strategy and provide technical assistance to DoT in relation to its regional aspirations on enhancing transport coordination, collaboration and knowledge sharing in the Pacific.</w:t>
            </w:r>
          </w:p>
        </w:tc>
        <w:tc>
          <w:tcPr>
            <w:tcW w:w="1843" w:type="dxa"/>
          </w:tcPr>
          <w:p w14:paraId="4B15104F" w14:textId="4163E0E6" w:rsidR="006A292D" w:rsidRDefault="006A292D" w:rsidP="006A292D">
            <w:pPr>
              <w:rPr>
                <w:sz w:val="24"/>
                <w:szCs w:val="24"/>
              </w:rPr>
            </w:pPr>
            <w:r>
              <w:rPr>
                <w:sz w:val="24"/>
                <w:szCs w:val="24"/>
              </w:rPr>
              <w:t>Agree</w:t>
            </w:r>
            <w:r w:rsidR="001379B4">
              <w:rPr>
                <w:sz w:val="24"/>
                <w:szCs w:val="24"/>
              </w:rPr>
              <w:t xml:space="preserve"> with </w:t>
            </w:r>
            <w:r w:rsidR="005D75D7">
              <w:rPr>
                <w:sz w:val="24"/>
                <w:szCs w:val="24"/>
              </w:rPr>
              <w:t>qualifications</w:t>
            </w:r>
            <w:r>
              <w:rPr>
                <w:sz w:val="24"/>
                <w:szCs w:val="24"/>
              </w:rPr>
              <w:t>.</w:t>
            </w:r>
          </w:p>
          <w:p w14:paraId="021F7202" w14:textId="77777777" w:rsidR="006A292D" w:rsidRDefault="006A292D" w:rsidP="006A292D">
            <w:pPr>
              <w:rPr>
                <w:b/>
                <w:bCs/>
                <w:i/>
                <w:iCs/>
                <w:sz w:val="24"/>
                <w:szCs w:val="24"/>
              </w:rPr>
            </w:pPr>
          </w:p>
          <w:p w14:paraId="581DE478" w14:textId="77777777" w:rsidR="006A292D" w:rsidRDefault="006A292D" w:rsidP="006A292D">
            <w:pPr>
              <w:spacing w:before="78"/>
              <w:ind w:right="125"/>
              <w:rPr>
                <w:rFonts w:asciiTheme="minorHAnsi" w:hAnsiTheme="minorHAnsi"/>
                <w:color w:val="000000" w:themeColor="text1"/>
                <w:sz w:val="24"/>
                <w:szCs w:val="24"/>
              </w:rPr>
            </w:pPr>
          </w:p>
        </w:tc>
        <w:tc>
          <w:tcPr>
            <w:tcW w:w="2976" w:type="dxa"/>
          </w:tcPr>
          <w:p w14:paraId="0DD2BE1E" w14:textId="47EE4724" w:rsidR="000B388E" w:rsidRDefault="000B388E" w:rsidP="006A292D">
            <w:pPr>
              <w:spacing w:before="78"/>
              <w:ind w:right="125"/>
              <w:rPr>
                <w:rFonts w:asciiTheme="minorHAnsi" w:hAnsiTheme="minorHAnsi"/>
                <w:color w:val="000000" w:themeColor="text1"/>
                <w:sz w:val="24"/>
                <w:szCs w:val="24"/>
              </w:rPr>
            </w:pPr>
            <w:r>
              <w:rPr>
                <w:sz w:val="24"/>
                <w:szCs w:val="24"/>
              </w:rPr>
              <w:t>As for Recommendation 7.</w:t>
            </w:r>
          </w:p>
        </w:tc>
      </w:tr>
      <w:tr w:rsidR="006B0CBA" w14:paraId="1EAD3EF3" w14:textId="77777777" w:rsidTr="00D33FE2">
        <w:tc>
          <w:tcPr>
            <w:tcW w:w="5387" w:type="dxa"/>
          </w:tcPr>
          <w:p w14:paraId="6ED49047" w14:textId="77777777" w:rsidR="006B0CBA" w:rsidRDefault="006B0CBA" w:rsidP="006B0CBA">
            <w:pPr>
              <w:rPr>
                <w:b/>
                <w:bCs/>
                <w:i/>
                <w:iCs/>
                <w:sz w:val="24"/>
                <w:szCs w:val="24"/>
              </w:rPr>
            </w:pPr>
            <w:r>
              <w:rPr>
                <w:b/>
                <w:bCs/>
                <w:i/>
                <w:iCs/>
                <w:sz w:val="24"/>
                <w:szCs w:val="24"/>
              </w:rPr>
              <w:t>Recommendation 9</w:t>
            </w:r>
          </w:p>
          <w:p w14:paraId="3D9A6D20" w14:textId="6BAFE203" w:rsidR="006B0CBA" w:rsidRDefault="006B0CBA" w:rsidP="006B0CBA">
            <w:pPr>
              <w:spacing w:before="78"/>
              <w:ind w:right="125"/>
              <w:rPr>
                <w:rFonts w:asciiTheme="minorHAnsi" w:hAnsiTheme="minorHAnsi"/>
                <w:color w:val="000000" w:themeColor="text1"/>
                <w:sz w:val="24"/>
                <w:szCs w:val="24"/>
              </w:rPr>
            </w:pPr>
            <w:r>
              <w:rPr>
                <w:sz w:val="24"/>
                <w:szCs w:val="24"/>
              </w:rPr>
              <w:t xml:space="preserve">As COVID-19 travel restrictions ease, DFAT, DITRDC, TSSP2 and other Australian counterpart agencies should </w:t>
            </w:r>
            <w:proofErr w:type="spellStart"/>
            <w:r>
              <w:rPr>
                <w:sz w:val="24"/>
                <w:szCs w:val="24"/>
              </w:rPr>
              <w:t>prioritise</w:t>
            </w:r>
            <w:proofErr w:type="spellEnd"/>
            <w:r>
              <w:rPr>
                <w:sz w:val="24"/>
                <w:szCs w:val="24"/>
              </w:rPr>
              <w:t xml:space="preserve"> having advisors on the ground to support </w:t>
            </w:r>
            <w:proofErr w:type="spellStart"/>
            <w:r>
              <w:rPr>
                <w:sz w:val="24"/>
                <w:szCs w:val="24"/>
              </w:rPr>
              <w:t>GoPNG</w:t>
            </w:r>
            <w:proofErr w:type="spellEnd"/>
            <w:r>
              <w:rPr>
                <w:sz w:val="24"/>
                <w:szCs w:val="24"/>
              </w:rPr>
              <w:t xml:space="preserve"> agencies in-country to ensure effective partnerships and progress in line with agreed outcomes and objectives. Further, the short-term work exchanges and placements where </w:t>
            </w:r>
            <w:proofErr w:type="spellStart"/>
            <w:r>
              <w:rPr>
                <w:sz w:val="24"/>
                <w:szCs w:val="24"/>
              </w:rPr>
              <w:t>GoPNG</w:t>
            </w:r>
            <w:proofErr w:type="spellEnd"/>
            <w:r>
              <w:rPr>
                <w:sz w:val="24"/>
                <w:szCs w:val="24"/>
              </w:rPr>
              <w:t xml:space="preserve"> agencies visit and work on a short-term basis with their counterpart agencies in Australia should also be </w:t>
            </w:r>
            <w:proofErr w:type="spellStart"/>
            <w:r>
              <w:rPr>
                <w:sz w:val="24"/>
                <w:szCs w:val="24"/>
              </w:rPr>
              <w:t>prioritised</w:t>
            </w:r>
            <w:proofErr w:type="spellEnd"/>
            <w:r>
              <w:rPr>
                <w:sz w:val="24"/>
                <w:szCs w:val="24"/>
              </w:rPr>
              <w:t>.</w:t>
            </w:r>
          </w:p>
        </w:tc>
        <w:tc>
          <w:tcPr>
            <w:tcW w:w="1843" w:type="dxa"/>
          </w:tcPr>
          <w:p w14:paraId="68593D57" w14:textId="2DDBD705" w:rsidR="006B0CBA" w:rsidRDefault="006B0CBA" w:rsidP="006B0CBA">
            <w:pPr>
              <w:spacing w:before="78"/>
              <w:ind w:right="125"/>
              <w:rPr>
                <w:rFonts w:asciiTheme="minorHAnsi" w:hAnsiTheme="minorHAnsi"/>
                <w:color w:val="000000" w:themeColor="text1"/>
                <w:sz w:val="24"/>
                <w:szCs w:val="24"/>
              </w:rPr>
            </w:pPr>
            <w:r>
              <w:rPr>
                <w:sz w:val="24"/>
                <w:szCs w:val="24"/>
              </w:rPr>
              <w:t>Agree.</w:t>
            </w:r>
          </w:p>
        </w:tc>
        <w:tc>
          <w:tcPr>
            <w:tcW w:w="2976" w:type="dxa"/>
          </w:tcPr>
          <w:p w14:paraId="42930ED8" w14:textId="60B1502A" w:rsidR="006B0CBA" w:rsidRDefault="009E4C34" w:rsidP="0068376C">
            <w:pPr>
              <w:spacing w:before="78"/>
              <w:ind w:right="125"/>
              <w:rPr>
                <w:rFonts w:asciiTheme="minorHAnsi" w:hAnsiTheme="minorHAnsi"/>
                <w:color w:val="000000" w:themeColor="text1"/>
                <w:sz w:val="24"/>
                <w:szCs w:val="24"/>
              </w:rPr>
            </w:pPr>
            <w:r>
              <w:rPr>
                <w:rFonts w:asciiTheme="minorHAnsi" w:hAnsiTheme="minorHAnsi"/>
                <w:color w:val="000000" w:themeColor="text1"/>
                <w:sz w:val="24"/>
                <w:szCs w:val="24"/>
              </w:rPr>
              <w:t xml:space="preserve">Recruitment and </w:t>
            </w:r>
            <w:proofErr w:type="spellStart"/>
            <w:r w:rsidR="00536853">
              <w:rPr>
                <w:rFonts w:asciiTheme="minorHAnsi" w:hAnsiTheme="minorHAnsi"/>
                <w:color w:val="000000" w:themeColor="text1"/>
                <w:sz w:val="24"/>
                <w:szCs w:val="24"/>
              </w:rPr>
              <w:t>mobilisation</w:t>
            </w:r>
            <w:proofErr w:type="spellEnd"/>
            <w:r w:rsidR="00536853">
              <w:rPr>
                <w:rFonts w:asciiTheme="minorHAnsi" w:hAnsiTheme="minorHAnsi"/>
                <w:color w:val="000000" w:themeColor="text1"/>
                <w:sz w:val="24"/>
                <w:szCs w:val="24"/>
              </w:rPr>
              <w:t xml:space="preserve"> </w:t>
            </w:r>
            <w:r w:rsidR="009E5919">
              <w:rPr>
                <w:rFonts w:asciiTheme="minorHAnsi" w:hAnsiTheme="minorHAnsi"/>
                <w:color w:val="000000" w:themeColor="text1"/>
                <w:sz w:val="24"/>
                <w:szCs w:val="24"/>
              </w:rPr>
              <w:t>of TSSP2 advisers</w:t>
            </w:r>
            <w:r>
              <w:rPr>
                <w:rFonts w:asciiTheme="minorHAnsi" w:hAnsiTheme="minorHAnsi"/>
                <w:color w:val="000000" w:themeColor="text1"/>
                <w:sz w:val="24"/>
                <w:szCs w:val="24"/>
              </w:rPr>
              <w:t xml:space="preserve"> is being </w:t>
            </w:r>
            <w:proofErr w:type="spellStart"/>
            <w:r>
              <w:rPr>
                <w:rFonts w:asciiTheme="minorHAnsi" w:hAnsiTheme="minorHAnsi"/>
                <w:color w:val="000000" w:themeColor="text1"/>
                <w:sz w:val="24"/>
                <w:szCs w:val="24"/>
              </w:rPr>
              <w:t>prioritised</w:t>
            </w:r>
            <w:proofErr w:type="spellEnd"/>
            <w:r>
              <w:rPr>
                <w:rFonts w:asciiTheme="minorHAnsi" w:hAnsiTheme="minorHAnsi"/>
                <w:color w:val="000000" w:themeColor="text1"/>
                <w:sz w:val="24"/>
                <w:szCs w:val="24"/>
              </w:rPr>
              <w:t xml:space="preserve"> by GHD</w:t>
            </w:r>
            <w:r w:rsidR="009E5919">
              <w:rPr>
                <w:rFonts w:asciiTheme="minorHAnsi" w:hAnsiTheme="minorHAnsi"/>
                <w:color w:val="000000" w:themeColor="text1"/>
                <w:sz w:val="24"/>
                <w:szCs w:val="24"/>
              </w:rPr>
              <w:t xml:space="preserve">, who have reported </w:t>
            </w:r>
            <w:r>
              <w:rPr>
                <w:rFonts w:asciiTheme="minorHAnsi" w:hAnsiTheme="minorHAnsi"/>
                <w:color w:val="000000" w:themeColor="text1"/>
                <w:sz w:val="24"/>
                <w:szCs w:val="24"/>
              </w:rPr>
              <w:t xml:space="preserve">steadily increasing interest and applications in PNG based roles. </w:t>
            </w:r>
            <w:r w:rsidR="009E5919">
              <w:rPr>
                <w:rFonts w:asciiTheme="minorHAnsi" w:hAnsiTheme="minorHAnsi"/>
                <w:color w:val="000000" w:themeColor="text1"/>
                <w:sz w:val="24"/>
                <w:szCs w:val="24"/>
              </w:rPr>
              <w:t xml:space="preserve">AHC </w:t>
            </w:r>
            <w:r w:rsidR="00E653EC">
              <w:rPr>
                <w:rFonts w:asciiTheme="minorHAnsi" w:hAnsiTheme="minorHAnsi"/>
                <w:color w:val="000000" w:themeColor="text1"/>
                <w:sz w:val="24"/>
                <w:szCs w:val="24"/>
              </w:rPr>
              <w:t>notes interest from some Australian transport agencies in resuming travel</w:t>
            </w:r>
            <w:r w:rsidR="00A551B5">
              <w:rPr>
                <w:rFonts w:asciiTheme="minorHAnsi" w:hAnsiTheme="minorHAnsi"/>
                <w:color w:val="000000" w:themeColor="text1"/>
                <w:sz w:val="24"/>
                <w:szCs w:val="24"/>
              </w:rPr>
              <w:t xml:space="preserve"> to PNG, </w:t>
            </w:r>
            <w:proofErr w:type="gramStart"/>
            <w:r w:rsidR="00A551B5">
              <w:rPr>
                <w:rFonts w:asciiTheme="minorHAnsi" w:hAnsiTheme="minorHAnsi"/>
                <w:color w:val="000000" w:themeColor="text1"/>
                <w:sz w:val="24"/>
                <w:szCs w:val="24"/>
              </w:rPr>
              <w:t>in light of</w:t>
            </w:r>
            <w:proofErr w:type="gramEnd"/>
            <w:r w:rsidR="00A551B5">
              <w:rPr>
                <w:rFonts w:asciiTheme="minorHAnsi" w:hAnsiTheme="minorHAnsi"/>
                <w:color w:val="000000" w:themeColor="text1"/>
                <w:sz w:val="24"/>
                <w:szCs w:val="24"/>
              </w:rPr>
              <w:t xml:space="preserve"> easing COVID restrictions.</w:t>
            </w:r>
            <w:r w:rsidR="00E653EC">
              <w:rPr>
                <w:rFonts w:asciiTheme="minorHAnsi" w:hAnsiTheme="minorHAnsi"/>
                <w:color w:val="000000" w:themeColor="text1"/>
                <w:sz w:val="24"/>
                <w:szCs w:val="24"/>
              </w:rPr>
              <w:t xml:space="preserve"> </w:t>
            </w:r>
            <w:r w:rsidR="000B388E">
              <w:rPr>
                <w:rFonts w:asciiTheme="minorHAnsi" w:hAnsiTheme="minorHAnsi"/>
                <w:color w:val="000000" w:themeColor="text1"/>
                <w:sz w:val="24"/>
                <w:szCs w:val="24"/>
              </w:rPr>
              <w:t xml:space="preserve"> </w:t>
            </w:r>
          </w:p>
        </w:tc>
      </w:tr>
      <w:tr w:rsidR="006B0CBA" w14:paraId="7C7F78E2" w14:textId="77777777" w:rsidTr="00D33FE2">
        <w:tc>
          <w:tcPr>
            <w:tcW w:w="5387" w:type="dxa"/>
          </w:tcPr>
          <w:p w14:paraId="557E6E6C" w14:textId="77777777" w:rsidR="006B0CBA" w:rsidRDefault="006B0CBA" w:rsidP="006B0CBA">
            <w:pPr>
              <w:rPr>
                <w:b/>
                <w:bCs/>
                <w:i/>
                <w:iCs/>
                <w:sz w:val="24"/>
                <w:szCs w:val="24"/>
              </w:rPr>
            </w:pPr>
            <w:r>
              <w:rPr>
                <w:b/>
                <w:bCs/>
                <w:i/>
                <w:iCs/>
                <w:sz w:val="24"/>
                <w:szCs w:val="24"/>
              </w:rPr>
              <w:t>Recommendation 10</w:t>
            </w:r>
          </w:p>
          <w:p w14:paraId="1A654119" w14:textId="6E5EFD46" w:rsidR="006B0CBA" w:rsidRDefault="006B0CBA" w:rsidP="006B0CBA">
            <w:pPr>
              <w:spacing w:before="78"/>
              <w:ind w:right="125"/>
              <w:rPr>
                <w:rFonts w:asciiTheme="minorHAnsi" w:hAnsiTheme="minorHAnsi"/>
                <w:color w:val="000000" w:themeColor="text1"/>
                <w:sz w:val="24"/>
                <w:szCs w:val="24"/>
              </w:rPr>
            </w:pPr>
            <w:r>
              <w:rPr>
                <w:sz w:val="24"/>
                <w:szCs w:val="24"/>
              </w:rPr>
              <w:t xml:space="preserve">That DFAT, DITRDC and </w:t>
            </w:r>
            <w:proofErr w:type="spellStart"/>
            <w:r>
              <w:rPr>
                <w:sz w:val="24"/>
                <w:szCs w:val="24"/>
              </w:rPr>
              <w:t>GoPNG</w:t>
            </w:r>
            <w:proofErr w:type="spellEnd"/>
            <w:r>
              <w:rPr>
                <w:sz w:val="24"/>
                <w:szCs w:val="24"/>
              </w:rPr>
              <w:t xml:space="preserve"> counterpart agencies further embed structures and </w:t>
            </w:r>
            <w:r>
              <w:rPr>
                <w:sz w:val="24"/>
                <w:szCs w:val="24"/>
              </w:rPr>
              <w:lastRenderedPageBreak/>
              <w:t>mechanisms that facilitate good whole of agency relationships building and management. This could be enhanced through senior leadership commitment as well as clear articulation of the roles and responsibilities within the partnerships and a common vision of how the partnerships should work in practice.</w:t>
            </w:r>
          </w:p>
        </w:tc>
        <w:tc>
          <w:tcPr>
            <w:tcW w:w="1843" w:type="dxa"/>
          </w:tcPr>
          <w:p w14:paraId="397F127B" w14:textId="7A6DB758" w:rsidR="006B0CBA" w:rsidRDefault="006B0CBA" w:rsidP="006B0CBA">
            <w:pPr>
              <w:spacing w:before="78"/>
              <w:ind w:right="125"/>
              <w:rPr>
                <w:rFonts w:asciiTheme="minorHAnsi" w:hAnsiTheme="minorHAnsi"/>
                <w:color w:val="000000" w:themeColor="text1"/>
                <w:sz w:val="24"/>
                <w:szCs w:val="24"/>
              </w:rPr>
            </w:pPr>
            <w:r>
              <w:rPr>
                <w:sz w:val="24"/>
                <w:szCs w:val="24"/>
              </w:rPr>
              <w:lastRenderedPageBreak/>
              <w:t xml:space="preserve">Agree. </w:t>
            </w:r>
          </w:p>
        </w:tc>
        <w:tc>
          <w:tcPr>
            <w:tcW w:w="2976" w:type="dxa"/>
          </w:tcPr>
          <w:p w14:paraId="775A1EB2" w14:textId="77777777" w:rsidR="006B0CBA" w:rsidRDefault="00440122" w:rsidP="006B0CBA">
            <w:pPr>
              <w:spacing w:before="78"/>
              <w:ind w:right="125"/>
              <w:rPr>
                <w:sz w:val="24"/>
                <w:szCs w:val="24"/>
              </w:rPr>
            </w:pPr>
            <w:r>
              <w:rPr>
                <w:sz w:val="24"/>
                <w:szCs w:val="24"/>
              </w:rPr>
              <w:t xml:space="preserve">DFAT will discuss further with DITRDC and </w:t>
            </w:r>
            <w:proofErr w:type="spellStart"/>
            <w:r>
              <w:rPr>
                <w:sz w:val="24"/>
                <w:szCs w:val="24"/>
              </w:rPr>
              <w:t>GoPNG</w:t>
            </w:r>
            <w:proofErr w:type="spellEnd"/>
            <w:r>
              <w:rPr>
                <w:sz w:val="24"/>
                <w:szCs w:val="24"/>
              </w:rPr>
              <w:t xml:space="preserve"> counterparts.</w:t>
            </w:r>
          </w:p>
          <w:p w14:paraId="5AF4CD93" w14:textId="7380C7F0" w:rsidR="009E4C34" w:rsidRDefault="009E4C34" w:rsidP="006B0CBA">
            <w:pPr>
              <w:spacing w:before="78"/>
              <w:ind w:right="125"/>
              <w:rPr>
                <w:rFonts w:asciiTheme="minorHAnsi" w:hAnsiTheme="minorHAnsi"/>
                <w:color w:val="000000" w:themeColor="text1"/>
                <w:sz w:val="24"/>
                <w:szCs w:val="24"/>
              </w:rPr>
            </w:pPr>
            <w:r>
              <w:rPr>
                <w:color w:val="000000" w:themeColor="text1"/>
                <w:sz w:val="24"/>
                <w:szCs w:val="24"/>
              </w:rPr>
              <w:lastRenderedPageBreak/>
              <w:t>TSSP currently assisting DoT with review of the Transport Sector Coordination and Monitoring Implementation Committee (TSCMIC) role and function. Suggest this could be vehicle to address this recommendation.</w:t>
            </w:r>
          </w:p>
        </w:tc>
      </w:tr>
      <w:tr w:rsidR="00440122" w14:paraId="37DB920C" w14:textId="77777777" w:rsidTr="00D33FE2">
        <w:tc>
          <w:tcPr>
            <w:tcW w:w="5387" w:type="dxa"/>
          </w:tcPr>
          <w:p w14:paraId="4D2750AD" w14:textId="77777777" w:rsidR="00440122" w:rsidRDefault="00440122" w:rsidP="00440122">
            <w:pPr>
              <w:rPr>
                <w:b/>
                <w:bCs/>
                <w:i/>
                <w:iCs/>
                <w:sz w:val="24"/>
                <w:szCs w:val="24"/>
              </w:rPr>
            </w:pPr>
            <w:r>
              <w:rPr>
                <w:b/>
                <w:bCs/>
                <w:i/>
                <w:iCs/>
                <w:sz w:val="24"/>
                <w:szCs w:val="24"/>
              </w:rPr>
              <w:lastRenderedPageBreak/>
              <w:t>Recommendation 11</w:t>
            </w:r>
          </w:p>
          <w:p w14:paraId="47CA01F0" w14:textId="784EEC90" w:rsidR="00440122" w:rsidRDefault="00440122" w:rsidP="00440122">
            <w:pPr>
              <w:spacing w:before="78"/>
              <w:ind w:right="125"/>
              <w:rPr>
                <w:rFonts w:asciiTheme="minorHAnsi" w:hAnsiTheme="minorHAnsi"/>
                <w:color w:val="000000" w:themeColor="text1"/>
                <w:sz w:val="24"/>
                <w:szCs w:val="24"/>
              </w:rPr>
            </w:pPr>
            <w:r>
              <w:rPr>
                <w:sz w:val="24"/>
                <w:szCs w:val="24"/>
              </w:rPr>
              <w:t xml:space="preserve">The ASAs funding model is reviewed upon renewal to address the challenges associated with </w:t>
            </w:r>
            <w:proofErr w:type="spellStart"/>
            <w:r>
              <w:rPr>
                <w:sz w:val="24"/>
                <w:szCs w:val="24"/>
              </w:rPr>
              <w:t>GoPNG</w:t>
            </w:r>
            <w:proofErr w:type="spellEnd"/>
            <w:r>
              <w:rPr>
                <w:sz w:val="24"/>
                <w:szCs w:val="24"/>
              </w:rPr>
              <w:t xml:space="preserve"> transport agencies pre-financing activities with constrained budgets.</w:t>
            </w:r>
          </w:p>
        </w:tc>
        <w:tc>
          <w:tcPr>
            <w:tcW w:w="1843" w:type="dxa"/>
          </w:tcPr>
          <w:p w14:paraId="2BB9330C" w14:textId="03D01910" w:rsidR="00440122" w:rsidRDefault="00440122" w:rsidP="00440122">
            <w:pPr>
              <w:spacing w:before="78"/>
              <w:ind w:right="125"/>
              <w:rPr>
                <w:rFonts w:asciiTheme="minorHAnsi" w:hAnsiTheme="minorHAnsi"/>
                <w:color w:val="000000" w:themeColor="text1"/>
                <w:sz w:val="24"/>
                <w:szCs w:val="24"/>
              </w:rPr>
            </w:pPr>
            <w:r>
              <w:rPr>
                <w:sz w:val="24"/>
                <w:szCs w:val="24"/>
              </w:rPr>
              <w:t xml:space="preserve">Agree. </w:t>
            </w:r>
          </w:p>
        </w:tc>
        <w:tc>
          <w:tcPr>
            <w:tcW w:w="2976" w:type="dxa"/>
          </w:tcPr>
          <w:p w14:paraId="7AE82B8C" w14:textId="14689220" w:rsidR="00440122" w:rsidRDefault="009E4C34" w:rsidP="00440122">
            <w:pPr>
              <w:spacing w:before="78"/>
              <w:ind w:right="125"/>
              <w:rPr>
                <w:rFonts w:asciiTheme="minorHAnsi" w:hAnsiTheme="minorHAnsi"/>
                <w:color w:val="000000" w:themeColor="text1"/>
                <w:sz w:val="24"/>
                <w:szCs w:val="24"/>
              </w:rPr>
            </w:pPr>
            <w:r w:rsidRPr="0008525F">
              <w:rPr>
                <w:sz w:val="24"/>
                <w:szCs w:val="24"/>
              </w:rPr>
              <w:t>AHC</w:t>
            </w:r>
            <w:r>
              <w:rPr>
                <w:sz w:val="24"/>
                <w:szCs w:val="24"/>
              </w:rPr>
              <w:t xml:space="preserve"> and TSSP</w:t>
            </w:r>
            <w:r w:rsidRPr="0008525F">
              <w:rPr>
                <w:sz w:val="24"/>
                <w:szCs w:val="24"/>
              </w:rPr>
              <w:t xml:space="preserve"> has commenced work to streamline ASAs and reporting arrangements</w:t>
            </w:r>
            <w:r>
              <w:rPr>
                <w:sz w:val="24"/>
                <w:szCs w:val="24"/>
              </w:rPr>
              <w:t xml:space="preserve"> in consultation with </w:t>
            </w:r>
            <w:proofErr w:type="spellStart"/>
            <w:r>
              <w:rPr>
                <w:sz w:val="24"/>
                <w:szCs w:val="24"/>
              </w:rPr>
              <w:t>GoPNG</w:t>
            </w:r>
            <w:proofErr w:type="spellEnd"/>
            <w:r>
              <w:rPr>
                <w:sz w:val="24"/>
                <w:szCs w:val="24"/>
              </w:rPr>
              <w:t xml:space="preserve"> stakeholders</w:t>
            </w:r>
            <w:r w:rsidRPr="0008525F">
              <w:rPr>
                <w:sz w:val="24"/>
                <w:szCs w:val="24"/>
              </w:rPr>
              <w:t>.</w:t>
            </w:r>
          </w:p>
        </w:tc>
      </w:tr>
    </w:tbl>
    <w:p w14:paraId="63C962FD" w14:textId="5150B30A" w:rsidR="00D07D60" w:rsidRDefault="00D07D60" w:rsidP="001A4A3A">
      <w:pPr>
        <w:rPr>
          <w:sz w:val="24"/>
          <w:szCs w:val="24"/>
        </w:rPr>
      </w:pPr>
    </w:p>
    <w:p w14:paraId="1FF15FCD" w14:textId="77777777" w:rsidR="00D07D60" w:rsidRDefault="00D07D60" w:rsidP="001A4A3A">
      <w:pPr>
        <w:rPr>
          <w:sz w:val="24"/>
          <w:szCs w:val="24"/>
        </w:rPr>
      </w:pPr>
    </w:p>
    <w:p w14:paraId="2CA50229" w14:textId="77777777" w:rsidR="00D07D60" w:rsidRDefault="00D07D60" w:rsidP="001A4A3A">
      <w:pPr>
        <w:rPr>
          <w:sz w:val="24"/>
          <w:szCs w:val="24"/>
        </w:rPr>
      </w:pPr>
    </w:p>
    <w:p w14:paraId="60D9B087" w14:textId="77777777" w:rsidR="001A4A3A" w:rsidRDefault="001A4A3A" w:rsidP="001A4A3A">
      <w:pPr>
        <w:rPr>
          <w:rFonts w:asciiTheme="minorHAnsi" w:hAnsiTheme="minorHAnsi" w:cstheme="minorBidi"/>
          <w:b/>
          <w:bCs/>
          <w:sz w:val="24"/>
          <w:szCs w:val="24"/>
        </w:rPr>
      </w:pPr>
    </w:p>
    <w:p w14:paraId="66C04F28" w14:textId="77777777" w:rsidR="00EE3B29" w:rsidRPr="00E45C4C" w:rsidRDefault="00EE3B29" w:rsidP="00DE7D4F">
      <w:pPr>
        <w:spacing w:before="117"/>
        <w:ind w:left="284"/>
        <w:rPr>
          <w:b/>
          <w:color w:val="000000" w:themeColor="text1"/>
          <w:sz w:val="26"/>
        </w:rPr>
      </w:pPr>
    </w:p>
    <w:sectPr w:rsidR="00EE3B29" w:rsidRPr="00E45C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1A884" w14:textId="77777777" w:rsidR="00FD6A67" w:rsidRDefault="00FD6A67" w:rsidP="00DE7D4F">
      <w:r>
        <w:separator/>
      </w:r>
    </w:p>
  </w:endnote>
  <w:endnote w:type="continuationSeparator" w:id="0">
    <w:p w14:paraId="35D72A65" w14:textId="77777777" w:rsidR="00FD6A67" w:rsidRDefault="00FD6A67" w:rsidP="00DE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72C11" w14:textId="77777777" w:rsidR="00FD6A67" w:rsidRDefault="00FD6A67" w:rsidP="00DE7D4F">
      <w:r>
        <w:separator/>
      </w:r>
    </w:p>
  </w:footnote>
  <w:footnote w:type="continuationSeparator" w:id="0">
    <w:p w14:paraId="6E02EC2E" w14:textId="77777777" w:rsidR="00FD6A67" w:rsidRDefault="00FD6A67" w:rsidP="00DE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8618" w14:textId="52C29174" w:rsidR="002D704A" w:rsidRDefault="002D704A">
    <w:pPr>
      <w:spacing w:line="264" w:lineRule="auto"/>
    </w:pPr>
    <w:r>
      <w:rPr>
        <w:noProof/>
        <w:color w:val="000000"/>
        <w:lang w:val="en-AU" w:eastAsia="en-AU"/>
      </w:rPr>
      <mc:AlternateContent>
        <mc:Choice Requires="wps">
          <w:drawing>
            <wp:anchor distT="0" distB="0" distL="114300" distR="114300" simplePos="0" relativeHeight="251659264" behindDoc="0" locked="0" layoutInCell="1" allowOverlap="1" wp14:anchorId="7E1A64F9" wp14:editId="5EED064F">
              <wp:simplePos x="0" y="0"/>
              <wp:positionH relativeFrom="page">
                <wp:align>center</wp:align>
              </wp:positionH>
              <wp:positionV relativeFrom="page">
                <wp:align>center</wp:align>
              </wp:positionV>
              <wp:extent cx="7376160" cy="9555480"/>
              <wp:effectExtent l="0" t="0" r="26670" b="26670"/>
              <wp:wrapNone/>
              <wp:docPr id="222" name="Rectangle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04418D" id="Rectangle 222" o:spid="_x0000_s1026" alt="&quot;&quot;"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DE7D4F">
      <w:rPr>
        <w:color w:val="4F81BD"/>
        <w:sz w:val="20"/>
        <w:szCs w:val="20"/>
      </w:rPr>
      <w:t xml:space="preserve"> </w:t>
    </w:r>
    <w:r w:rsidR="00912165">
      <w:t>PNG-Australia Transport Partnership Review</w:t>
    </w:r>
    <w:r w:rsidRPr="00DE7D4F">
      <w:t xml:space="preserve">: </w:t>
    </w:r>
    <w:r w:rsidR="00DB3B91">
      <w:t>DRAFT Management Response</w:t>
    </w:r>
  </w:p>
  <w:p w14:paraId="08BE2009" w14:textId="77777777" w:rsidR="002D704A" w:rsidRDefault="002D7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4751"/>
    <w:multiLevelType w:val="hybridMultilevel"/>
    <w:tmpl w:val="895027C8"/>
    <w:lvl w:ilvl="0" w:tplc="67602992">
      <w:numFmt w:val="bullet"/>
      <w:lvlText w:val="•"/>
      <w:lvlJc w:val="left"/>
      <w:pPr>
        <w:ind w:left="510" w:hanging="284"/>
      </w:pPr>
      <w:rPr>
        <w:rFonts w:ascii="Calibri" w:eastAsia="Calibri" w:hAnsi="Calibri" w:cs="Calibri" w:hint="default"/>
        <w:color w:val="FFFFFF"/>
        <w:w w:val="99"/>
        <w:sz w:val="22"/>
        <w:szCs w:val="22"/>
      </w:rPr>
    </w:lvl>
    <w:lvl w:ilvl="1" w:tplc="2ABAA094">
      <w:numFmt w:val="bullet"/>
      <w:lvlText w:val="•"/>
      <w:lvlJc w:val="left"/>
      <w:pPr>
        <w:ind w:left="1431" w:hanging="284"/>
      </w:pPr>
      <w:rPr>
        <w:rFonts w:hint="default"/>
      </w:rPr>
    </w:lvl>
    <w:lvl w:ilvl="2" w:tplc="C60A2AD2">
      <w:numFmt w:val="bullet"/>
      <w:lvlText w:val="•"/>
      <w:lvlJc w:val="left"/>
      <w:pPr>
        <w:ind w:left="2343" w:hanging="284"/>
      </w:pPr>
      <w:rPr>
        <w:rFonts w:hint="default"/>
      </w:rPr>
    </w:lvl>
    <w:lvl w:ilvl="3" w:tplc="48206956">
      <w:numFmt w:val="bullet"/>
      <w:lvlText w:val="•"/>
      <w:lvlJc w:val="left"/>
      <w:pPr>
        <w:ind w:left="3255" w:hanging="284"/>
      </w:pPr>
      <w:rPr>
        <w:rFonts w:hint="default"/>
      </w:rPr>
    </w:lvl>
    <w:lvl w:ilvl="4" w:tplc="78389C76">
      <w:numFmt w:val="bullet"/>
      <w:lvlText w:val="•"/>
      <w:lvlJc w:val="left"/>
      <w:pPr>
        <w:ind w:left="4167" w:hanging="284"/>
      </w:pPr>
      <w:rPr>
        <w:rFonts w:hint="default"/>
      </w:rPr>
    </w:lvl>
    <w:lvl w:ilvl="5" w:tplc="F50C7500">
      <w:numFmt w:val="bullet"/>
      <w:lvlText w:val="•"/>
      <w:lvlJc w:val="left"/>
      <w:pPr>
        <w:ind w:left="5078" w:hanging="284"/>
      </w:pPr>
      <w:rPr>
        <w:rFonts w:hint="default"/>
      </w:rPr>
    </w:lvl>
    <w:lvl w:ilvl="6" w:tplc="08528FE4">
      <w:numFmt w:val="bullet"/>
      <w:lvlText w:val="•"/>
      <w:lvlJc w:val="left"/>
      <w:pPr>
        <w:ind w:left="5990" w:hanging="284"/>
      </w:pPr>
      <w:rPr>
        <w:rFonts w:hint="default"/>
      </w:rPr>
    </w:lvl>
    <w:lvl w:ilvl="7" w:tplc="8EAAAB28">
      <w:numFmt w:val="bullet"/>
      <w:lvlText w:val="•"/>
      <w:lvlJc w:val="left"/>
      <w:pPr>
        <w:ind w:left="6902" w:hanging="284"/>
      </w:pPr>
      <w:rPr>
        <w:rFonts w:hint="default"/>
      </w:rPr>
    </w:lvl>
    <w:lvl w:ilvl="8" w:tplc="CAA2564A">
      <w:numFmt w:val="bullet"/>
      <w:lvlText w:val="•"/>
      <w:lvlJc w:val="left"/>
      <w:pPr>
        <w:ind w:left="7814" w:hanging="284"/>
      </w:pPr>
      <w:rPr>
        <w:rFonts w:hint="default"/>
      </w:rPr>
    </w:lvl>
  </w:abstractNum>
  <w:abstractNum w:abstractNumId="1" w15:restartNumberingAfterBreak="0">
    <w:nsid w:val="09B62B0F"/>
    <w:multiLevelType w:val="hybridMultilevel"/>
    <w:tmpl w:val="839C9AC6"/>
    <w:lvl w:ilvl="0" w:tplc="08090001">
      <w:start w:val="1"/>
      <w:numFmt w:val="bullet"/>
      <w:lvlText w:val=""/>
      <w:lvlJc w:val="left"/>
      <w:pPr>
        <w:ind w:left="643" w:hanging="360"/>
      </w:pPr>
      <w:rPr>
        <w:rFonts w:ascii="Symbol" w:hAnsi="Symbol" w:hint="default"/>
        <w:color w:val="FFFFFF"/>
        <w:w w:val="99"/>
        <w:sz w:val="22"/>
        <w:szCs w:val="22"/>
      </w:rPr>
    </w:lvl>
    <w:lvl w:ilvl="1" w:tplc="85127B4E">
      <w:numFmt w:val="bullet"/>
      <w:lvlText w:val="•"/>
      <w:lvlJc w:val="left"/>
      <w:pPr>
        <w:ind w:left="1467" w:hanging="284"/>
      </w:pPr>
      <w:rPr>
        <w:rFonts w:hint="default"/>
      </w:rPr>
    </w:lvl>
    <w:lvl w:ilvl="2" w:tplc="CC3EE0D8">
      <w:numFmt w:val="bullet"/>
      <w:lvlText w:val="•"/>
      <w:lvlJc w:val="left"/>
      <w:pPr>
        <w:ind w:left="2375" w:hanging="284"/>
      </w:pPr>
      <w:rPr>
        <w:rFonts w:hint="default"/>
      </w:rPr>
    </w:lvl>
    <w:lvl w:ilvl="3" w:tplc="5BD46240">
      <w:numFmt w:val="bullet"/>
      <w:lvlText w:val="•"/>
      <w:lvlJc w:val="left"/>
      <w:pPr>
        <w:ind w:left="3283" w:hanging="284"/>
      </w:pPr>
      <w:rPr>
        <w:rFonts w:hint="default"/>
      </w:rPr>
    </w:lvl>
    <w:lvl w:ilvl="4" w:tplc="B5FE4BB2">
      <w:numFmt w:val="bullet"/>
      <w:lvlText w:val="•"/>
      <w:lvlJc w:val="left"/>
      <w:pPr>
        <w:ind w:left="4191" w:hanging="284"/>
      </w:pPr>
      <w:rPr>
        <w:rFonts w:hint="default"/>
      </w:rPr>
    </w:lvl>
    <w:lvl w:ilvl="5" w:tplc="61988E8C">
      <w:numFmt w:val="bullet"/>
      <w:lvlText w:val="•"/>
      <w:lvlJc w:val="left"/>
      <w:pPr>
        <w:ind w:left="5098" w:hanging="284"/>
      </w:pPr>
      <w:rPr>
        <w:rFonts w:hint="default"/>
      </w:rPr>
    </w:lvl>
    <w:lvl w:ilvl="6" w:tplc="FD86C7D4">
      <w:numFmt w:val="bullet"/>
      <w:lvlText w:val="•"/>
      <w:lvlJc w:val="left"/>
      <w:pPr>
        <w:ind w:left="6006" w:hanging="284"/>
      </w:pPr>
      <w:rPr>
        <w:rFonts w:hint="default"/>
      </w:rPr>
    </w:lvl>
    <w:lvl w:ilvl="7" w:tplc="9722971A">
      <w:numFmt w:val="bullet"/>
      <w:lvlText w:val="•"/>
      <w:lvlJc w:val="left"/>
      <w:pPr>
        <w:ind w:left="6914" w:hanging="284"/>
      </w:pPr>
      <w:rPr>
        <w:rFonts w:hint="default"/>
      </w:rPr>
    </w:lvl>
    <w:lvl w:ilvl="8" w:tplc="5C2CA238">
      <w:numFmt w:val="bullet"/>
      <w:lvlText w:val="•"/>
      <w:lvlJc w:val="left"/>
      <w:pPr>
        <w:ind w:left="7822" w:hanging="284"/>
      </w:pPr>
      <w:rPr>
        <w:rFonts w:hint="default"/>
      </w:rPr>
    </w:lvl>
  </w:abstractNum>
  <w:abstractNum w:abstractNumId="2" w15:restartNumberingAfterBreak="0">
    <w:nsid w:val="18FF18E0"/>
    <w:multiLevelType w:val="hybridMultilevel"/>
    <w:tmpl w:val="B91A9C0C"/>
    <w:lvl w:ilvl="0" w:tplc="55AADDCE">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24FB68EF"/>
    <w:multiLevelType w:val="hybridMultilevel"/>
    <w:tmpl w:val="D4DC76BE"/>
    <w:lvl w:ilvl="0" w:tplc="08090001">
      <w:start w:val="1"/>
      <w:numFmt w:val="bullet"/>
      <w:lvlText w:val=""/>
      <w:lvlJc w:val="left"/>
      <w:pPr>
        <w:ind w:left="642" w:hanging="360"/>
      </w:pPr>
      <w:rPr>
        <w:rFonts w:ascii="Symbol" w:hAnsi="Symbol" w:hint="default"/>
        <w:color w:val="FFFFFF"/>
        <w:w w:val="99"/>
        <w:sz w:val="22"/>
        <w:szCs w:val="22"/>
      </w:rPr>
    </w:lvl>
    <w:lvl w:ilvl="1" w:tplc="EC54F2BC">
      <w:numFmt w:val="bullet"/>
      <w:lvlText w:val="•"/>
      <w:lvlJc w:val="left"/>
      <w:pPr>
        <w:ind w:left="1521" w:hanging="341"/>
      </w:pPr>
      <w:rPr>
        <w:rFonts w:hint="default"/>
      </w:rPr>
    </w:lvl>
    <w:lvl w:ilvl="2" w:tplc="BF8E203A">
      <w:numFmt w:val="bullet"/>
      <w:lvlText w:val="•"/>
      <w:lvlJc w:val="left"/>
      <w:pPr>
        <w:ind w:left="2423" w:hanging="341"/>
      </w:pPr>
      <w:rPr>
        <w:rFonts w:hint="default"/>
      </w:rPr>
    </w:lvl>
    <w:lvl w:ilvl="3" w:tplc="AE824400">
      <w:numFmt w:val="bullet"/>
      <w:lvlText w:val="•"/>
      <w:lvlJc w:val="left"/>
      <w:pPr>
        <w:ind w:left="3325" w:hanging="341"/>
      </w:pPr>
      <w:rPr>
        <w:rFonts w:hint="default"/>
      </w:rPr>
    </w:lvl>
    <w:lvl w:ilvl="4" w:tplc="24ECBD8E">
      <w:numFmt w:val="bullet"/>
      <w:lvlText w:val="•"/>
      <w:lvlJc w:val="left"/>
      <w:pPr>
        <w:ind w:left="4227" w:hanging="341"/>
      </w:pPr>
      <w:rPr>
        <w:rFonts w:hint="default"/>
      </w:rPr>
    </w:lvl>
    <w:lvl w:ilvl="5" w:tplc="9842B51E">
      <w:numFmt w:val="bullet"/>
      <w:lvlText w:val="•"/>
      <w:lvlJc w:val="left"/>
      <w:pPr>
        <w:ind w:left="5128" w:hanging="341"/>
      </w:pPr>
      <w:rPr>
        <w:rFonts w:hint="default"/>
      </w:rPr>
    </w:lvl>
    <w:lvl w:ilvl="6" w:tplc="ACEC6AB8">
      <w:numFmt w:val="bullet"/>
      <w:lvlText w:val="•"/>
      <w:lvlJc w:val="left"/>
      <w:pPr>
        <w:ind w:left="6030" w:hanging="341"/>
      </w:pPr>
      <w:rPr>
        <w:rFonts w:hint="default"/>
      </w:rPr>
    </w:lvl>
    <w:lvl w:ilvl="7" w:tplc="805CC528">
      <w:numFmt w:val="bullet"/>
      <w:lvlText w:val="•"/>
      <w:lvlJc w:val="left"/>
      <w:pPr>
        <w:ind w:left="6932" w:hanging="341"/>
      </w:pPr>
      <w:rPr>
        <w:rFonts w:hint="default"/>
      </w:rPr>
    </w:lvl>
    <w:lvl w:ilvl="8" w:tplc="158626CE">
      <w:numFmt w:val="bullet"/>
      <w:lvlText w:val="•"/>
      <w:lvlJc w:val="left"/>
      <w:pPr>
        <w:ind w:left="7834" w:hanging="341"/>
      </w:pPr>
      <w:rPr>
        <w:rFonts w:hint="default"/>
      </w:rPr>
    </w:lvl>
  </w:abstractNum>
  <w:abstractNum w:abstractNumId="4" w15:restartNumberingAfterBreak="0">
    <w:nsid w:val="2758206D"/>
    <w:multiLevelType w:val="hybridMultilevel"/>
    <w:tmpl w:val="4EC44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6A6E6F"/>
    <w:multiLevelType w:val="hybridMultilevel"/>
    <w:tmpl w:val="B89247CC"/>
    <w:lvl w:ilvl="0" w:tplc="08090001">
      <w:start w:val="1"/>
      <w:numFmt w:val="bullet"/>
      <w:lvlText w:val=""/>
      <w:lvlJc w:val="left"/>
      <w:pPr>
        <w:ind w:left="642" w:hanging="360"/>
      </w:pPr>
      <w:rPr>
        <w:rFonts w:ascii="Symbol" w:hAnsi="Symbol" w:hint="default"/>
        <w:color w:val="FFFFFF"/>
        <w:w w:val="99"/>
        <w:sz w:val="22"/>
        <w:szCs w:val="22"/>
      </w:rPr>
    </w:lvl>
    <w:lvl w:ilvl="1" w:tplc="EC54F2BC">
      <w:numFmt w:val="bullet"/>
      <w:lvlText w:val="•"/>
      <w:lvlJc w:val="left"/>
      <w:pPr>
        <w:ind w:left="1521" w:hanging="341"/>
      </w:pPr>
      <w:rPr>
        <w:rFonts w:hint="default"/>
      </w:rPr>
    </w:lvl>
    <w:lvl w:ilvl="2" w:tplc="BF8E203A">
      <w:numFmt w:val="bullet"/>
      <w:lvlText w:val="•"/>
      <w:lvlJc w:val="left"/>
      <w:pPr>
        <w:ind w:left="2423" w:hanging="341"/>
      </w:pPr>
      <w:rPr>
        <w:rFonts w:hint="default"/>
      </w:rPr>
    </w:lvl>
    <w:lvl w:ilvl="3" w:tplc="AE824400">
      <w:numFmt w:val="bullet"/>
      <w:lvlText w:val="•"/>
      <w:lvlJc w:val="left"/>
      <w:pPr>
        <w:ind w:left="3325" w:hanging="341"/>
      </w:pPr>
      <w:rPr>
        <w:rFonts w:hint="default"/>
      </w:rPr>
    </w:lvl>
    <w:lvl w:ilvl="4" w:tplc="24ECBD8E">
      <w:numFmt w:val="bullet"/>
      <w:lvlText w:val="•"/>
      <w:lvlJc w:val="left"/>
      <w:pPr>
        <w:ind w:left="4227" w:hanging="341"/>
      </w:pPr>
      <w:rPr>
        <w:rFonts w:hint="default"/>
      </w:rPr>
    </w:lvl>
    <w:lvl w:ilvl="5" w:tplc="9842B51E">
      <w:numFmt w:val="bullet"/>
      <w:lvlText w:val="•"/>
      <w:lvlJc w:val="left"/>
      <w:pPr>
        <w:ind w:left="5128" w:hanging="341"/>
      </w:pPr>
      <w:rPr>
        <w:rFonts w:hint="default"/>
      </w:rPr>
    </w:lvl>
    <w:lvl w:ilvl="6" w:tplc="ACEC6AB8">
      <w:numFmt w:val="bullet"/>
      <w:lvlText w:val="•"/>
      <w:lvlJc w:val="left"/>
      <w:pPr>
        <w:ind w:left="6030" w:hanging="341"/>
      </w:pPr>
      <w:rPr>
        <w:rFonts w:hint="default"/>
      </w:rPr>
    </w:lvl>
    <w:lvl w:ilvl="7" w:tplc="805CC528">
      <w:numFmt w:val="bullet"/>
      <w:lvlText w:val="•"/>
      <w:lvlJc w:val="left"/>
      <w:pPr>
        <w:ind w:left="6932" w:hanging="341"/>
      </w:pPr>
      <w:rPr>
        <w:rFonts w:hint="default"/>
      </w:rPr>
    </w:lvl>
    <w:lvl w:ilvl="8" w:tplc="158626CE">
      <w:numFmt w:val="bullet"/>
      <w:lvlText w:val="•"/>
      <w:lvlJc w:val="left"/>
      <w:pPr>
        <w:ind w:left="7834" w:hanging="341"/>
      </w:pPr>
      <w:rPr>
        <w:rFonts w:hint="default"/>
      </w:rPr>
    </w:lvl>
  </w:abstractNum>
  <w:abstractNum w:abstractNumId="6" w15:restartNumberingAfterBreak="0">
    <w:nsid w:val="5B4374D3"/>
    <w:multiLevelType w:val="hybridMultilevel"/>
    <w:tmpl w:val="B9A20328"/>
    <w:lvl w:ilvl="0" w:tplc="08090001">
      <w:start w:val="1"/>
      <w:numFmt w:val="bullet"/>
      <w:lvlText w:val=""/>
      <w:lvlJc w:val="left"/>
      <w:pPr>
        <w:ind w:left="586" w:hanging="360"/>
      </w:pPr>
      <w:rPr>
        <w:rFonts w:ascii="Symbol" w:hAnsi="Symbol" w:hint="default"/>
        <w:color w:val="FFFFFF"/>
        <w:w w:val="99"/>
        <w:sz w:val="22"/>
        <w:szCs w:val="22"/>
      </w:rPr>
    </w:lvl>
    <w:lvl w:ilvl="1" w:tplc="252432B4">
      <w:numFmt w:val="bullet"/>
      <w:lvlText w:val="•"/>
      <w:lvlJc w:val="left"/>
      <w:pPr>
        <w:ind w:left="1431" w:hanging="284"/>
      </w:pPr>
      <w:rPr>
        <w:rFonts w:hint="default"/>
      </w:rPr>
    </w:lvl>
    <w:lvl w:ilvl="2" w:tplc="855469DA">
      <w:numFmt w:val="bullet"/>
      <w:lvlText w:val="•"/>
      <w:lvlJc w:val="left"/>
      <w:pPr>
        <w:ind w:left="2343" w:hanging="284"/>
      </w:pPr>
      <w:rPr>
        <w:rFonts w:hint="default"/>
      </w:rPr>
    </w:lvl>
    <w:lvl w:ilvl="3" w:tplc="635C56F4">
      <w:numFmt w:val="bullet"/>
      <w:lvlText w:val="•"/>
      <w:lvlJc w:val="left"/>
      <w:pPr>
        <w:ind w:left="3255" w:hanging="284"/>
      </w:pPr>
      <w:rPr>
        <w:rFonts w:hint="default"/>
      </w:rPr>
    </w:lvl>
    <w:lvl w:ilvl="4" w:tplc="5268C82A">
      <w:numFmt w:val="bullet"/>
      <w:lvlText w:val="•"/>
      <w:lvlJc w:val="left"/>
      <w:pPr>
        <w:ind w:left="4167" w:hanging="284"/>
      </w:pPr>
      <w:rPr>
        <w:rFonts w:hint="default"/>
      </w:rPr>
    </w:lvl>
    <w:lvl w:ilvl="5" w:tplc="AEA0E1AA">
      <w:numFmt w:val="bullet"/>
      <w:lvlText w:val="•"/>
      <w:lvlJc w:val="left"/>
      <w:pPr>
        <w:ind w:left="5078" w:hanging="284"/>
      </w:pPr>
      <w:rPr>
        <w:rFonts w:hint="default"/>
      </w:rPr>
    </w:lvl>
    <w:lvl w:ilvl="6" w:tplc="B46C3E7A">
      <w:numFmt w:val="bullet"/>
      <w:lvlText w:val="•"/>
      <w:lvlJc w:val="left"/>
      <w:pPr>
        <w:ind w:left="5990" w:hanging="284"/>
      </w:pPr>
      <w:rPr>
        <w:rFonts w:hint="default"/>
      </w:rPr>
    </w:lvl>
    <w:lvl w:ilvl="7" w:tplc="3CDAE856">
      <w:numFmt w:val="bullet"/>
      <w:lvlText w:val="•"/>
      <w:lvlJc w:val="left"/>
      <w:pPr>
        <w:ind w:left="6902" w:hanging="284"/>
      </w:pPr>
      <w:rPr>
        <w:rFonts w:hint="default"/>
      </w:rPr>
    </w:lvl>
    <w:lvl w:ilvl="8" w:tplc="B18CDAEE">
      <w:numFmt w:val="bullet"/>
      <w:lvlText w:val="•"/>
      <w:lvlJc w:val="left"/>
      <w:pPr>
        <w:ind w:left="7814" w:hanging="284"/>
      </w:pPr>
      <w:rPr>
        <w:rFonts w:hint="default"/>
      </w:rPr>
    </w:lvl>
  </w:abstractNum>
  <w:abstractNum w:abstractNumId="7" w15:restartNumberingAfterBreak="0">
    <w:nsid w:val="6709015C"/>
    <w:multiLevelType w:val="hybridMultilevel"/>
    <w:tmpl w:val="BE44D806"/>
    <w:lvl w:ilvl="0" w:tplc="08090001">
      <w:start w:val="1"/>
      <w:numFmt w:val="bullet"/>
      <w:lvlText w:val=""/>
      <w:lvlJc w:val="left"/>
      <w:pPr>
        <w:ind w:left="586" w:hanging="360"/>
      </w:pPr>
      <w:rPr>
        <w:rFonts w:ascii="Symbol" w:hAnsi="Symbol" w:hint="default"/>
        <w:color w:val="FFFFFF"/>
        <w:w w:val="99"/>
        <w:sz w:val="22"/>
        <w:szCs w:val="22"/>
      </w:rPr>
    </w:lvl>
    <w:lvl w:ilvl="1" w:tplc="7DE2D4FC">
      <w:numFmt w:val="bullet"/>
      <w:lvlText w:val="•"/>
      <w:lvlJc w:val="left"/>
      <w:pPr>
        <w:ind w:left="1431" w:hanging="284"/>
      </w:pPr>
      <w:rPr>
        <w:rFonts w:hint="default"/>
      </w:rPr>
    </w:lvl>
    <w:lvl w:ilvl="2" w:tplc="81FC180C">
      <w:numFmt w:val="bullet"/>
      <w:lvlText w:val="•"/>
      <w:lvlJc w:val="left"/>
      <w:pPr>
        <w:ind w:left="2343" w:hanging="284"/>
      </w:pPr>
      <w:rPr>
        <w:rFonts w:hint="default"/>
      </w:rPr>
    </w:lvl>
    <w:lvl w:ilvl="3" w:tplc="EAF09FB6">
      <w:numFmt w:val="bullet"/>
      <w:lvlText w:val="•"/>
      <w:lvlJc w:val="left"/>
      <w:pPr>
        <w:ind w:left="3255" w:hanging="284"/>
      </w:pPr>
      <w:rPr>
        <w:rFonts w:hint="default"/>
      </w:rPr>
    </w:lvl>
    <w:lvl w:ilvl="4" w:tplc="980A6410">
      <w:numFmt w:val="bullet"/>
      <w:lvlText w:val="•"/>
      <w:lvlJc w:val="left"/>
      <w:pPr>
        <w:ind w:left="4167" w:hanging="284"/>
      </w:pPr>
      <w:rPr>
        <w:rFonts w:hint="default"/>
      </w:rPr>
    </w:lvl>
    <w:lvl w:ilvl="5" w:tplc="1EBA35F4">
      <w:numFmt w:val="bullet"/>
      <w:lvlText w:val="•"/>
      <w:lvlJc w:val="left"/>
      <w:pPr>
        <w:ind w:left="5078" w:hanging="284"/>
      </w:pPr>
      <w:rPr>
        <w:rFonts w:hint="default"/>
      </w:rPr>
    </w:lvl>
    <w:lvl w:ilvl="6" w:tplc="257ECD6A">
      <w:numFmt w:val="bullet"/>
      <w:lvlText w:val="•"/>
      <w:lvlJc w:val="left"/>
      <w:pPr>
        <w:ind w:left="5990" w:hanging="284"/>
      </w:pPr>
      <w:rPr>
        <w:rFonts w:hint="default"/>
      </w:rPr>
    </w:lvl>
    <w:lvl w:ilvl="7" w:tplc="03368D06">
      <w:numFmt w:val="bullet"/>
      <w:lvlText w:val="•"/>
      <w:lvlJc w:val="left"/>
      <w:pPr>
        <w:ind w:left="6902" w:hanging="284"/>
      </w:pPr>
      <w:rPr>
        <w:rFonts w:hint="default"/>
      </w:rPr>
    </w:lvl>
    <w:lvl w:ilvl="8" w:tplc="8F729FE8">
      <w:numFmt w:val="bullet"/>
      <w:lvlText w:val="•"/>
      <w:lvlJc w:val="left"/>
      <w:pPr>
        <w:ind w:left="7814" w:hanging="284"/>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EF"/>
    <w:rsid w:val="00012746"/>
    <w:rsid w:val="00014EC4"/>
    <w:rsid w:val="0001693C"/>
    <w:rsid w:val="00042858"/>
    <w:rsid w:val="00042D0B"/>
    <w:rsid w:val="00051233"/>
    <w:rsid w:val="000622E7"/>
    <w:rsid w:val="00072DBF"/>
    <w:rsid w:val="00077256"/>
    <w:rsid w:val="000A291D"/>
    <w:rsid w:val="000B388E"/>
    <w:rsid w:val="000C030A"/>
    <w:rsid w:val="000D1EE9"/>
    <w:rsid w:val="000E1EEE"/>
    <w:rsid w:val="000F294A"/>
    <w:rsid w:val="000F5ED9"/>
    <w:rsid w:val="001246A5"/>
    <w:rsid w:val="00126738"/>
    <w:rsid w:val="0013256D"/>
    <w:rsid w:val="001379B4"/>
    <w:rsid w:val="00161796"/>
    <w:rsid w:val="00165858"/>
    <w:rsid w:val="001702CB"/>
    <w:rsid w:val="00172FE2"/>
    <w:rsid w:val="00183FB0"/>
    <w:rsid w:val="001840AC"/>
    <w:rsid w:val="001A4A3A"/>
    <w:rsid w:val="001B2D63"/>
    <w:rsid w:val="001C17F5"/>
    <w:rsid w:val="001D0B4E"/>
    <w:rsid w:val="001D638D"/>
    <w:rsid w:val="001F13E5"/>
    <w:rsid w:val="00204EE2"/>
    <w:rsid w:val="00217894"/>
    <w:rsid w:val="002338B9"/>
    <w:rsid w:val="00236A79"/>
    <w:rsid w:val="002534BD"/>
    <w:rsid w:val="00264BBA"/>
    <w:rsid w:val="0027118F"/>
    <w:rsid w:val="002756E4"/>
    <w:rsid w:val="00286F4A"/>
    <w:rsid w:val="00297C96"/>
    <w:rsid w:val="002C36BA"/>
    <w:rsid w:val="002D704A"/>
    <w:rsid w:val="002E1C89"/>
    <w:rsid w:val="002F2D4E"/>
    <w:rsid w:val="002F36FC"/>
    <w:rsid w:val="00320EA3"/>
    <w:rsid w:val="00323AEF"/>
    <w:rsid w:val="00330D2A"/>
    <w:rsid w:val="00331800"/>
    <w:rsid w:val="0033789E"/>
    <w:rsid w:val="00366A7B"/>
    <w:rsid w:val="003905BF"/>
    <w:rsid w:val="003B16C1"/>
    <w:rsid w:val="003B3B5E"/>
    <w:rsid w:val="003B7AAC"/>
    <w:rsid w:val="003C176B"/>
    <w:rsid w:val="003C57F1"/>
    <w:rsid w:val="003E4933"/>
    <w:rsid w:val="00416F15"/>
    <w:rsid w:val="00417E15"/>
    <w:rsid w:val="004342B7"/>
    <w:rsid w:val="0043469A"/>
    <w:rsid w:val="00440122"/>
    <w:rsid w:val="004715AA"/>
    <w:rsid w:val="00474409"/>
    <w:rsid w:val="00486C6A"/>
    <w:rsid w:val="00492B12"/>
    <w:rsid w:val="004B63CA"/>
    <w:rsid w:val="004D080F"/>
    <w:rsid w:val="004D74AC"/>
    <w:rsid w:val="004E20E6"/>
    <w:rsid w:val="0051211F"/>
    <w:rsid w:val="00521FA5"/>
    <w:rsid w:val="00536853"/>
    <w:rsid w:val="00553D0C"/>
    <w:rsid w:val="00553D0E"/>
    <w:rsid w:val="00554684"/>
    <w:rsid w:val="00556061"/>
    <w:rsid w:val="00557AE1"/>
    <w:rsid w:val="00560952"/>
    <w:rsid w:val="00560A87"/>
    <w:rsid w:val="00563855"/>
    <w:rsid w:val="00573491"/>
    <w:rsid w:val="00580388"/>
    <w:rsid w:val="00586644"/>
    <w:rsid w:val="005A05A2"/>
    <w:rsid w:val="005B3100"/>
    <w:rsid w:val="005B6EA1"/>
    <w:rsid w:val="005C319E"/>
    <w:rsid w:val="005D4C4E"/>
    <w:rsid w:val="005D75D7"/>
    <w:rsid w:val="006005F5"/>
    <w:rsid w:val="0060622B"/>
    <w:rsid w:val="0060784F"/>
    <w:rsid w:val="00613A18"/>
    <w:rsid w:val="00616B5E"/>
    <w:rsid w:val="00616FF0"/>
    <w:rsid w:val="00617627"/>
    <w:rsid w:val="006214E5"/>
    <w:rsid w:val="00624E5A"/>
    <w:rsid w:val="00632C73"/>
    <w:rsid w:val="00652F46"/>
    <w:rsid w:val="00670996"/>
    <w:rsid w:val="00671830"/>
    <w:rsid w:val="0068376C"/>
    <w:rsid w:val="00685F7B"/>
    <w:rsid w:val="006A292D"/>
    <w:rsid w:val="006A36B4"/>
    <w:rsid w:val="006B0CBA"/>
    <w:rsid w:val="006B7F7D"/>
    <w:rsid w:val="006C3B25"/>
    <w:rsid w:val="006E210E"/>
    <w:rsid w:val="006F32BD"/>
    <w:rsid w:val="0070583A"/>
    <w:rsid w:val="00720D18"/>
    <w:rsid w:val="007512CE"/>
    <w:rsid w:val="00771565"/>
    <w:rsid w:val="007743CD"/>
    <w:rsid w:val="00777059"/>
    <w:rsid w:val="00785A3D"/>
    <w:rsid w:val="007A032D"/>
    <w:rsid w:val="007D079E"/>
    <w:rsid w:val="00800FE0"/>
    <w:rsid w:val="00831702"/>
    <w:rsid w:val="00841308"/>
    <w:rsid w:val="00853390"/>
    <w:rsid w:val="0085636F"/>
    <w:rsid w:val="00857B19"/>
    <w:rsid w:val="008612B7"/>
    <w:rsid w:val="00864690"/>
    <w:rsid w:val="00864F2F"/>
    <w:rsid w:val="00874806"/>
    <w:rsid w:val="008A3746"/>
    <w:rsid w:val="008C6335"/>
    <w:rsid w:val="008D11C7"/>
    <w:rsid w:val="008E3941"/>
    <w:rsid w:val="008E6F70"/>
    <w:rsid w:val="008F308A"/>
    <w:rsid w:val="00912165"/>
    <w:rsid w:val="00926B23"/>
    <w:rsid w:val="00941E12"/>
    <w:rsid w:val="00952418"/>
    <w:rsid w:val="00970187"/>
    <w:rsid w:val="00970522"/>
    <w:rsid w:val="009814B0"/>
    <w:rsid w:val="00982FD2"/>
    <w:rsid w:val="00983F67"/>
    <w:rsid w:val="009B4996"/>
    <w:rsid w:val="009B78ED"/>
    <w:rsid w:val="009C6133"/>
    <w:rsid w:val="009D42FA"/>
    <w:rsid w:val="009E4C34"/>
    <w:rsid w:val="009E5919"/>
    <w:rsid w:val="00A10808"/>
    <w:rsid w:val="00A351F6"/>
    <w:rsid w:val="00A35CFF"/>
    <w:rsid w:val="00A40243"/>
    <w:rsid w:val="00A432BB"/>
    <w:rsid w:val="00A551B5"/>
    <w:rsid w:val="00A5635D"/>
    <w:rsid w:val="00A56839"/>
    <w:rsid w:val="00A64E25"/>
    <w:rsid w:val="00A84B27"/>
    <w:rsid w:val="00AA209C"/>
    <w:rsid w:val="00AB4C63"/>
    <w:rsid w:val="00AC5B93"/>
    <w:rsid w:val="00AE3FC0"/>
    <w:rsid w:val="00AF0D20"/>
    <w:rsid w:val="00AF6ACC"/>
    <w:rsid w:val="00AF6AF0"/>
    <w:rsid w:val="00B04C75"/>
    <w:rsid w:val="00B06450"/>
    <w:rsid w:val="00B14B4A"/>
    <w:rsid w:val="00B31118"/>
    <w:rsid w:val="00B625E8"/>
    <w:rsid w:val="00B809B3"/>
    <w:rsid w:val="00B847C1"/>
    <w:rsid w:val="00B86C7A"/>
    <w:rsid w:val="00BA2EF8"/>
    <w:rsid w:val="00C11C1A"/>
    <w:rsid w:val="00C12F66"/>
    <w:rsid w:val="00C15010"/>
    <w:rsid w:val="00C160A3"/>
    <w:rsid w:val="00C207AF"/>
    <w:rsid w:val="00C270F1"/>
    <w:rsid w:val="00C40077"/>
    <w:rsid w:val="00C56156"/>
    <w:rsid w:val="00C6351E"/>
    <w:rsid w:val="00C729E1"/>
    <w:rsid w:val="00C9789E"/>
    <w:rsid w:val="00CA2F15"/>
    <w:rsid w:val="00CB2E8F"/>
    <w:rsid w:val="00CC0D2A"/>
    <w:rsid w:val="00CC1FE7"/>
    <w:rsid w:val="00CD5946"/>
    <w:rsid w:val="00D00CDA"/>
    <w:rsid w:val="00D019AA"/>
    <w:rsid w:val="00D07D60"/>
    <w:rsid w:val="00D106FC"/>
    <w:rsid w:val="00D1130E"/>
    <w:rsid w:val="00D17A01"/>
    <w:rsid w:val="00D322D0"/>
    <w:rsid w:val="00D33FE2"/>
    <w:rsid w:val="00D37281"/>
    <w:rsid w:val="00D47EC2"/>
    <w:rsid w:val="00D521F1"/>
    <w:rsid w:val="00D57197"/>
    <w:rsid w:val="00D768AD"/>
    <w:rsid w:val="00D96E81"/>
    <w:rsid w:val="00DB3B91"/>
    <w:rsid w:val="00DB48E6"/>
    <w:rsid w:val="00DC6535"/>
    <w:rsid w:val="00DD44D6"/>
    <w:rsid w:val="00DE7D4F"/>
    <w:rsid w:val="00DF1163"/>
    <w:rsid w:val="00DF4770"/>
    <w:rsid w:val="00E00B75"/>
    <w:rsid w:val="00E04C20"/>
    <w:rsid w:val="00E10F5B"/>
    <w:rsid w:val="00E13C3A"/>
    <w:rsid w:val="00E34C6C"/>
    <w:rsid w:val="00E35813"/>
    <w:rsid w:val="00E36B26"/>
    <w:rsid w:val="00E449F9"/>
    <w:rsid w:val="00E45C4C"/>
    <w:rsid w:val="00E628AD"/>
    <w:rsid w:val="00E653EC"/>
    <w:rsid w:val="00E76E45"/>
    <w:rsid w:val="00E801D5"/>
    <w:rsid w:val="00E81312"/>
    <w:rsid w:val="00E84331"/>
    <w:rsid w:val="00E905E4"/>
    <w:rsid w:val="00E90863"/>
    <w:rsid w:val="00E912C3"/>
    <w:rsid w:val="00E963C7"/>
    <w:rsid w:val="00EB0E34"/>
    <w:rsid w:val="00EB1D41"/>
    <w:rsid w:val="00ED131C"/>
    <w:rsid w:val="00ED15E6"/>
    <w:rsid w:val="00ED34FC"/>
    <w:rsid w:val="00EE3B29"/>
    <w:rsid w:val="00F10CBB"/>
    <w:rsid w:val="00F152E3"/>
    <w:rsid w:val="00F26586"/>
    <w:rsid w:val="00F26D14"/>
    <w:rsid w:val="00F358AE"/>
    <w:rsid w:val="00F40069"/>
    <w:rsid w:val="00F6021C"/>
    <w:rsid w:val="00F74D2C"/>
    <w:rsid w:val="00F77903"/>
    <w:rsid w:val="00F92E37"/>
    <w:rsid w:val="00FB66F6"/>
    <w:rsid w:val="00FC1A6C"/>
    <w:rsid w:val="00FD087F"/>
    <w:rsid w:val="00FD093E"/>
    <w:rsid w:val="00FD6A67"/>
    <w:rsid w:val="00FF1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C13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D4F"/>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DF1163"/>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D4F"/>
    <w:pPr>
      <w:tabs>
        <w:tab w:val="center" w:pos="4513"/>
        <w:tab w:val="right" w:pos="9026"/>
      </w:tabs>
    </w:pPr>
  </w:style>
  <w:style w:type="character" w:customStyle="1" w:styleId="HeaderChar">
    <w:name w:val="Header Char"/>
    <w:basedOn w:val="DefaultParagraphFont"/>
    <w:link w:val="Header"/>
    <w:uiPriority w:val="99"/>
    <w:rsid w:val="00DE7D4F"/>
  </w:style>
  <w:style w:type="paragraph" w:styleId="Footer">
    <w:name w:val="footer"/>
    <w:basedOn w:val="Normal"/>
    <w:link w:val="FooterChar"/>
    <w:uiPriority w:val="99"/>
    <w:unhideWhenUsed/>
    <w:rsid w:val="00DE7D4F"/>
    <w:pPr>
      <w:tabs>
        <w:tab w:val="center" w:pos="4513"/>
        <w:tab w:val="right" w:pos="9026"/>
      </w:tabs>
    </w:pPr>
  </w:style>
  <w:style w:type="character" w:customStyle="1" w:styleId="FooterChar">
    <w:name w:val="Footer Char"/>
    <w:basedOn w:val="DefaultParagraphFont"/>
    <w:link w:val="Footer"/>
    <w:uiPriority w:val="99"/>
    <w:rsid w:val="00DE7D4F"/>
  </w:style>
  <w:style w:type="paragraph" w:styleId="ListParagraph">
    <w:name w:val="List Paragraph"/>
    <w:basedOn w:val="Normal"/>
    <w:uiPriority w:val="1"/>
    <w:qFormat/>
    <w:rsid w:val="00DE7D4F"/>
    <w:pPr>
      <w:spacing w:before="141"/>
      <w:ind w:left="1180" w:hanging="227"/>
    </w:pPr>
  </w:style>
  <w:style w:type="character" w:styleId="SubtleReference">
    <w:name w:val="Subtle Reference"/>
    <w:basedOn w:val="DefaultParagraphFont"/>
    <w:uiPriority w:val="31"/>
    <w:qFormat/>
    <w:rsid w:val="00CC1FE7"/>
    <w:rPr>
      <w:smallCaps/>
      <w:color w:val="5A5A5A" w:themeColor="text1" w:themeTint="A5"/>
    </w:rPr>
  </w:style>
  <w:style w:type="character" w:styleId="CommentReference">
    <w:name w:val="annotation reference"/>
    <w:basedOn w:val="DefaultParagraphFont"/>
    <w:uiPriority w:val="99"/>
    <w:semiHidden/>
    <w:unhideWhenUsed/>
    <w:rsid w:val="006F32BD"/>
    <w:rPr>
      <w:sz w:val="16"/>
      <w:szCs w:val="16"/>
    </w:rPr>
  </w:style>
  <w:style w:type="paragraph" w:styleId="CommentText">
    <w:name w:val="annotation text"/>
    <w:basedOn w:val="Normal"/>
    <w:link w:val="CommentTextChar"/>
    <w:uiPriority w:val="99"/>
    <w:semiHidden/>
    <w:unhideWhenUsed/>
    <w:rsid w:val="006F32BD"/>
    <w:rPr>
      <w:sz w:val="20"/>
      <w:szCs w:val="20"/>
    </w:rPr>
  </w:style>
  <w:style w:type="character" w:customStyle="1" w:styleId="CommentTextChar">
    <w:name w:val="Comment Text Char"/>
    <w:basedOn w:val="DefaultParagraphFont"/>
    <w:link w:val="CommentText"/>
    <w:uiPriority w:val="99"/>
    <w:semiHidden/>
    <w:rsid w:val="006F32BD"/>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6F32BD"/>
    <w:rPr>
      <w:b/>
      <w:bCs/>
    </w:rPr>
  </w:style>
  <w:style w:type="character" w:customStyle="1" w:styleId="CommentSubjectChar">
    <w:name w:val="Comment Subject Char"/>
    <w:basedOn w:val="CommentTextChar"/>
    <w:link w:val="CommentSubject"/>
    <w:uiPriority w:val="99"/>
    <w:semiHidden/>
    <w:rsid w:val="006F32BD"/>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6F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2BD"/>
    <w:rPr>
      <w:rFonts w:ascii="Segoe UI" w:eastAsia="Calibri" w:hAnsi="Segoe UI" w:cs="Segoe UI"/>
      <w:sz w:val="18"/>
      <w:szCs w:val="18"/>
      <w:lang w:val="en-US"/>
    </w:rPr>
  </w:style>
  <w:style w:type="character" w:styleId="BookTitle">
    <w:name w:val="Book Title"/>
    <w:basedOn w:val="DefaultParagraphFont"/>
    <w:uiPriority w:val="33"/>
    <w:qFormat/>
    <w:rsid w:val="00652F46"/>
    <w:rPr>
      <w:b/>
      <w:bCs/>
      <w:i/>
      <w:iCs/>
      <w:spacing w:val="5"/>
    </w:rPr>
  </w:style>
  <w:style w:type="table" w:styleId="TableGrid">
    <w:name w:val="Table Grid"/>
    <w:basedOn w:val="TableNormal"/>
    <w:uiPriority w:val="39"/>
    <w:rsid w:val="00D76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163"/>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53234">
      <w:bodyDiv w:val="1"/>
      <w:marLeft w:val="0"/>
      <w:marRight w:val="0"/>
      <w:marTop w:val="0"/>
      <w:marBottom w:val="0"/>
      <w:divBdr>
        <w:top w:val="none" w:sz="0" w:space="0" w:color="auto"/>
        <w:left w:val="none" w:sz="0" w:space="0" w:color="auto"/>
        <w:bottom w:val="none" w:sz="0" w:space="0" w:color="auto"/>
        <w:right w:val="none" w:sz="0" w:space="0" w:color="auto"/>
      </w:divBdr>
    </w:div>
    <w:div w:id="18645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7073</Characters>
  <Application>Microsoft Office Word</Application>
  <DocSecurity>0</DocSecurity>
  <Lines>261</Lines>
  <Paragraphs>62</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2022-08-19T02:05:00Z</dcterms:created>
  <dcterms:modified xsi:type="dcterms:W3CDTF">2022-08-19T02:05:00Z</dcterms:modified>
  <cp:category/>
</cp:coreProperties>
</file>