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5B3A2" w14:textId="58CF341A" w:rsidR="005714AD" w:rsidRPr="00186F26" w:rsidRDefault="00186F26" w:rsidP="00186F26">
      <w:pPr>
        <w:pStyle w:val="Heading1"/>
      </w:pPr>
      <w:r w:rsidRPr="00186F26">
        <w:t xml:space="preserve">Management </w:t>
      </w:r>
      <w:r w:rsidR="00252E46">
        <w:t>R</w:t>
      </w:r>
      <w:r w:rsidRPr="00186F26">
        <w:t xml:space="preserve">esponse </w:t>
      </w:r>
      <w:r w:rsidR="00F04CB8" w:rsidRPr="00186F26">
        <w:t xml:space="preserve">– </w:t>
      </w:r>
      <w:r w:rsidRPr="00186F26">
        <w:t xml:space="preserve">Australia-Papua New Guinea Economic Partnership (APEP) </w:t>
      </w:r>
      <w:r w:rsidR="00252E46">
        <w:t>M</w:t>
      </w:r>
      <w:r w:rsidRPr="00186F26">
        <w:t>id-</w:t>
      </w:r>
      <w:r w:rsidR="00252E46">
        <w:t>T</w:t>
      </w:r>
      <w:r w:rsidRPr="00186F26">
        <w:t xml:space="preserve">erm </w:t>
      </w:r>
      <w:r w:rsidR="00252E46">
        <w:t>R</w:t>
      </w:r>
      <w:r w:rsidRPr="00186F26">
        <w:t>eview – June 2025</w:t>
      </w:r>
    </w:p>
    <w:p w14:paraId="0B1C999D" w14:textId="4CC9198D" w:rsidR="1AE0A534" w:rsidRDefault="7A6FEA5B">
      <w:r>
        <w:t>This document outlines DFAT manag</w:t>
      </w:r>
      <w:r w:rsidR="47A6E0CB">
        <w:t>e</w:t>
      </w:r>
      <w:r>
        <w:t>ment’s response to</w:t>
      </w:r>
      <w:r w:rsidR="1AE0A534">
        <w:t xml:space="preserve"> the independent </w:t>
      </w:r>
      <w:r>
        <w:t>mid-term review of the Australia-Papua New Guinea Economic Partnership (</w:t>
      </w:r>
      <w:r w:rsidR="1AE0A534">
        <w:t>APEP</w:t>
      </w:r>
      <w:r>
        <w:t>) prepared by Palladium Pty Ltd in June 2025. It summarises the key recommen</w:t>
      </w:r>
      <w:r w:rsidR="2D50C8D5">
        <w:t>dations in the review and provides a response and proposed action. This document is not an exhaustive summary of all the review comments.</w:t>
      </w:r>
      <w:r w:rsidR="1AE0A534">
        <w:t xml:space="preserve"> The recommendations in full can be found on pages 6 – 12 of the </w:t>
      </w:r>
      <w:r w:rsidR="7D6FE35C">
        <w:t xml:space="preserve">mid-term review </w:t>
      </w:r>
      <w:r w:rsidR="56734D48">
        <w:t xml:space="preserve">report. </w:t>
      </w:r>
    </w:p>
    <w:tbl>
      <w:tblPr>
        <w:tblStyle w:val="TableGrid"/>
        <w:tblW w:w="15168" w:type="dxa"/>
        <w:tblInd w:w="-431" w:type="dxa"/>
        <w:tblLook w:val="04A0" w:firstRow="1" w:lastRow="0" w:firstColumn="1" w:lastColumn="0" w:noHBand="0" w:noVBand="1"/>
      </w:tblPr>
      <w:tblGrid>
        <w:gridCol w:w="6939"/>
        <w:gridCol w:w="1642"/>
        <w:gridCol w:w="5170"/>
        <w:gridCol w:w="1417"/>
      </w:tblGrid>
      <w:tr w:rsidR="00FC5FFD" w14:paraId="779001B0" w14:textId="202FCDA2" w:rsidTr="00186F26">
        <w:trPr>
          <w:trHeight w:val="884"/>
          <w:tblHeader/>
        </w:trPr>
        <w:tc>
          <w:tcPr>
            <w:tcW w:w="6939" w:type="dxa"/>
            <w:shd w:val="clear" w:color="auto" w:fill="E8E8E8" w:themeFill="background2"/>
          </w:tcPr>
          <w:p w14:paraId="2847951C" w14:textId="7F4F0764" w:rsidR="00FC5FFD" w:rsidRPr="00E8466C" w:rsidRDefault="00FC5FFD">
            <w:pPr>
              <w:rPr>
                <w:b/>
                <w:bCs/>
              </w:rPr>
            </w:pPr>
            <w:r w:rsidRPr="00E8466C">
              <w:rPr>
                <w:b/>
                <w:bCs/>
              </w:rPr>
              <w:t>Recommendation</w:t>
            </w:r>
          </w:p>
        </w:tc>
        <w:tc>
          <w:tcPr>
            <w:tcW w:w="1642" w:type="dxa"/>
            <w:shd w:val="clear" w:color="auto" w:fill="E8E8E8" w:themeFill="background2"/>
          </w:tcPr>
          <w:p w14:paraId="5D301AE0" w14:textId="274D5C8E" w:rsidR="00FC5FFD" w:rsidRPr="00E8466C" w:rsidRDefault="00FC5FFD">
            <w:pPr>
              <w:rPr>
                <w:b/>
                <w:bCs/>
              </w:rPr>
            </w:pPr>
            <w:r w:rsidRPr="00E8466C">
              <w:rPr>
                <w:b/>
                <w:bCs/>
              </w:rPr>
              <w:t xml:space="preserve">DFAT Management Response </w:t>
            </w:r>
          </w:p>
        </w:tc>
        <w:tc>
          <w:tcPr>
            <w:tcW w:w="5170" w:type="dxa"/>
            <w:shd w:val="clear" w:color="auto" w:fill="E8E8E8" w:themeFill="background2"/>
          </w:tcPr>
          <w:p w14:paraId="1983FD10" w14:textId="262B0800" w:rsidR="00FC5FFD" w:rsidRPr="00E8466C" w:rsidRDefault="00FC5FFD">
            <w:pPr>
              <w:rPr>
                <w:b/>
                <w:bCs/>
              </w:rPr>
            </w:pPr>
            <w:r w:rsidRPr="00E8466C">
              <w:rPr>
                <w:b/>
                <w:bCs/>
              </w:rPr>
              <w:t xml:space="preserve">Action Plan </w:t>
            </w:r>
          </w:p>
        </w:tc>
        <w:tc>
          <w:tcPr>
            <w:tcW w:w="1417" w:type="dxa"/>
            <w:shd w:val="clear" w:color="auto" w:fill="E8E8E8" w:themeFill="background2"/>
          </w:tcPr>
          <w:p w14:paraId="64F08442" w14:textId="45DEB254" w:rsidR="00FC5FFD" w:rsidRPr="00E8466C" w:rsidRDefault="00FC5FFD">
            <w:pPr>
              <w:rPr>
                <w:b/>
                <w:bCs/>
              </w:rPr>
            </w:pPr>
            <w:r w:rsidRPr="00E8466C">
              <w:rPr>
                <w:b/>
                <w:bCs/>
              </w:rPr>
              <w:t>Timeframe</w:t>
            </w:r>
          </w:p>
        </w:tc>
      </w:tr>
      <w:tr w:rsidR="00FC5FFD" w14:paraId="33980BF1" w14:textId="4E9CD5BC" w:rsidTr="08A07A11">
        <w:trPr>
          <w:trHeight w:val="289"/>
        </w:trPr>
        <w:tc>
          <w:tcPr>
            <w:tcW w:w="6939" w:type="dxa"/>
          </w:tcPr>
          <w:p w14:paraId="5C31EE69" w14:textId="54518062" w:rsidR="00FC5FFD" w:rsidRPr="00B723B1" w:rsidRDefault="6728A91F" w:rsidP="00BB01AC">
            <w:pPr>
              <w:pStyle w:val="ListParagraph"/>
              <w:numPr>
                <w:ilvl w:val="0"/>
                <w:numId w:val="21"/>
              </w:numPr>
              <w:rPr>
                <w:u w:val="single"/>
              </w:rPr>
            </w:pPr>
            <w:r w:rsidRPr="00BB01AC">
              <w:rPr>
                <w:u w:val="single"/>
              </w:rPr>
              <w:t xml:space="preserve">Effectiveness: </w:t>
            </w:r>
            <w:r w:rsidR="00FC5FFD" w:rsidRPr="00B723B1">
              <w:rPr>
                <w:u w:val="single"/>
              </w:rPr>
              <w:t>APEP should completely rebuild its programme strategy over the next six months</w:t>
            </w:r>
          </w:p>
          <w:p w14:paraId="40933803" w14:textId="341DABED" w:rsidR="00FC5FFD" w:rsidRDefault="00FC5FFD" w:rsidP="000A20E9">
            <w:pPr>
              <w:pStyle w:val="ListParagraph"/>
              <w:numPr>
                <w:ilvl w:val="0"/>
                <w:numId w:val="9"/>
              </w:numPr>
              <w:ind w:left="473"/>
            </w:pPr>
            <w:r w:rsidRPr="1EFE80D9">
              <w:t>Reconstruct APEP’s overarching programme logic</w:t>
            </w:r>
            <w:r w:rsidR="000A20E9">
              <w:t>.</w:t>
            </w:r>
          </w:p>
          <w:p w14:paraId="3EF347AB" w14:textId="7159712C" w:rsidR="00FC5FFD" w:rsidRDefault="00FC5FFD" w:rsidP="000A20E9">
            <w:pPr>
              <w:pStyle w:val="ListParagraph"/>
              <w:numPr>
                <w:ilvl w:val="0"/>
                <w:numId w:val="9"/>
              </w:numPr>
              <w:ind w:left="473"/>
            </w:pPr>
            <w:r w:rsidRPr="21E8ECAA">
              <w:t>Shared Theory of Change</w:t>
            </w:r>
            <w:r w:rsidR="00506AE8">
              <w:t xml:space="preserve"> with APEP and DFAT</w:t>
            </w:r>
            <w:r w:rsidR="000A20E9">
              <w:t>.</w:t>
            </w:r>
          </w:p>
          <w:p w14:paraId="6653BDED" w14:textId="2C35E48E" w:rsidR="00FC5FFD" w:rsidRDefault="00FC5FFD" w:rsidP="000A20E9">
            <w:pPr>
              <w:pStyle w:val="ListParagraph"/>
              <w:numPr>
                <w:ilvl w:val="0"/>
                <w:numId w:val="9"/>
              </w:numPr>
              <w:ind w:left="473"/>
            </w:pPr>
            <w:r w:rsidRPr="36687F1A">
              <w:t>Development of a Performance Assessment Framework (PAF) that clearly links intermediate outcomes to measurable indicators, milestones and learning mechanisms</w:t>
            </w:r>
            <w:r w:rsidR="000A20E9">
              <w:t>.</w:t>
            </w:r>
          </w:p>
          <w:p w14:paraId="6A9DA396" w14:textId="2A8DDC53" w:rsidR="00FC5FFD" w:rsidRDefault="00FC5FFD" w:rsidP="000A20E9">
            <w:pPr>
              <w:pStyle w:val="ListParagraph"/>
              <w:numPr>
                <w:ilvl w:val="0"/>
                <w:numId w:val="9"/>
              </w:numPr>
              <w:ind w:left="473"/>
            </w:pPr>
            <w:r w:rsidRPr="36687F1A">
              <w:t>Pillar-level strategies should complement each other rather than overlap</w:t>
            </w:r>
            <w:r w:rsidR="000A20E9">
              <w:t>.</w:t>
            </w:r>
          </w:p>
        </w:tc>
        <w:tc>
          <w:tcPr>
            <w:tcW w:w="1642" w:type="dxa"/>
            <w:shd w:val="clear" w:color="auto" w:fill="92D050"/>
          </w:tcPr>
          <w:p w14:paraId="3C99AC00" w14:textId="5DF6E1C0" w:rsidR="00FC5FFD" w:rsidRDefault="00363DBA">
            <w:r>
              <w:t>Agree</w:t>
            </w:r>
          </w:p>
        </w:tc>
        <w:tc>
          <w:tcPr>
            <w:tcW w:w="5170" w:type="dxa"/>
          </w:tcPr>
          <w:p w14:paraId="0024B0FB" w14:textId="1A6B1FBC" w:rsidR="00FC5FFD" w:rsidRDefault="0081161A" w:rsidP="00D34335">
            <w:pPr>
              <w:pStyle w:val="ListParagraph"/>
              <w:numPr>
                <w:ilvl w:val="0"/>
                <w:numId w:val="11"/>
              </w:numPr>
            </w:pPr>
            <w:r>
              <w:t>DFAT to organise</w:t>
            </w:r>
            <w:r w:rsidR="00303552">
              <w:t xml:space="preserve"> Theory of Change </w:t>
            </w:r>
            <w:r w:rsidR="685505BA">
              <w:t>w</w:t>
            </w:r>
            <w:r w:rsidR="00303552">
              <w:t>orkshop</w:t>
            </w:r>
            <w:r w:rsidR="00E74C84">
              <w:t>.</w:t>
            </w:r>
          </w:p>
          <w:p w14:paraId="41A7A653" w14:textId="3156365D" w:rsidR="00303552" w:rsidRDefault="00303552" w:rsidP="00D34335">
            <w:pPr>
              <w:pStyle w:val="ListParagraph"/>
              <w:numPr>
                <w:ilvl w:val="0"/>
                <w:numId w:val="11"/>
              </w:numPr>
            </w:pPr>
            <w:r>
              <w:t>DFAT and APEP</w:t>
            </w:r>
            <w:r w:rsidR="25AD46E8">
              <w:t xml:space="preserve"> </w:t>
            </w:r>
            <w:r w:rsidR="46551BFD">
              <w:t xml:space="preserve">Pillar Leads </w:t>
            </w:r>
            <w:r w:rsidR="25AD46E8">
              <w:t xml:space="preserve">to refresh </w:t>
            </w:r>
            <w:r w:rsidR="00CC6E29">
              <w:t>pillar strateg</w:t>
            </w:r>
            <w:r w:rsidR="4CBB69FF">
              <w:t xml:space="preserve">ies. </w:t>
            </w:r>
          </w:p>
          <w:p w14:paraId="6E68552A" w14:textId="670D5F28" w:rsidR="00CC6E29" w:rsidRDefault="0081161A" w:rsidP="00E92959">
            <w:pPr>
              <w:pStyle w:val="ListParagraph"/>
              <w:numPr>
                <w:ilvl w:val="0"/>
                <w:numId w:val="11"/>
              </w:numPr>
            </w:pPr>
            <w:r>
              <w:t xml:space="preserve">DFAT to </w:t>
            </w:r>
            <w:r w:rsidR="624D2581">
              <w:t>work with APEP on</w:t>
            </w:r>
            <w:r>
              <w:t xml:space="preserve"> </w:t>
            </w:r>
            <w:r w:rsidR="00CC6E29">
              <w:t>new pillar strategies</w:t>
            </w:r>
            <w:r w:rsidR="00E92959">
              <w:t xml:space="preserve"> and ensure strategies provide sufficient guidance around activity selection</w:t>
            </w:r>
            <w:r w:rsidR="000A20E9">
              <w:t xml:space="preserve"> - </w:t>
            </w:r>
            <w:r w:rsidR="00E92959">
              <w:t>linking activities with intermediate outcomes.</w:t>
            </w:r>
          </w:p>
        </w:tc>
        <w:tc>
          <w:tcPr>
            <w:tcW w:w="1417" w:type="dxa"/>
          </w:tcPr>
          <w:p w14:paraId="71C05A18" w14:textId="6ED9FE3A" w:rsidR="00FC5FFD" w:rsidRDefault="00664393">
            <w:r>
              <w:t>August 2025</w:t>
            </w:r>
          </w:p>
        </w:tc>
      </w:tr>
      <w:tr w:rsidR="00FC5FFD" w14:paraId="19D34718" w14:textId="477D1414" w:rsidTr="08A07A11">
        <w:trPr>
          <w:trHeight w:val="304"/>
        </w:trPr>
        <w:tc>
          <w:tcPr>
            <w:tcW w:w="6939" w:type="dxa"/>
          </w:tcPr>
          <w:p w14:paraId="68A467B7" w14:textId="0E6232DC" w:rsidR="00FC5FFD" w:rsidRPr="00B723B1" w:rsidRDefault="7EA0D12B" w:rsidP="00BB01AC">
            <w:pPr>
              <w:pStyle w:val="ListParagraph"/>
              <w:numPr>
                <w:ilvl w:val="0"/>
                <w:numId w:val="21"/>
              </w:numPr>
              <w:rPr>
                <w:u w:val="single"/>
              </w:rPr>
            </w:pPr>
            <w:r w:rsidRPr="00BB01AC">
              <w:rPr>
                <w:u w:val="single"/>
              </w:rPr>
              <w:t xml:space="preserve">Effectiveness: </w:t>
            </w:r>
            <w:r w:rsidR="00FC5FFD" w:rsidRPr="00B723B1">
              <w:rPr>
                <w:u w:val="single"/>
              </w:rPr>
              <w:t xml:space="preserve">APEP should strengthen its technical leadership through the employment of subject matters experts </w:t>
            </w:r>
          </w:p>
          <w:p w14:paraId="7B06D485" w14:textId="3CC7EC00" w:rsidR="00FC5FFD" w:rsidRDefault="00FC5FFD" w:rsidP="000A20E9">
            <w:pPr>
              <w:pStyle w:val="ListParagraph"/>
              <w:numPr>
                <w:ilvl w:val="0"/>
                <w:numId w:val="8"/>
              </w:numPr>
              <w:ind w:left="473"/>
            </w:pPr>
            <w:r w:rsidRPr="21E8ECAA">
              <w:t>Restructure pillar leadership</w:t>
            </w:r>
            <w:r w:rsidR="00A207C0">
              <w:t>.</w:t>
            </w:r>
          </w:p>
          <w:p w14:paraId="7A15BD48" w14:textId="5CB58906" w:rsidR="00FC5FFD" w:rsidRDefault="00FC5FFD" w:rsidP="000A20E9">
            <w:pPr>
              <w:pStyle w:val="ListParagraph"/>
              <w:numPr>
                <w:ilvl w:val="0"/>
                <w:numId w:val="8"/>
              </w:numPr>
              <w:ind w:left="473"/>
            </w:pPr>
            <w:r w:rsidRPr="21E8ECAA">
              <w:t>Recruit specialists with stronger alignment to the programme’s core technical mandates</w:t>
            </w:r>
            <w:r w:rsidR="00A207C0">
              <w:t>.</w:t>
            </w:r>
          </w:p>
          <w:p w14:paraId="10E0E9A1" w14:textId="65DE7853" w:rsidR="00FC5FFD" w:rsidRDefault="69FB2433" w:rsidP="000A20E9">
            <w:pPr>
              <w:pStyle w:val="ListParagraph"/>
              <w:numPr>
                <w:ilvl w:val="0"/>
                <w:numId w:val="8"/>
              </w:numPr>
              <w:ind w:left="473"/>
            </w:pPr>
            <w:r>
              <w:t>Build</w:t>
            </w:r>
            <w:r w:rsidR="00FC5FFD" w:rsidRPr="21E8ECAA">
              <w:t xml:space="preserve"> cross-pillar coordination capacity through regular joint planning forums, shared outcome reporting and collaborative workplans</w:t>
            </w:r>
            <w:r w:rsidR="00A207C0">
              <w:t>.</w:t>
            </w:r>
          </w:p>
          <w:p w14:paraId="6B0EF4BD" w14:textId="1E54E00C" w:rsidR="00FC5FFD" w:rsidRDefault="00FC5FFD" w:rsidP="000A20E9">
            <w:pPr>
              <w:pStyle w:val="ListParagraph"/>
              <w:numPr>
                <w:ilvl w:val="0"/>
                <w:numId w:val="8"/>
              </w:numPr>
              <w:ind w:left="473"/>
            </w:pPr>
            <w:r w:rsidRPr="21E8ECAA">
              <w:lastRenderedPageBreak/>
              <w:t>Invest in high-level development effectiveness and performance expertise to drive this type of cross-pillar collaboration and coherence</w:t>
            </w:r>
            <w:r w:rsidR="00A207C0">
              <w:t>.</w:t>
            </w:r>
          </w:p>
        </w:tc>
        <w:tc>
          <w:tcPr>
            <w:tcW w:w="1642" w:type="dxa"/>
            <w:shd w:val="clear" w:color="auto" w:fill="92D050"/>
          </w:tcPr>
          <w:p w14:paraId="37CFEED9" w14:textId="45049757" w:rsidR="00FC5FFD" w:rsidRDefault="008C2237">
            <w:r>
              <w:lastRenderedPageBreak/>
              <w:t>Agree</w:t>
            </w:r>
          </w:p>
        </w:tc>
        <w:tc>
          <w:tcPr>
            <w:tcW w:w="5170" w:type="dxa"/>
          </w:tcPr>
          <w:p w14:paraId="4769DFE1" w14:textId="0E46FE00" w:rsidR="00FC5FFD" w:rsidRDefault="00396580" w:rsidP="00284D85">
            <w:pPr>
              <w:pStyle w:val="ListParagraph"/>
              <w:numPr>
                <w:ilvl w:val="0"/>
                <w:numId w:val="15"/>
              </w:numPr>
            </w:pPr>
            <w:r>
              <w:t>APEP to prioritise r</w:t>
            </w:r>
            <w:r w:rsidR="00284D85">
              <w:t xml:space="preserve">ecruitment of key personnel, </w:t>
            </w:r>
            <w:proofErr w:type="spellStart"/>
            <w:r w:rsidR="00284D85">
              <w:t>eg.</w:t>
            </w:r>
            <w:proofErr w:type="spellEnd"/>
            <w:r w:rsidR="00284D85">
              <w:t xml:space="preserve"> GEDSI specialist, MERLA specialist</w:t>
            </w:r>
          </w:p>
          <w:p w14:paraId="1F9610C5" w14:textId="31540C06" w:rsidR="00284D85" w:rsidRDefault="00396580" w:rsidP="00284D85">
            <w:pPr>
              <w:pStyle w:val="ListParagraph"/>
              <w:numPr>
                <w:ilvl w:val="0"/>
                <w:numId w:val="15"/>
              </w:numPr>
            </w:pPr>
            <w:r>
              <w:t>APEP to e</w:t>
            </w:r>
            <w:r w:rsidR="00FD689B">
              <w:t>stablish re</w:t>
            </w:r>
            <w:r w:rsidR="00E04BC2">
              <w:t>gular dialogues between pillar</w:t>
            </w:r>
            <w:r>
              <w:t xml:space="preserve"> leads</w:t>
            </w:r>
            <w:r w:rsidR="00B20DDC">
              <w:t>.</w:t>
            </w:r>
          </w:p>
          <w:p w14:paraId="3F0ABBCC" w14:textId="42A042F4" w:rsidR="00E04BC2" w:rsidRDefault="00396580" w:rsidP="00284D85">
            <w:pPr>
              <w:pStyle w:val="ListParagraph"/>
              <w:numPr>
                <w:ilvl w:val="0"/>
                <w:numId w:val="15"/>
              </w:numPr>
            </w:pPr>
            <w:r>
              <w:t>APEP to c</w:t>
            </w:r>
            <w:r w:rsidR="00E04BC2">
              <w:t>onsider larger cross-pillar interventions rather than siloed activities</w:t>
            </w:r>
            <w:r w:rsidR="00B20DDC">
              <w:t>.</w:t>
            </w:r>
          </w:p>
        </w:tc>
        <w:tc>
          <w:tcPr>
            <w:tcW w:w="1417" w:type="dxa"/>
          </w:tcPr>
          <w:p w14:paraId="247814F1" w14:textId="41DB2730" w:rsidR="00FC5FFD" w:rsidRDefault="0047378D">
            <w:r>
              <w:t>February 2026</w:t>
            </w:r>
          </w:p>
        </w:tc>
      </w:tr>
      <w:tr w:rsidR="00FC5FFD" w14:paraId="02DA634E" w14:textId="3D05BF07" w:rsidTr="08A07A11">
        <w:trPr>
          <w:trHeight w:val="289"/>
        </w:trPr>
        <w:tc>
          <w:tcPr>
            <w:tcW w:w="6939" w:type="dxa"/>
          </w:tcPr>
          <w:p w14:paraId="10052AD4" w14:textId="1FF2B8E9" w:rsidR="00FC5FFD" w:rsidRPr="00B723B1" w:rsidRDefault="15EF8AEF" w:rsidP="00BB01AC">
            <w:pPr>
              <w:pStyle w:val="ListParagraph"/>
              <w:numPr>
                <w:ilvl w:val="0"/>
                <w:numId w:val="21"/>
              </w:numPr>
              <w:rPr>
                <w:u w:val="single"/>
              </w:rPr>
            </w:pPr>
            <w:r w:rsidRPr="00BB01AC">
              <w:rPr>
                <w:u w:val="single"/>
              </w:rPr>
              <w:t xml:space="preserve">Sustainability: </w:t>
            </w:r>
            <w:r w:rsidR="00FC5FFD" w:rsidRPr="00B723B1">
              <w:rPr>
                <w:u w:val="single"/>
              </w:rPr>
              <w:t xml:space="preserve">APEP should take immediate steps to institutionalise its tools and practices within </w:t>
            </w:r>
            <w:r w:rsidR="00C23DFA">
              <w:rPr>
                <w:u w:val="single"/>
              </w:rPr>
              <w:t>Government of PNG</w:t>
            </w:r>
            <w:r w:rsidR="00FC5FFD" w:rsidRPr="00B723B1">
              <w:rPr>
                <w:u w:val="single"/>
              </w:rPr>
              <w:t xml:space="preserve"> agencies </w:t>
            </w:r>
          </w:p>
          <w:p w14:paraId="6DF57BD2" w14:textId="3DD16700" w:rsidR="00FC5FFD" w:rsidRPr="00C23DFA" w:rsidRDefault="00FC5FFD" w:rsidP="000A20E9">
            <w:pPr>
              <w:pStyle w:val="ListParagraph"/>
              <w:numPr>
                <w:ilvl w:val="0"/>
                <w:numId w:val="7"/>
              </w:numPr>
              <w:ind w:left="473"/>
            </w:pPr>
            <w:r w:rsidRPr="21E8ECAA">
              <w:t xml:space="preserve">Technical tools and models supported by APEP, particularly in macro-fiscal </w:t>
            </w:r>
            <w:r w:rsidRPr="00C23DFA">
              <w:t xml:space="preserve">forecasting and IFMS use, must be transitioned to </w:t>
            </w:r>
            <w:r w:rsidR="00C23DFA" w:rsidRPr="00C23DFA">
              <w:t xml:space="preserve">Government of PNG </w:t>
            </w:r>
            <w:r w:rsidRPr="00C23DFA">
              <w:t>ownership</w:t>
            </w:r>
          </w:p>
          <w:p w14:paraId="7600E475" w14:textId="14703E36" w:rsidR="00FC5FFD" w:rsidRDefault="00FC5FFD" w:rsidP="000A20E9">
            <w:pPr>
              <w:pStyle w:val="ListParagraph"/>
              <w:numPr>
                <w:ilvl w:val="0"/>
                <w:numId w:val="7"/>
              </w:numPr>
              <w:ind w:left="473"/>
            </w:pPr>
            <w:r w:rsidRPr="00C23DFA">
              <w:t>Development of user manuals</w:t>
            </w:r>
            <w:r w:rsidRPr="21E8ECAA">
              <w:t xml:space="preserve">, standard operating procedures and government-hosted training modules. </w:t>
            </w:r>
          </w:p>
          <w:p w14:paraId="1B3D2F02" w14:textId="1520E477" w:rsidR="00FC5FFD" w:rsidRDefault="00FC5FFD" w:rsidP="000A20E9">
            <w:pPr>
              <w:pStyle w:val="ListParagraph"/>
              <w:numPr>
                <w:ilvl w:val="0"/>
                <w:numId w:val="7"/>
              </w:numPr>
              <w:ind w:left="473"/>
            </w:pPr>
            <w:r w:rsidRPr="21E8ECAA">
              <w:t xml:space="preserve">Capacity transfer should be central to activity design and tracked through dedicated workstreams with measurable capacity </w:t>
            </w:r>
            <w:r w:rsidRPr="00C23DFA">
              <w:t xml:space="preserve">benchmarks for </w:t>
            </w:r>
            <w:r w:rsidR="00C23DFA" w:rsidRPr="00C23DFA">
              <w:t>Government of PNG</w:t>
            </w:r>
            <w:r w:rsidR="00C23DFA" w:rsidRPr="21E8ECAA">
              <w:t xml:space="preserve"> </w:t>
            </w:r>
            <w:r w:rsidRPr="21E8ECAA">
              <w:t>partners</w:t>
            </w:r>
            <w:r w:rsidR="00C23DFA">
              <w:t>.</w:t>
            </w:r>
          </w:p>
          <w:p w14:paraId="595B3038" w14:textId="068EA87A" w:rsidR="00FC5FFD" w:rsidRDefault="00FC5FFD" w:rsidP="000A20E9">
            <w:pPr>
              <w:pStyle w:val="ListParagraph"/>
              <w:numPr>
                <w:ilvl w:val="0"/>
                <w:numId w:val="7"/>
              </w:numPr>
              <w:ind w:left="473"/>
            </w:pPr>
            <w:r w:rsidRPr="21E8ECAA">
              <w:t>APEP should embed training and career pathways for PFM and fiscal analysts</w:t>
            </w:r>
          </w:p>
        </w:tc>
        <w:tc>
          <w:tcPr>
            <w:tcW w:w="1642" w:type="dxa"/>
            <w:shd w:val="clear" w:color="auto" w:fill="92D050"/>
          </w:tcPr>
          <w:p w14:paraId="1A55BFA5" w14:textId="152452C4" w:rsidR="00FC5FFD" w:rsidRDefault="008C2237">
            <w:r>
              <w:t>Agree</w:t>
            </w:r>
          </w:p>
        </w:tc>
        <w:tc>
          <w:tcPr>
            <w:tcW w:w="5170" w:type="dxa"/>
          </w:tcPr>
          <w:p w14:paraId="3ECF3C4B" w14:textId="743BD0D5" w:rsidR="00126921" w:rsidRDefault="00396580" w:rsidP="00126921">
            <w:pPr>
              <w:pStyle w:val="ListParagraph"/>
              <w:numPr>
                <w:ilvl w:val="0"/>
                <w:numId w:val="18"/>
              </w:numPr>
            </w:pPr>
            <w:r>
              <w:t xml:space="preserve">APEP to </w:t>
            </w:r>
            <w:r w:rsidR="00F351EE">
              <w:t>work with embedded advis</w:t>
            </w:r>
            <w:r w:rsidR="00BC2D25">
              <w:t>e</w:t>
            </w:r>
            <w:r w:rsidR="00F351EE">
              <w:t xml:space="preserve">rs </w:t>
            </w:r>
            <w:r w:rsidR="00D855A0">
              <w:t xml:space="preserve">to </w:t>
            </w:r>
            <w:r>
              <w:t>d</w:t>
            </w:r>
            <w:r w:rsidR="00E04BC2" w:rsidRPr="21E8ECAA">
              <w:t>evelo</w:t>
            </w:r>
            <w:r w:rsidR="00E04BC2">
              <w:t>p</w:t>
            </w:r>
            <w:r w:rsidR="00E04BC2" w:rsidRPr="21E8ECAA">
              <w:t xml:space="preserve"> user manuals, standard operating procedures</w:t>
            </w:r>
            <w:r w:rsidR="00F04CB8">
              <w:t>,</w:t>
            </w:r>
            <w:r w:rsidR="00E04BC2" w:rsidRPr="21E8ECAA">
              <w:t xml:space="preserve"> and government-hosted training modules. </w:t>
            </w:r>
          </w:p>
          <w:p w14:paraId="5D626A2B" w14:textId="777EE852" w:rsidR="00E04BC2" w:rsidRDefault="00A13D96" w:rsidP="00126921">
            <w:pPr>
              <w:pStyle w:val="ListParagraph"/>
              <w:numPr>
                <w:ilvl w:val="0"/>
                <w:numId w:val="18"/>
              </w:numPr>
            </w:pPr>
            <w:r>
              <w:t>APEP to e</w:t>
            </w:r>
            <w:r w:rsidR="00E4097D">
              <w:t xml:space="preserve">stablish regular training sessions and capacity transfer opportunities </w:t>
            </w:r>
            <w:r w:rsidR="00B20DDC">
              <w:t xml:space="preserve">with measurable capacity benchmarks. </w:t>
            </w:r>
          </w:p>
          <w:p w14:paraId="3A9A03C3" w14:textId="1811B3BC" w:rsidR="3F769A3B" w:rsidRDefault="3F769A3B" w:rsidP="22F566F4">
            <w:pPr>
              <w:pStyle w:val="ListParagraph"/>
              <w:numPr>
                <w:ilvl w:val="0"/>
                <w:numId w:val="18"/>
              </w:numPr>
            </w:pPr>
            <w:r>
              <w:t>APEP to develop a capacity development strategy and ensure all long-term advisory support includes a clear, measurable capacity building focus.</w:t>
            </w:r>
          </w:p>
          <w:p w14:paraId="66A5D49C" w14:textId="77777777" w:rsidR="00FC5FFD" w:rsidRDefault="00FC5FFD"/>
        </w:tc>
        <w:tc>
          <w:tcPr>
            <w:tcW w:w="1417" w:type="dxa"/>
          </w:tcPr>
          <w:p w14:paraId="207E3B99" w14:textId="20D826A1" w:rsidR="00FC5FFD" w:rsidRDefault="00676D73">
            <w:r>
              <w:t>February 2026</w:t>
            </w:r>
          </w:p>
        </w:tc>
      </w:tr>
      <w:tr w:rsidR="00FC5FFD" w14:paraId="5777971F" w14:textId="56E59534" w:rsidTr="08A07A11">
        <w:trPr>
          <w:trHeight w:val="289"/>
        </w:trPr>
        <w:tc>
          <w:tcPr>
            <w:tcW w:w="6939" w:type="dxa"/>
          </w:tcPr>
          <w:p w14:paraId="12D93D9F" w14:textId="778C8223" w:rsidR="00FC5FFD" w:rsidRPr="00B723B1" w:rsidRDefault="4CC42405" w:rsidP="00BB01AC">
            <w:pPr>
              <w:pStyle w:val="ListParagraph"/>
              <w:numPr>
                <w:ilvl w:val="0"/>
                <w:numId w:val="21"/>
              </w:numPr>
              <w:ind w:left="417"/>
              <w:rPr>
                <w:u w:val="single"/>
              </w:rPr>
            </w:pPr>
            <w:r w:rsidRPr="22F566F4">
              <w:rPr>
                <w:u w:val="single"/>
              </w:rPr>
              <w:t xml:space="preserve">Efficiency: </w:t>
            </w:r>
            <w:r w:rsidR="00FC5FFD" w:rsidRPr="00B723B1">
              <w:rPr>
                <w:u w:val="single"/>
              </w:rPr>
              <w:t xml:space="preserve">APEP should rationalise its delivery model </w:t>
            </w:r>
          </w:p>
          <w:p w14:paraId="090E2CE7" w14:textId="1DC12645" w:rsidR="00FC5FFD" w:rsidRDefault="00FC5FFD" w:rsidP="000A20E9">
            <w:pPr>
              <w:pStyle w:val="ListParagraph"/>
              <w:numPr>
                <w:ilvl w:val="0"/>
                <w:numId w:val="6"/>
              </w:numPr>
              <w:ind w:left="473"/>
            </w:pPr>
            <w:r w:rsidRPr="21E8ECAA">
              <w:t>APEP should concentrate on fewer, high-impact interventions that are scalable and strategically aligned with national reform priorities.</w:t>
            </w:r>
          </w:p>
          <w:p w14:paraId="10020242" w14:textId="7C38FBC2" w:rsidR="00FC5FFD" w:rsidRDefault="00FC5FFD" w:rsidP="000A20E9">
            <w:pPr>
              <w:pStyle w:val="ListParagraph"/>
              <w:numPr>
                <w:ilvl w:val="0"/>
                <w:numId w:val="6"/>
              </w:numPr>
              <w:ind w:left="473"/>
            </w:pPr>
            <w:r w:rsidRPr="21E8ECAA">
              <w:t>Internal operations must be streamlined</w:t>
            </w:r>
            <w:r w:rsidR="003E58F5">
              <w:t>.</w:t>
            </w:r>
          </w:p>
          <w:p w14:paraId="08F56CB4" w14:textId="79B0E15C" w:rsidR="00FC5FFD" w:rsidRDefault="00FC5FFD" w:rsidP="000A20E9">
            <w:pPr>
              <w:pStyle w:val="ListParagraph"/>
              <w:numPr>
                <w:ilvl w:val="0"/>
                <w:numId w:val="6"/>
              </w:numPr>
              <w:ind w:left="473"/>
            </w:pPr>
            <w:r w:rsidRPr="21E8ECAA">
              <w:t xml:space="preserve">APEP should reform its operational model to ensure that pillar leads have greater oversight and access to procurement, HR and contracting systems. </w:t>
            </w:r>
          </w:p>
          <w:p w14:paraId="0F2059C4" w14:textId="27A09466" w:rsidR="00FC5FFD" w:rsidRDefault="00FC5FFD" w:rsidP="000A20E9">
            <w:pPr>
              <w:pStyle w:val="ListParagraph"/>
              <w:numPr>
                <w:ilvl w:val="0"/>
                <w:numId w:val="6"/>
              </w:numPr>
              <w:ind w:left="473"/>
            </w:pPr>
            <w:r w:rsidRPr="21E8ECAA">
              <w:t>APEP should review whether its current delivery model remans viable in a programme of this scale and complexity</w:t>
            </w:r>
            <w:r w:rsidR="005A1552">
              <w:t>.</w:t>
            </w:r>
          </w:p>
        </w:tc>
        <w:tc>
          <w:tcPr>
            <w:tcW w:w="1642" w:type="dxa"/>
            <w:shd w:val="clear" w:color="auto" w:fill="92D050"/>
          </w:tcPr>
          <w:p w14:paraId="6720710C" w14:textId="24CB88A0" w:rsidR="00FC5FFD" w:rsidRDefault="001C1DC6">
            <w:r>
              <w:t>Agree</w:t>
            </w:r>
          </w:p>
        </w:tc>
        <w:tc>
          <w:tcPr>
            <w:tcW w:w="5170" w:type="dxa"/>
          </w:tcPr>
          <w:p w14:paraId="49879DB1" w14:textId="21649517" w:rsidR="00EC355F" w:rsidRDefault="007D3799" w:rsidP="00973867">
            <w:pPr>
              <w:pStyle w:val="ListParagraph"/>
              <w:numPr>
                <w:ilvl w:val="0"/>
                <w:numId w:val="16"/>
              </w:numPr>
            </w:pPr>
            <w:r>
              <w:t>APEP and DFAT to i</w:t>
            </w:r>
            <w:r w:rsidR="00973867">
              <w:t>dentify a c</w:t>
            </w:r>
            <w:r w:rsidR="00973867" w:rsidRPr="00973867">
              <w:t>lear set of priority are</w:t>
            </w:r>
            <w:r w:rsidR="00973867" w:rsidRPr="00C23DFA">
              <w:t>as in consultation with</w:t>
            </w:r>
            <w:r w:rsidRPr="00C23DFA">
              <w:t xml:space="preserve"> </w:t>
            </w:r>
            <w:r w:rsidR="00C23DFA" w:rsidRPr="00C23DFA">
              <w:t>Government of PNG</w:t>
            </w:r>
            <w:r w:rsidR="00973867" w:rsidRPr="00C23DFA">
              <w:t>, with</w:t>
            </w:r>
            <w:r w:rsidR="00973867" w:rsidRPr="00973867">
              <w:t xml:space="preserve"> a shift toward more programmatic, bundled interventions</w:t>
            </w:r>
            <w:r w:rsidR="00973867">
              <w:t xml:space="preserve">. </w:t>
            </w:r>
          </w:p>
          <w:p w14:paraId="75E28560" w14:textId="71072DA1" w:rsidR="00973867" w:rsidRDefault="007D3799" w:rsidP="00973867">
            <w:pPr>
              <w:pStyle w:val="ListParagraph"/>
              <w:numPr>
                <w:ilvl w:val="0"/>
                <w:numId w:val="16"/>
              </w:numPr>
            </w:pPr>
            <w:r>
              <w:t>APEP to d</w:t>
            </w:r>
            <w:r w:rsidR="001C7116" w:rsidRPr="001C7116">
              <w:t>evelop APEP-specific operational dashboards that display progress against key service delivery metrics</w:t>
            </w:r>
            <w:r>
              <w:t xml:space="preserve"> for shared services</w:t>
            </w:r>
            <w:r w:rsidR="00B03626">
              <w:t xml:space="preserve"> operations</w:t>
            </w:r>
            <w:r w:rsidR="001C7116" w:rsidRPr="001C7116">
              <w:t>.</w:t>
            </w:r>
          </w:p>
          <w:p w14:paraId="629DB6B8" w14:textId="65DDD951" w:rsidR="001C7116" w:rsidRDefault="001C7116" w:rsidP="00973867">
            <w:pPr>
              <w:pStyle w:val="ListParagraph"/>
              <w:numPr>
                <w:ilvl w:val="0"/>
                <w:numId w:val="16"/>
              </w:numPr>
            </w:pPr>
            <w:r w:rsidRPr="001C7116">
              <w:rPr>
                <w:lang w:val="en-GB"/>
              </w:rPr>
              <w:t>Link service KPIs with programme delivery milestones.</w:t>
            </w:r>
            <w:r w:rsidRPr="001C7116">
              <w:t> </w:t>
            </w:r>
          </w:p>
        </w:tc>
        <w:tc>
          <w:tcPr>
            <w:tcW w:w="1417" w:type="dxa"/>
          </w:tcPr>
          <w:p w14:paraId="4099D9D0" w14:textId="4EFC9518" w:rsidR="00FC5FFD" w:rsidRDefault="005A0974">
            <w:r>
              <w:t>January 2026</w:t>
            </w:r>
          </w:p>
        </w:tc>
      </w:tr>
    </w:tbl>
    <w:p w14:paraId="51638F9A" w14:textId="77777777" w:rsidR="004C1627" w:rsidRDefault="004C1627">
      <w:r>
        <w:br w:type="page"/>
      </w:r>
    </w:p>
    <w:tbl>
      <w:tblPr>
        <w:tblStyle w:val="TableGrid"/>
        <w:tblW w:w="15168" w:type="dxa"/>
        <w:tblInd w:w="-431" w:type="dxa"/>
        <w:tblLook w:val="04A0" w:firstRow="1" w:lastRow="0" w:firstColumn="1" w:lastColumn="0" w:noHBand="0" w:noVBand="1"/>
      </w:tblPr>
      <w:tblGrid>
        <w:gridCol w:w="6939"/>
        <w:gridCol w:w="1725"/>
        <w:gridCol w:w="5087"/>
        <w:gridCol w:w="1417"/>
      </w:tblGrid>
      <w:tr w:rsidR="005B0ABF" w14:paraId="3B9A76A7" w14:textId="77777777" w:rsidTr="08A07A11">
        <w:trPr>
          <w:trHeight w:val="289"/>
        </w:trPr>
        <w:tc>
          <w:tcPr>
            <w:tcW w:w="6939" w:type="dxa"/>
          </w:tcPr>
          <w:p w14:paraId="6AE7C47F" w14:textId="73D51A6C" w:rsidR="005B0ABF" w:rsidRPr="00B723B1" w:rsidRDefault="005B0ABF" w:rsidP="00BB01AC">
            <w:pPr>
              <w:pStyle w:val="ListParagraph"/>
              <w:numPr>
                <w:ilvl w:val="0"/>
                <w:numId w:val="21"/>
              </w:numPr>
              <w:ind w:left="417"/>
              <w:rPr>
                <w:u w:val="single"/>
              </w:rPr>
            </w:pPr>
            <w:r w:rsidRPr="00B723B1">
              <w:rPr>
                <w:u w:val="single"/>
              </w:rPr>
              <w:lastRenderedPageBreak/>
              <w:t xml:space="preserve">APEP should enhance partnerships with civil society and academic partners, while strengthening M&amp;E and program-wide learning </w:t>
            </w:r>
          </w:p>
          <w:p w14:paraId="586A2436" w14:textId="77777777" w:rsidR="005B0ABF" w:rsidRDefault="005B0ABF" w:rsidP="005B0ABF">
            <w:pPr>
              <w:pStyle w:val="ListParagraph"/>
              <w:numPr>
                <w:ilvl w:val="0"/>
                <w:numId w:val="5"/>
              </w:numPr>
              <w:ind w:left="473"/>
            </w:pPr>
            <w:r w:rsidRPr="21E8ECAA">
              <w:t>APEP must restore meaningful engagement with civil society and academic partners and deepen engagement with the ANU-UPNG Partnership</w:t>
            </w:r>
            <w:r>
              <w:t>.</w:t>
            </w:r>
          </w:p>
          <w:p w14:paraId="7AFC10FE" w14:textId="77777777" w:rsidR="005B0ABF" w:rsidRDefault="005B0ABF" w:rsidP="005B0ABF">
            <w:pPr>
              <w:pStyle w:val="ListParagraph"/>
              <w:numPr>
                <w:ilvl w:val="0"/>
                <w:numId w:val="5"/>
              </w:numPr>
              <w:ind w:left="473"/>
            </w:pPr>
            <w:r w:rsidRPr="21E8ECAA">
              <w:t>Future partnerships should be co-designed, clearly scoped and embedded within pillar strategies</w:t>
            </w:r>
            <w:r>
              <w:t>.</w:t>
            </w:r>
          </w:p>
          <w:p w14:paraId="3C7A2E7F" w14:textId="77777777" w:rsidR="00BB01AC" w:rsidRDefault="005B0ABF" w:rsidP="00BB01AC">
            <w:pPr>
              <w:pStyle w:val="ListParagraph"/>
              <w:numPr>
                <w:ilvl w:val="0"/>
                <w:numId w:val="5"/>
              </w:numPr>
              <w:ind w:left="473"/>
            </w:pPr>
            <w:r w:rsidRPr="21E8ECAA">
              <w:t>APEP should treat GEDSI, MERLA and research outputs as core programmatic inputs rather than peripheral activities</w:t>
            </w:r>
          </w:p>
          <w:p w14:paraId="56ED2084" w14:textId="029F833B" w:rsidR="005B0ABF" w:rsidRPr="00BB01AC" w:rsidRDefault="005B0ABF" w:rsidP="00BB01AC">
            <w:pPr>
              <w:pStyle w:val="ListParagraph"/>
              <w:numPr>
                <w:ilvl w:val="0"/>
                <w:numId w:val="5"/>
              </w:numPr>
              <w:ind w:left="473"/>
            </w:pPr>
            <w:r w:rsidRPr="21E8ECAA">
              <w:t>APEP should reposition itself as a learning-driven facility with clear feedback loops and visible adaptation</w:t>
            </w:r>
            <w:r>
              <w:t>.</w:t>
            </w:r>
          </w:p>
        </w:tc>
        <w:tc>
          <w:tcPr>
            <w:tcW w:w="1725" w:type="dxa"/>
            <w:tcBorders>
              <w:bottom w:val="single" w:sz="4" w:space="0" w:color="auto"/>
            </w:tcBorders>
            <w:shd w:val="clear" w:color="auto" w:fill="92D050"/>
          </w:tcPr>
          <w:p w14:paraId="62054576" w14:textId="18B3FE1D" w:rsidR="005B0ABF" w:rsidRDefault="005B0ABF" w:rsidP="005B0ABF">
            <w:r>
              <w:t>Agree</w:t>
            </w:r>
          </w:p>
        </w:tc>
        <w:tc>
          <w:tcPr>
            <w:tcW w:w="5087" w:type="dxa"/>
          </w:tcPr>
          <w:p w14:paraId="4C28650B" w14:textId="77777777" w:rsidR="005B0ABF" w:rsidRDefault="005B0ABF" w:rsidP="005B0ABF">
            <w:pPr>
              <w:pStyle w:val="ListParagraph"/>
              <w:numPr>
                <w:ilvl w:val="0"/>
                <w:numId w:val="17"/>
              </w:numPr>
            </w:pPr>
            <w:r>
              <w:t>APEP to r</w:t>
            </w:r>
            <w:r w:rsidRPr="00B83064">
              <w:t>ecruit senior level MERLA advisor</w:t>
            </w:r>
            <w:r>
              <w:t xml:space="preserve">. </w:t>
            </w:r>
          </w:p>
          <w:p w14:paraId="44B92DEA" w14:textId="77777777" w:rsidR="005B0ABF" w:rsidRDefault="005B0ABF" w:rsidP="005B0ABF">
            <w:pPr>
              <w:pStyle w:val="ListParagraph"/>
              <w:numPr>
                <w:ilvl w:val="0"/>
                <w:numId w:val="17"/>
              </w:numPr>
            </w:pPr>
            <w:r>
              <w:rPr>
                <w:lang w:val="en-GB"/>
              </w:rPr>
              <w:t>DFAT and APEP to e</w:t>
            </w:r>
            <w:r w:rsidRPr="0030097A">
              <w:rPr>
                <w:lang w:val="en-GB"/>
              </w:rPr>
              <w:t>nsure MERLA system monitors the extent to which the ‘ways of working’ has been strengthened. </w:t>
            </w:r>
            <w:r w:rsidRPr="0030097A">
              <w:t> </w:t>
            </w:r>
          </w:p>
          <w:p w14:paraId="0F233876" w14:textId="77777777" w:rsidR="005B0ABF" w:rsidRDefault="005B0ABF" w:rsidP="005B0ABF">
            <w:pPr>
              <w:pStyle w:val="ListParagraph"/>
              <w:numPr>
                <w:ilvl w:val="0"/>
                <w:numId w:val="17"/>
              </w:numPr>
            </w:pPr>
            <w:r>
              <w:t>APEP to m</w:t>
            </w:r>
            <w:r w:rsidRPr="0030097A">
              <w:t>onitor research-to-policy outcomes. </w:t>
            </w:r>
          </w:p>
          <w:p w14:paraId="7F46B414" w14:textId="5539C129" w:rsidR="005B0ABF" w:rsidRDefault="005B0ABF" w:rsidP="005B0ABF">
            <w:pPr>
              <w:pStyle w:val="ListParagraph"/>
              <w:numPr>
                <w:ilvl w:val="0"/>
                <w:numId w:val="16"/>
              </w:numPr>
            </w:pPr>
            <w:r>
              <w:rPr>
                <w:lang w:val="en-GB"/>
              </w:rPr>
              <w:t>APEP and DFAT to u</w:t>
            </w:r>
            <w:r w:rsidRPr="00EA6755">
              <w:rPr>
                <w:lang w:val="en-GB"/>
              </w:rPr>
              <w:t>se learning products to inform programme design</w:t>
            </w:r>
            <w:r>
              <w:rPr>
                <w:lang w:val="en-GB"/>
              </w:rPr>
              <w:t xml:space="preserve">. </w:t>
            </w:r>
          </w:p>
        </w:tc>
        <w:tc>
          <w:tcPr>
            <w:tcW w:w="1417" w:type="dxa"/>
          </w:tcPr>
          <w:p w14:paraId="567758E7" w14:textId="23B427E0" w:rsidR="005B0ABF" w:rsidRDefault="005B0ABF" w:rsidP="005B0ABF">
            <w:r>
              <w:t>March 2026</w:t>
            </w:r>
          </w:p>
        </w:tc>
      </w:tr>
      <w:tr w:rsidR="005B0ABF" w14:paraId="3090F1F2" w14:textId="77777777" w:rsidTr="08A07A11">
        <w:trPr>
          <w:trHeight w:val="289"/>
        </w:trPr>
        <w:tc>
          <w:tcPr>
            <w:tcW w:w="6939" w:type="dxa"/>
          </w:tcPr>
          <w:p w14:paraId="097BB5F5" w14:textId="77777777" w:rsidR="005B0ABF" w:rsidRPr="00B723B1" w:rsidRDefault="005B0ABF" w:rsidP="00BB01AC">
            <w:pPr>
              <w:pStyle w:val="ListParagraph"/>
              <w:numPr>
                <w:ilvl w:val="0"/>
                <w:numId w:val="21"/>
              </w:numPr>
              <w:ind w:left="417"/>
              <w:rPr>
                <w:u w:val="single"/>
              </w:rPr>
            </w:pPr>
            <w:r w:rsidRPr="00B723B1">
              <w:rPr>
                <w:u w:val="single"/>
              </w:rPr>
              <w:t xml:space="preserve">APEP should design and pilot subnational models </w:t>
            </w:r>
          </w:p>
          <w:p w14:paraId="40D6E3D4" w14:textId="77777777" w:rsidR="00BB01AC" w:rsidRDefault="005B0ABF" w:rsidP="00BB01AC">
            <w:pPr>
              <w:pStyle w:val="ListParagraph"/>
              <w:numPr>
                <w:ilvl w:val="0"/>
                <w:numId w:val="4"/>
              </w:numPr>
              <w:ind w:left="473"/>
            </w:pPr>
            <w:r>
              <w:t xml:space="preserve">APEP should establish 2–3 provincial demonstration sites that model the full public financial management cycle - from budget formulation to expenditure execution, reporting, and service delivery outcomes. </w:t>
            </w:r>
          </w:p>
          <w:p w14:paraId="596D97A0" w14:textId="065332F7" w:rsidR="005B0ABF" w:rsidRPr="00BB01AC" w:rsidRDefault="005B0ABF" w:rsidP="00BB01AC">
            <w:pPr>
              <w:pStyle w:val="ListParagraph"/>
              <w:numPr>
                <w:ilvl w:val="0"/>
                <w:numId w:val="4"/>
              </w:numPr>
              <w:ind w:left="473"/>
            </w:pPr>
            <w:r w:rsidRPr="21E8ECAA">
              <w:t>Consideration should also be given to embedding gender and inclusion markers into these pilots from the outset</w:t>
            </w:r>
            <w:r>
              <w:t>.</w:t>
            </w:r>
          </w:p>
        </w:tc>
        <w:tc>
          <w:tcPr>
            <w:tcW w:w="1725" w:type="dxa"/>
            <w:shd w:val="clear" w:color="auto" w:fill="FFC000"/>
          </w:tcPr>
          <w:p w14:paraId="5C5EC7EA" w14:textId="23AD1B6A" w:rsidR="005B0ABF" w:rsidRDefault="005B0ABF" w:rsidP="005B0ABF">
            <w:r>
              <w:t>For consideration</w:t>
            </w:r>
          </w:p>
        </w:tc>
        <w:tc>
          <w:tcPr>
            <w:tcW w:w="5087" w:type="dxa"/>
          </w:tcPr>
          <w:p w14:paraId="3B284056" w14:textId="5122589C" w:rsidR="005B0ABF" w:rsidRDefault="43B4DCB4" w:rsidP="08A07A11">
            <w:pPr>
              <w:pStyle w:val="ListParagraph"/>
              <w:numPr>
                <w:ilvl w:val="0"/>
                <w:numId w:val="19"/>
              </w:numPr>
            </w:pPr>
            <w:r>
              <w:t xml:space="preserve">The Australian High Commission has separate teams that lead on subnational engagement. APEP may have a role in supporting the design and implementation of subnational strategies in particular areas of APEP strength. </w:t>
            </w:r>
          </w:p>
        </w:tc>
        <w:tc>
          <w:tcPr>
            <w:tcW w:w="1417" w:type="dxa"/>
          </w:tcPr>
          <w:p w14:paraId="12390567" w14:textId="1DBA618A" w:rsidR="005B0ABF" w:rsidRDefault="005B0ABF" w:rsidP="005B0ABF">
            <w:r>
              <w:t>July 2026</w:t>
            </w:r>
          </w:p>
        </w:tc>
      </w:tr>
    </w:tbl>
    <w:p w14:paraId="334407AA" w14:textId="77777777" w:rsidR="00C23DFA" w:rsidRDefault="00C23DFA">
      <w:r>
        <w:br w:type="page"/>
      </w:r>
    </w:p>
    <w:tbl>
      <w:tblPr>
        <w:tblStyle w:val="TableGrid"/>
        <w:tblW w:w="15168" w:type="dxa"/>
        <w:tblInd w:w="-431" w:type="dxa"/>
        <w:tblLook w:val="04A0" w:firstRow="1" w:lastRow="0" w:firstColumn="1" w:lastColumn="0" w:noHBand="0" w:noVBand="1"/>
      </w:tblPr>
      <w:tblGrid>
        <w:gridCol w:w="6939"/>
        <w:gridCol w:w="1642"/>
        <w:gridCol w:w="5170"/>
        <w:gridCol w:w="1417"/>
      </w:tblGrid>
      <w:tr w:rsidR="00BB01AC" w14:paraId="4F8F2626" w14:textId="77777777" w:rsidTr="22F566F4">
        <w:trPr>
          <w:trHeight w:val="289"/>
        </w:trPr>
        <w:tc>
          <w:tcPr>
            <w:tcW w:w="6939" w:type="dxa"/>
          </w:tcPr>
          <w:p w14:paraId="4E4EFE8A" w14:textId="2FE65B29" w:rsidR="00BB01AC" w:rsidRPr="00B723B1" w:rsidRDefault="00BB01AC" w:rsidP="00BB01AC">
            <w:pPr>
              <w:pStyle w:val="ListParagraph"/>
              <w:numPr>
                <w:ilvl w:val="0"/>
                <w:numId w:val="21"/>
              </w:numPr>
              <w:ind w:left="417"/>
              <w:rPr>
                <w:u w:val="single"/>
              </w:rPr>
            </w:pPr>
            <w:r w:rsidRPr="00B723B1">
              <w:rPr>
                <w:u w:val="single"/>
              </w:rPr>
              <w:lastRenderedPageBreak/>
              <w:t xml:space="preserve">APEP should strengthen all aspects of GEDSI </w:t>
            </w:r>
          </w:p>
          <w:p w14:paraId="4787C162" w14:textId="77777777" w:rsidR="00BB01AC" w:rsidRDefault="00BB01AC" w:rsidP="00BB01AC">
            <w:pPr>
              <w:pStyle w:val="ListParagraph"/>
              <w:numPr>
                <w:ilvl w:val="0"/>
                <w:numId w:val="3"/>
              </w:numPr>
              <w:ind w:left="473"/>
            </w:pPr>
            <w:r>
              <w:t xml:space="preserve">To achieve its GEDSI outcomes, APEP must move beyond compliance-driven approaches and ensure gender equality, disability inclusion, and social equity are embedded in both design and delivery. </w:t>
            </w:r>
          </w:p>
          <w:p w14:paraId="3E12B0DB" w14:textId="77777777" w:rsidR="00BB01AC" w:rsidRDefault="00BB01AC" w:rsidP="00BB01AC">
            <w:pPr>
              <w:pStyle w:val="ListParagraph"/>
              <w:numPr>
                <w:ilvl w:val="0"/>
                <w:numId w:val="3"/>
              </w:numPr>
              <w:ind w:left="473"/>
            </w:pPr>
            <w:r w:rsidRPr="21E8ECAA">
              <w:t>APEP should integrate GEDSI specialists directly into activity design teams to ensure PADs include contextually relevant, feasible and measurable outcomes.</w:t>
            </w:r>
          </w:p>
          <w:p w14:paraId="6E179CBE" w14:textId="77777777" w:rsidR="00BB01AC" w:rsidRDefault="00BB01AC" w:rsidP="00BB01AC">
            <w:pPr>
              <w:pStyle w:val="ListParagraph"/>
              <w:numPr>
                <w:ilvl w:val="0"/>
                <w:numId w:val="3"/>
              </w:numPr>
              <w:ind w:left="473"/>
            </w:pPr>
            <w:r w:rsidRPr="21E8ECAA">
              <w:t xml:space="preserve">GEDSI analysis must inform all stages of the programme cycle. </w:t>
            </w:r>
          </w:p>
          <w:p w14:paraId="1AE52767" w14:textId="77777777" w:rsidR="00BB01AC" w:rsidRDefault="00BB01AC" w:rsidP="00BB01AC">
            <w:pPr>
              <w:pStyle w:val="ListParagraph"/>
              <w:numPr>
                <w:ilvl w:val="0"/>
                <w:numId w:val="3"/>
              </w:numPr>
              <w:ind w:left="473"/>
            </w:pPr>
            <w:r w:rsidRPr="21E8ECAA">
              <w:t>Monitoring frameworks must include GEDSI-specific indicators (both qualitative and quantitative).</w:t>
            </w:r>
          </w:p>
          <w:p w14:paraId="64254FFD" w14:textId="77777777" w:rsidR="00BB01AC" w:rsidRDefault="00BB01AC" w:rsidP="00BB01AC">
            <w:pPr>
              <w:pStyle w:val="ListParagraph"/>
              <w:numPr>
                <w:ilvl w:val="0"/>
                <w:numId w:val="3"/>
              </w:numPr>
              <w:ind w:left="473"/>
            </w:pPr>
            <w:r w:rsidRPr="21E8ECAA">
              <w:t>Activity-level reporting should capture not only inclusion outcomes but also barriers, unintended consequences and lessons for adaptive management.</w:t>
            </w:r>
          </w:p>
          <w:p w14:paraId="067A983F" w14:textId="77777777" w:rsidR="00A62BE8" w:rsidRDefault="00BB01AC" w:rsidP="00A62BE8">
            <w:pPr>
              <w:pStyle w:val="ListParagraph"/>
              <w:numPr>
                <w:ilvl w:val="0"/>
                <w:numId w:val="3"/>
              </w:numPr>
              <w:ind w:left="473"/>
            </w:pPr>
            <w:r w:rsidRPr="21E8ECAA">
              <w:t>Stronger alignment between the GEDSI strategy, the MERLA framework and pillar-level results.</w:t>
            </w:r>
          </w:p>
          <w:p w14:paraId="61534628" w14:textId="282F5B9D" w:rsidR="00BB01AC" w:rsidRPr="00A62BE8" w:rsidRDefault="00BB01AC" w:rsidP="00A62BE8">
            <w:pPr>
              <w:pStyle w:val="ListParagraph"/>
              <w:numPr>
                <w:ilvl w:val="0"/>
                <w:numId w:val="3"/>
              </w:numPr>
              <w:ind w:left="473"/>
            </w:pPr>
            <w:r w:rsidRPr="21E8ECAA">
              <w:t>A redesigned APEP should clarify that GEDS</w:t>
            </w:r>
            <w:r>
              <w:t>I</w:t>
            </w:r>
            <w:r w:rsidRPr="21E8ECAA">
              <w:t xml:space="preserve"> is not only a cross-cutting principle but a distinct outcome area requiring dedicated investment, programming and influence within the broader governance and economic reform agenda.</w:t>
            </w:r>
          </w:p>
        </w:tc>
        <w:tc>
          <w:tcPr>
            <w:tcW w:w="1642" w:type="dxa"/>
            <w:shd w:val="clear" w:color="auto" w:fill="92D050"/>
          </w:tcPr>
          <w:p w14:paraId="52B7591A" w14:textId="3BDA6EC0" w:rsidR="00BB01AC" w:rsidRDefault="00BB01AC" w:rsidP="00BB01AC">
            <w:r>
              <w:t>Agree</w:t>
            </w:r>
          </w:p>
        </w:tc>
        <w:tc>
          <w:tcPr>
            <w:tcW w:w="5170" w:type="dxa"/>
          </w:tcPr>
          <w:p w14:paraId="45D797FD" w14:textId="77777777" w:rsidR="00BB01AC" w:rsidRDefault="00BB01AC" w:rsidP="00BB01AC">
            <w:pPr>
              <w:pStyle w:val="ListParagraph"/>
              <w:numPr>
                <w:ilvl w:val="0"/>
                <w:numId w:val="14"/>
              </w:numPr>
            </w:pPr>
            <w:r>
              <w:t xml:space="preserve">APEP to recruit a senior, sufficiently experienced GEDSI lead. </w:t>
            </w:r>
          </w:p>
          <w:p w14:paraId="7AEE8F63" w14:textId="77777777" w:rsidR="00BB01AC" w:rsidRDefault="00BB01AC" w:rsidP="00BB01AC">
            <w:pPr>
              <w:pStyle w:val="ListParagraph"/>
              <w:numPr>
                <w:ilvl w:val="0"/>
                <w:numId w:val="14"/>
              </w:numPr>
            </w:pPr>
            <w:r>
              <w:t>APEP to increase human and financial resources dedicated to GEDSI.</w:t>
            </w:r>
          </w:p>
          <w:p w14:paraId="2CFFB7EF" w14:textId="77777777" w:rsidR="00BB01AC" w:rsidRDefault="00BB01AC" w:rsidP="00BB01AC">
            <w:pPr>
              <w:pStyle w:val="ListParagraph"/>
              <w:numPr>
                <w:ilvl w:val="0"/>
                <w:numId w:val="14"/>
              </w:numPr>
            </w:pPr>
            <w:r>
              <w:t xml:space="preserve">APEP and DFAT to redesign the PAD drafting template and process to ensure GEDSI considerations are clearly included in the scoping stage. </w:t>
            </w:r>
          </w:p>
          <w:p w14:paraId="6940261C" w14:textId="77777777" w:rsidR="00BB01AC" w:rsidRDefault="00BB01AC" w:rsidP="00BB01AC">
            <w:pPr>
              <w:pStyle w:val="ListParagraph"/>
              <w:numPr>
                <w:ilvl w:val="0"/>
                <w:numId w:val="14"/>
              </w:numPr>
            </w:pPr>
            <w:r>
              <w:t>APEP and DFAT to p</w:t>
            </w:r>
            <w:r w:rsidRPr="00347A7D">
              <w:t>rovide operational funding for co-designed initiatives with local partners. </w:t>
            </w:r>
          </w:p>
          <w:p w14:paraId="5D02FBA7" w14:textId="77777777" w:rsidR="00BB01AC" w:rsidRDefault="00BB01AC" w:rsidP="00BB01AC">
            <w:pPr>
              <w:pStyle w:val="ListParagraph"/>
              <w:numPr>
                <w:ilvl w:val="0"/>
                <w:numId w:val="14"/>
              </w:numPr>
            </w:pPr>
            <w:r>
              <w:t>APEP to learn from high-performing gender transformative programs in PNG, to understand the gender context in PNG.</w:t>
            </w:r>
          </w:p>
          <w:p w14:paraId="5EE21BDA" w14:textId="69A83CB6" w:rsidR="00BB01AC" w:rsidRDefault="00BB01AC" w:rsidP="00BB01AC">
            <w:pPr>
              <w:pStyle w:val="ListParagraph"/>
              <w:numPr>
                <w:ilvl w:val="0"/>
                <w:numId w:val="14"/>
              </w:numPr>
            </w:pPr>
            <w:r>
              <w:t>APEP to c</w:t>
            </w:r>
            <w:r w:rsidRPr="00A3103E">
              <w:t>apture activity-level reporting - not only on inclusion outcomes, but also barriers, unintended consequences, and lessons for adaptive management.</w:t>
            </w:r>
          </w:p>
        </w:tc>
        <w:tc>
          <w:tcPr>
            <w:tcW w:w="1417" w:type="dxa"/>
          </w:tcPr>
          <w:p w14:paraId="23535922" w14:textId="18C2A924" w:rsidR="00CA471E" w:rsidRDefault="00BB01AC" w:rsidP="00BB01AC">
            <w:r>
              <w:t>March 2026</w:t>
            </w:r>
          </w:p>
        </w:tc>
      </w:tr>
      <w:tr w:rsidR="00CA471E" w14:paraId="318FFE82" w14:textId="77777777" w:rsidTr="22F566F4">
        <w:trPr>
          <w:trHeight w:val="289"/>
        </w:trPr>
        <w:tc>
          <w:tcPr>
            <w:tcW w:w="6939" w:type="dxa"/>
          </w:tcPr>
          <w:p w14:paraId="31599E5B" w14:textId="77777777" w:rsidR="00CA471E" w:rsidRPr="00B723B1" w:rsidRDefault="00CA471E" w:rsidP="00CA471E">
            <w:pPr>
              <w:pStyle w:val="ListParagraph"/>
              <w:numPr>
                <w:ilvl w:val="0"/>
                <w:numId w:val="21"/>
              </w:numPr>
              <w:ind w:left="417"/>
              <w:rPr>
                <w:u w:val="single"/>
              </w:rPr>
            </w:pPr>
            <w:r w:rsidRPr="00B723B1">
              <w:rPr>
                <w:u w:val="single"/>
              </w:rPr>
              <w:t xml:space="preserve">APEP should refresh its ‘Ways of Working’ with DFAT </w:t>
            </w:r>
          </w:p>
          <w:p w14:paraId="561CE272" w14:textId="77777777" w:rsidR="00CA471E" w:rsidRDefault="00CA471E" w:rsidP="00CA471E">
            <w:pPr>
              <w:pStyle w:val="ListParagraph"/>
              <w:numPr>
                <w:ilvl w:val="0"/>
                <w:numId w:val="2"/>
              </w:numPr>
              <w:ind w:left="473"/>
            </w:pPr>
            <w:r>
              <w:t xml:space="preserve">APEP and DFAT should use the programme reset suggested herein as an opportunity to rebuild trust by refreshing the existing ‘ways of working’. </w:t>
            </w:r>
          </w:p>
          <w:p w14:paraId="2D282401" w14:textId="77777777" w:rsidR="00CA471E" w:rsidRDefault="00CA471E" w:rsidP="00CA471E">
            <w:pPr>
              <w:pStyle w:val="ListParagraph"/>
              <w:numPr>
                <w:ilvl w:val="0"/>
                <w:numId w:val="2"/>
              </w:numPr>
              <w:ind w:left="473"/>
            </w:pPr>
            <w:r w:rsidRPr="21E8ECAA">
              <w:t xml:space="preserve">Clear entry points for substantive engagement at the pillar and activity levels including early engagement around new activities, the rationalisation of PADs, joined up learning opportunities and externally facilitated systematic ‘health </w:t>
            </w:r>
            <w:proofErr w:type="gramStart"/>
            <w:r w:rsidRPr="21E8ECAA">
              <w:t>checks’</w:t>
            </w:r>
            <w:proofErr w:type="gramEnd"/>
            <w:r w:rsidRPr="21E8ECAA">
              <w:t>.</w:t>
            </w:r>
          </w:p>
          <w:p w14:paraId="1A7D5FFD" w14:textId="77777777" w:rsidR="00CA471E" w:rsidRDefault="00CA471E" w:rsidP="00CA471E">
            <w:pPr>
              <w:pStyle w:val="ListParagraph"/>
              <w:numPr>
                <w:ilvl w:val="0"/>
                <w:numId w:val="2"/>
              </w:numPr>
              <w:ind w:left="473"/>
            </w:pPr>
            <w:r w:rsidRPr="21E8ECAA">
              <w:lastRenderedPageBreak/>
              <w:t>‘Ways of working’ with other DFAT (</w:t>
            </w:r>
            <w:proofErr w:type="spellStart"/>
            <w:r w:rsidRPr="21E8ECAA">
              <w:t>eg.</w:t>
            </w:r>
            <w:proofErr w:type="spellEnd"/>
            <w:r w:rsidRPr="21E8ECAA">
              <w:t xml:space="preserve"> GEDSI and development programmes (</w:t>
            </w:r>
            <w:proofErr w:type="spellStart"/>
            <w:r w:rsidRPr="21E8ECAA">
              <w:t>eg.</w:t>
            </w:r>
            <w:proofErr w:type="spellEnd"/>
            <w:r w:rsidRPr="21E8ECAA">
              <w:t xml:space="preserve"> PIPP) also needs to be more clearly articulated and time and resources set aside to engage with these important actors.</w:t>
            </w:r>
          </w:p>
          <w:p w14:paraId="04598A33" w14:textId="7FEBF75B" w:rsidR="00CA471E" w:rsidRPr="00CA471E" w:rsidRDefault="00CA471E" w:rsidP="00CA471E">
            <w:pPr>
              <w:pStyle w:val="ListParagraph"/>
              <w:numPr>
                <w:ilvl w:val="0"/>
                <w:numId w:val="2"/>
              </w:numPr>
              <w:ind w:left="473"/>
            </w:pPr>
            <w:r w:rsidRPr="21E8ECAA">
              <w:t xml:space="preserve">APEP’s MERLA system needs to monitor the extent to which the ‘ways of working’ has been strengthened. </w:t>
            </w:r>
          </w:p>
        </w:tc>
        <w:tc>
          <w:tcPr>
            <w:tcW w:w="1642" w:type="dxa"/>
            <w:shd w:val="clear" w:color="auto" w:fill="92D050"/>
          </w:tcPr>
          <w:p w14:paraId="7A176B9D" w14:textId="452F0A68" w:rsidR="00CA471E" w:rsidRDefault="00CA471E" w:rsidP="00CA471E">
            <w:r>
              <w:lastRenderedPageBreak/>
              <w:t>Agree</w:t>
            </w:r>
          </w:p>
        </w:tc>
        <w:tc>
          <w:tcPr>
            <w:tcW w:w="5170" w:type="dxa"/>
          </w:tcPr>
          <w:p w14:paraId="38AF1A3D" w14:textId="77777777" w:rsidR="00CA471E" w:rsidRDefault="00CA471E" w:rsidP="00CA471E">
            <w:pPr>
              <w:pStyle w:val="ListParagraph"/>
              <w:numPr>
                <w:ilvl w:val="0"/>
                <w:numId w:val="13"/>
              </w:numPr>
            </w:pPr>
            <w:r>
              <w:t xml:space="preserve">DFAT and APEP to organise regular ‘Ways of Working’ workshops. </w:t>
            </w:r>
          </w:p>
          <w:p w14:paraId="308E6390" w14:textId="77777777" w:rsidR="00CA471E" w:rsidRDefault="00CA471E" w:rsidP="00CA471E">
            <w:pPr>
              <w:pStyle w:val="ListParagraph"/>
              <w:numPr>
                <w:ilvl w:val="0"/>
                <w:numId w:val="13"/>
              </w:numPr>
            </w:pPr>
            <w:r>
              <w:t xml:space="preserve">Fortnightly meetings between DFAT’s Minister Counsellor and APEP Director. </w:t>
            </w:r>
          </w:p>
          <w:p w14:paraId="618E5723" w14:textId="77777777" w:rsidR="00CA471E" w:rsidRDefault="00CA471E" w:rsidP="00CA471E">
            <w:pPr>
              <w:pStyle w:val="ListParagraph"/>
              <w:numPr>
                <w:ilvl w:val="0"/>
                <w:numId w:val="13"/>
              </w:numPr>
            </w:pPr>
            <w:r>
              <w:t xml:space="preserve">Weekly meetings between DFAT’s Counsellor and APEP Director. </w:t>
            </w:r>
          </w:p>
          <w:p w14:paraId="2CB1D306" w14:textId="77777777" w:rsidR="00CA471E" w:rsidRDefault="00CA471E" w:rsidP="00CA471E">
            <w:pPr>
              <w:pStyle w:val="ListParagraph"/>
              <w:numPr>
                <w:ilvl w:val="0"/>
                <w:numId w:val="13"/>
              </w:numPr>
            </w:pPr>
            <w:r>
              <w:t>APEP to organise regular meetings with other development programs (</w:t>
            </w:r>
            <w:proofErr w:type="spellStart"/>
            <w:r>
              <w:t>eg.</w:t>
            </w:r>
            <w:proofErr w:type="spellEnd"/>
            <w:r>
              <w:t xml:space="preserve"> PIPP, PNG Women Lead, etc.). </w:t>
            </w:r>
          </w:p>
          <w:p w14:paraId="6F8862DD" w14:textId="2AB507B3" w:rsidR="00CA471E" w:rsidRDefault="00CA471E" w:rsidP="00CA471E">
            <w:pPr>
              <w:pStyle w:val="ListParagraph"/>
              <w:numPr>
                <w:ilvl w:val="0"/>
                <w:numId w:val="13"/>
              </w:numPr>
            </w:pPr>
            <w:r>
              <w:lastRenderedPageBreak/>
              <w:t xml:space="preserve">APEP to include specific indicators on ‘ways of working’ in their updated MERLA system. </w:t>
            </w:r>
          </w:p>
        </w:tc>
        <w:tc>
          <w:tcPr>
            <w:tcW w:w="1417" w:type="dxa"/>
          </w:tcPr>
          <w:p w14:paraId="5E45A9CD" w14:textId="47621772" w:rsidR="00CA471E" w:rsidRDefault="00CA471E" w:rsidP="00CA471E">
            <w:r>
              <w:lastRenderedPageBreak/>
              <w:t>October 2025</w:t>
            </w:r>
          </w:p>
        </w:tc>
      </w:tr>
      <w:tr w:rsidR="00CA471E" w14:paraId="5F6682B7" w14:textId="77777777" w:rsidTr="22F566F4">
        <w:trPr>
          <w:trHeight w:val="289"/>
        </w:trPr>
        <w:tc>
          <w:tcPr>
            <w:tcW w:w="6939" w:type="dxa"/>
          </w:tcPr>
          <w:p w14:paraId="05E9EBDC" w14:textId="77777777" w:rsidR="00CA471E" w:rsidRPr="00B723B1" w:rsidRDefault="00CA471E" w:rsidP="00CA471E">
            <w:pPr>
              <w:pStyle w:val="ListParagraph"/>
              <w:numPr>
                <w:ilvl w:val="0"/>
                <w:numId w:val="21"/>
              </w:numPr>
              <w:ind w:left="417"/>
              <w:rPr>
                <w:u w:val="single"/>
              </w:rPr>
            </w:pPr>
            <w:r w:rsidRPr="00B723B1">
              <w:rPr>
                <w:u w:val="single"/>
              </w:rPr>
              <w:t xml:space="preserve">DFAT should extend APEP into a second phase provided it makes demonstrable progress against the suggested reform pathway over the next nine months </w:t>
            </w:r>
          </w:p>
          <w:p w14:paraId="7A0A0958" w14:textId="77777777" w:rsidR="00CA471E" w:rsidRDefault="00CA471E" w:rsidP="00CA471E">
            <w:pPr>
              <w:pStyle w:val="ListParagraph"/>
              <w:numPr>
                <w:ilvl w:val="0"/>
                <w:numId w:val="1"/>
              </w:numPr>
              <w:ind w:left="473"/>
            </w:pPr>
            <w:r w:rsidRPr="21E8ECAA">
              <w:t>Internal APEP change management team drive the type of operational and cultural shifts required. The team should work in close partnership with DFAT to ensure alignment of strategic priorities and accountability for implementation.</w:t>
            </w:r>
          </w:p>
          <w:p w14:paraId="6161A691" w14:textId="77777777" w:rsidR="00CA471E" w:rsidRDefault="00CA471E" w:rsidP="00CA471E">
            <w:pPr>
              <w:pStyle w:val="ListParagraph"/>
              <w:numPr>
                <w:ilvl w:val="0"/>
                <w:numId w:val="1"/>
              </w:numPr>
              <w:ind w:left="473"/>
            </w:pPr>
            <w:r w:rsidRPr="21E8ECAA">
              <w:t xml:space="preserve">DFAT will need to allocate a dedicated officer (~0.5 FTE), ideally with a strong background in performance oversight and program implementation to actively monitor and steer the change process. Support from a Development Effectiveness STA or MERLA adviser if required. </w:t>
            </w:r>
          </w:p>
          <w:p w14:paraId="30DBA68A" w14:textId="6DD6B81A" w:rsidR="00CA471E" w:rsidRPr="00CA471E" w:rsidRDefault="00CA471E" w:rsidP="00CA471E">
            <w:pPr>
              <w:pStyle w:val="ListParagraph"/>
              <w:numPr>
                <w:ilvl w:val="0"/>
                <w:numId w:val="1"/>
              </w:numPr>
              <w:ind w:left="473"/>
            </w:pPr>
            <w:r>
              <w:t xml:space="preserve">Clear reporting milestones, linked to the Gantt-style reform roadmap presented in the report, should guide performance assessment during this transition period. </w:t>
            </w:r>
          </w:p>
        </w:tc>
        <w:tc>
          <w:tcPr>
            <w:tcW w:w="1642" w:type="dxa"/>
            <w:shd w:val="clear" w:color="auto" w:fill="92D050"/>
          </w:tcPr>
          <w:p w14:paraId="7590CAA8" w14:textId="3C64BCD4" w:rsidR="00CA471E" w:rsidRDefault="00CA471E" w:rsidP="00CA471E">
            <w:r>
              <w:t>Agree</w:t>
            </w:r>
          </w:p>
        </w:tc>
        <w:tc>
          <w:tcPr>
            <w:tcW w:w="5170" w:type="dxa"/>
          </w:tcPr>
          <w:p w14:paraId="7FACEEAC" w14:textId="1AB7F481" w:rsidR="00CA471E" w:rsidRDefault="00CA471E" w:rsidP="00CA471E">
            <w:pPr>
              <w:pStyle w:val="ListParagraph"/>
              <w:numPr>
                <w:ilvl w:val="0"/>
                <w:numId w:val="12"/>
              </w:numPr>
            </w:pPr>
            <w:r>
              <w:t xml:space="preserve">DFAT to arrange for a </w:t>
            </w:r>
            <w:r w:rsidR="003214B4">
              <w:t>24-month</w:t>
            </w:r>
            <w:r>
              <w:t xml:space="preserve"> extension for APEP to demonstrate meaningful change and support smooth programming decisions. DFAT to arrange a program review (based on MTR recommendations) by March 2026 to inform decisions around the success of the program reset. </w:t>
            </w:r>
          </w:p>
          <w:p w14:paraId="284D3EA3" w14:textId="77777777" w:rsidR="00CA471E" w:rsidRDefault="00CA471E" w:rsidP="00CA471E">
            <w:pPr>
              <w:pStyle w:val="ListParagraph"/>
              <w:numPr>
                <w:ilvl w:val="0"/>
                <w:numId w:val="12"/>
              </w:numPr>
            </w:pPr>
            <w:r>
              <w:t>DFAT to organise a larger program review with results by end-December 2026 to inform decision-making on the Phase two contract extension (to March 2030) or a decision to re-design over the following 14 months.</w:t>
            </w:r>
          </w:p>
          <w:p w14:paraId="4EBB76A8" w14:textId="3668BA53" w:rsidR="00CA471E" w:rsidRDefault="00CA471E" w:rsidP="00CA471E">
            <w:pPr>
              <w:pStyle w:val="ListParagraph"/>
              <w:numPr>
                <w:ilvl w:val="0"/>
                <w:numId w:val="13"/>
              </w:numPr>
            </w:pPr>
            <w:r>
              <w:t>The change process will be led and monitored by a DFAT First Secretary (0.25 FTE) and a locally engaged Senior Program Manager (0.5 FTE). Specialist skills are sourced from Canberra on an as needed basis.</w:t>
            </w:r>
          </w:p>
        </w:tc>
        <w:tc>
          <w:tcPr>
            <w:tcW w:w="1417" w:type="dxa"/>
          </w:tcPr>
          <w:p w14:paraId="08C3ECF7" w14:textId="6AC0C416" w:rsidR="00CA471E" w:rsidRDefault="00CA471E" w:rsidP="00CA471E">
            <w:r>
              <w:t>February 2026</w:t>
            </w:r>
          </w:p>
        </w:tc>
      </w:tr>
    </w:tbl>
    <w:p w14:paraId="73DE9066" w14:textId="737C7DBA" w:rsidR="00D2513E" w:rsidRDefault="00D2513E"/>
    <w:sectPr w:rsidR="00D2513E">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DA681" w14:textId="77777777" w:rsidR="005F6E74" w:rsidRDefault="005F6E74" w:rsidP="00A2171D">
      <w:pPr>
        <w:spacing w:after="0" w:line="240" w:lineRule="auto"/>
      </w:pPr>
      <w:r>
        <w:separator/>
      </w:r>
    </w:p>
  </w:endnote>
  <w:endnote w:type="continuationSeparator" w:id="0">
    <w:p w14:paraId="5045F628" w14:textId="77777777" w:rsidR="005F6E74" w:rsidRDefault="005F6E74" w:rsidP="00A2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440378"/>
      <w:docPartObj>
        <w:docPartGallery w:val="Page Numbers (Bottom of Page)"/>
        <w:docPartUnique/>
      </w:docPartObj>
    </w:sdtPr>
    <w:sdtEndPr>
      <w:rPr>
        <w:noProof/>
      </w:rPr>
    </w:sdtEndPr>
    <w:sdtContent>
      <w:p w14:paraId="5730617B" w14:textId="016CD3EB" w:rsidR="003214B4" w:rsidRDefault="003214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83653" w14:textId="77777777" w:rsidR="003214B4" w:rsidRDefault="00321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D3AE1" w14:textId="77777777" w:rsidR="005F6E74" w:rsidRDefault="005F6E74" w:rsidP="00A2171D">
      <w:pPr>
        <w:spacing w:after="0" w:line="240" w:lineRule="auto"/>
      </w:pPr>
      <w:r>
        <w:separator/>
      </w:r>
    </w:p>
  </w:footnote>
  <w:footnote w:type="continuationSeparator" w:id="0">
    <w:p w14:paraId="40370DEB" w14:textId="77777777" w:rsidR="005F6E74" w:rsidRDefault="005F6E74" w:rsidP="00A21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9121"/>
    <w:multiLevelType w:val="hybridMultilevel"/>
    <w:tmpl w:val="39B8B032"/>
    <w:lvl w:ilvl="0" w:tplc="ED28AD3C">
      <w:start w:val="1"/>
      <w:numFmt w:val="bullet"/>
      <w:lvlText w:val=""/>
      <w:lvlJc w:val="left"/>
      <w:pPr>
        <w:ind w:left="720" w:hanging="360"/>
      </w:pPr>
      <w:rPr>
        <w:rFonts w:ascii="Symbol" w:hAnsi="Symbol" w:hint="default"/>
      </w:rPr>
    </w:lvl>
    <w:lvl w:ilvl="1" w:tplc="53EE3858">
      <w:start w:val="1"/>
      <w:numFmt w:val="bullet"/>
      <w:lvlText w:val="o"/>
      <w:lvlJc w:val="left"/>
      <w:pPr>
        <w:ind w:left="1440" w:hanging="360"/>
      </w:pPr>
      <w:rPr>
        <w:rFonts w:ascii="Courier New" w:hAnsi="Courier New" w:hint="default"/>
      </w:rPr>
    </w:lvl>
    <w:lvl w:ilvl="2" w:tplc="D27A21B8">
      <w:start w:val="1"/>
      <w:numFmt w:val="bullet"/>
      <w:lvlText w:val=""/>
      <w:lvlJc w:val="left"/>
      <w:pPr>
        <w:ind w:left="2160" w:hanging="360"/>
      </w:pPr>
      <w:rPr>
        <w:rFonts w:ascii="Wingdings" w:hAnsi="Wingdings" w:hint="default"/>
      </w:rPr>
    </w:lvl>
    <w:lvl w:ilvl="3" w:tplc="F07680BE">
      <w:start w:val="1"/>
      <w:numFmt w:val="bullet"/>
      <w:lvlText w:val=""/>
      <w:lvlJc w:val="left"/>
      <w:pPr>
        <w:ind w:left="2880" w:hanging="360"/>
      </w:pPr>
      <w:rPr>
        <w:rFonts w:ascii="Symbol" w:hAnsi="Symbol" w:hint="default"/>
      </w:rPr>
    </w:lvl>
    <w:lvl w:ilvl="4" w:tplc="94889CDA">
      <w:start w:val="1"/>
      <w:numFmt w:val="bullet"/>
      <w:lvlText w:val="o"/>
      <w:lvlJc w:val="left"/>
      <w:pPr>
        <w:ind w:left="3600" w:hanging="360"/>
      </w:pPr>
      <w:rPr>
        <w:rFonts w:ascii="Courier New" w:hAnsi="Courier New" w:hint="default"/>
      </w:rPr>
    </w:lvl>
    <w:lvl w:ilvl="5" w:tplc="EB2A4BDE">
      <w:start w:val="1"/>
      <w:numFmt w:val="bullet"/>
      <w:lvlText w:val=""/>
      <w:lvlJc w:val="left"/>
      <w:pPr>
        <w:ind w:left="4320" w:hanging="360"/>
      </w:pPr>
      <w:rPr>
        <w:rFonts w:ascii="Wingdings" w:hAnsi="Wingdings" w:hint="default"/>
      </w:rPr>
    </w:lvl>
    <w:lvl w:ilvl="6" w:tplc="E89892FE">
      <w:start w:val="1"/>
      <w:numFmt w:val="bullet"/>
      <w:lvlText w:val=""/>
      <w:lvlJc w:val="left"/>
      <w:pPr>
        <w:ind w:left="5040" w:hanging="360"/>
      </w:pPr>
      <w:rPr>
        <w:rFonts w:ascii="Symbol" w:hAnsi="Symbol" w:hint="default"/>
      </w:rPr>
    </w:lvl>
    <w:lvl w:ilvl="7" w:tplc="8D905166">
      <w:start w:val="1"/>
      <w:numFmt w:val="bullet"/>
      <w:lvlText w:val="o"/>
      <w:lvlJc w:val="left"/>
      <w:pPr>
        <w:ind w:left="5760" w:hanging="360"/>
      </w:pPr>
      <w:rPr>
        <w:rFonts w:ascii="Courier New" w:hAnsi="Courier New" w:hint="default"/>
      </w:rPr>
    </w:lvl>
    <w:lvl w:ilvl="8" w:tplc="08061598">
      <w:start w:val="1"/>
      <w:numFmt w:val="bullet"/>
      <w:lvlText w:val=""/>
      <w:lvlJc w:val="left"/>
      <w:pPr>
        <w:ind w:left="6480" w:hanging="360"/>
      </w:pPr>
      <w:rPr>
        <w:rFonts w:ascii="Wingdings" w:hAnsi="Wingdings" w:hint="default"/>
      </w:rPr>
    </w:lvl>
  </w:abstractNum>
  <w:abstractNum w:abstractNumId="1" w15:restartNumberingAfterBreak="0">
    <w:nsid w:val="14787C9F"/>
    <w:multiLevelType w:val="hybridMultilevel"/>
    <w:tmpl w:val="74625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5C04B7"/>
    <w:multiLevelType w:val="hybridMultilevel"/>
    <w:tmpl w:val="23CA4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188538"/>
    <w:multiLevelType w:val="hybridMultilevel"/>
    <w:tmpl w:val="D8EED0E2"/>
    <w:lvl w:ilvl="0" w:tplc="EC12134E">
      <w:start w:val="1"/>
      <w:numFmt w:val="bullet"/>
      <w:lvlText w:val=""/>
      <w:lvlJc w:val="left"/>
      <w:pPr>
        <w:ind w:left="360" w:hanging="360"/>
      </w:pPr>
      <w:rPr>
        <w:rFonts w:ascii="Symbol" w:hAnsi="Symbol" w:hint="default"/>
      </w:rPr>
    </w:lvl>
    <w:lvl w:ilvl="1" w:tplc="02909CF0">
      <w:start w:val="1"/>
      <w:numFmt w:val="bullet"/>
      <w:lvlText w:val="o"/>
      <w:lvlJc w:val="left"/>
      <w:pPr>
        <w:ind w:left="1080" w:hanging="360"/>
      </w:pPr>
      <w:rPr>
        <w:rFonts w:ascii="Courier New" w:hAnsi="Courier New" w:hint="default"/>
      </w:rPr>
    </w:lvl>
    <w:lvl w:ilvl="2" w:tplc="162023C8">
      <w:start w:val="1"/>
      <w:numFmt w:val="bullet"/>
      <w:lvlText w:val=""/>
      <w:lvlJc w:val="left"/>
      <w:pPr>
        <w:ind w:left="1800" w:hanging="360"/>
      </w:pPr>
      <w:rPr>
        <w:rFonts w:ascii="Wingdings" w:hAnsi="Wingdings" w:hint="default"/>
      </w:rPr>
    </w:lvl>
    <w:lvl w:ilvl="3" w:tplc="20E8C5A2">
      <w:start w:val="1"/>
      <w:numFmt w:val="bullet"/>
      <w:lvlText w:val=""/>
      <w:lvlJc w:val="left"/>
      <w:pPr>
        <w:ind w:left="2520" w:hanging="360"/>
      </w:pPr>
      <w:rPr>
        <w:rFonts w:ascii="Symbol" w:hAnsi="Symbol" w:hint="default"/>
      </w:rPr>
    </w:lvl>
    <w:lvl w:ilvl="4" w:tplc="815AFBB6">
      <w:start w:val="1"/>
      <w:numFmt w:val="bullet"/>
      <w:lvlText w:val="o"/>
      <w:lvlJc w:val="left"/>
      <w:pPr>
        <w:ind w:left="3240" w:hanging="360"/>
      </w:pPr>
      <w:rPr>
        <w:rFonts w:ascii="Courier New" w:hAnsi="Courier New" w:hint="default"/>
      </w:rPr>
    </w:lvl>
    <w:lvl w:ilvl="5" w:tplc="28861594">
      <w:start w:val="1"/>
      <w:numFmt w:val="bullet"/>
      <w:lvlText w:val=""/>
      <w:lvlJc w:val="left"/>
      <w:pPr>
        <w:ind w:left="3960" w:hanging="360"/>
      </w:pPr>
      <w:rPr>
        <w:rFonts w:ascii="Wingdings" w:hAnsi="Wingdings" w:hint="default"/>
      </w:rPr>
    </w:lvl>
    <w:lvl w:ilvl="6" w:tplc="3E1E8CB2">
      <w:start w:val="1"/>
      <w:numFmt w:val="bullet"/>
      <w:lvlText w:val=""/>
      <w:lvlJc w:val="left"/>
      <w:pPr>
        <w:ind w:left="4680" w:hanging="360"/>
      </w:pPr>
      <w:rPr>
        <w:rFonts w:ascii="Symbol" w:hAnsi="Symbol" w:hint="default"/>
      </w:rPr>
    </w:lvl>
    <w:lvl w:ilvl="7" w:tplc="22FC7070">
      <w:start w:val="1"/>
      <w:numFmt w:val="bullet"/>
      <w:lvlText w:val="o"/>
      <w:lvlJc w:val="left"/>
      <w:pPr>
        <w:ind w:left="5400" w:hanging="360"/>
      </w:pPr>
      <w:rPr>
        <w:rFonts w:ascii="Courier New" w:hAnsi="Courier New" w:hint="default"/>
      </w:rPr>
    </w:lvl>
    <w:lvl w:ilvl="8" w:tplc="10643256">
      <w:start w:val="1"/>
      <w:numFmt w:val="bullet"/>
      <w:lvlText w:val=""/>
      <w:lvlJc w:val="left"/>
      <w:pPr>
        <w:ind w:left="6120" w:hanging="360"/>
      </w:pPr>
      <w:rPr>
        <w:rFonts w:ascii="Wingdings" w:hAnsi="Wingdings" w:hint="default"/>
      </w:rPr>
    </w:lvl>
  </w:abstractNum>
  <w:abstractNum w:abstractNumId="4" w15:restartNumberingAfterBreak="0">
    <w:nsid w:val="221E9A6E"/>
    <w:multiLevelType w:val="hybridMultilevel"/>
    <w:tmpl w:val="61BCEAC4"/>
    <w:lvl w:ilvl="0" w:tplc="EF763104">
      <w:start w:val="1"/>
      <w:numFmt w:val="bullet"/>
      <w:lvlText w:val=""/>
      <w:lvlJc w:val="left"/>
      <w:pPr>
        <w:ind w:left="720" w:hanging="360"/>
      </w:pPr>
      <w:rPr>
        <w:rFonts w:ascii="Symbol" w:hAnsi="Symbol" w:hint="default"/>
      </w:rPr>
    </w:lvl>
    <w:lvl w:ilvl="1" w:tplc="C39840C0">
      <w:start w:val="1"/>
      <w:numFmt w:val="bullet"/>
      <w:lvlText w:val="o"/>
      <w:lvlJc w:val="left"/>
      <w:pPr>
        <w:ind w:left="1440" w:hanging="360"/>
      </w:pPr>
      <w:rPr>
        <w:rFonts w:ascii="Courier New" w:hAnsi="Courier New" w:hint="default"/>
      </w:rPr>
    </w:lvl>
    <w:lvl w:ilvl="2" w:tplc="92288812">
      <w:start w:val="1"/>
      <w:numFmt w:val="bullet"/>
      <w:lvlText w:val=""/>
      <w:lvlJc w:val="left"/>
      <w:pPr>
        <w:ind w:left="2160" w:hanging="360"/>
      </w:pPr>
      <w:rPr>
        <w:rFonts w:ascii="Wingdings" w:hAnsi="Wingdings" w:hint="default"/>
      </w:rPr>
    </w:lvl>
    <w:lvl w:ilvl="3" w:tplc="BB506D82">
      <w:start w:val="1"/>
      <w:numFmt w:val="bullet"/>
      <w:lvlText w:val=""/>
      <w:lvlJc w:val="left"/>
      <w:pPr>
        <w:ind w:left="2880" w:hanging="360"/>
      </w:pPr>
      <w:rPr>
        <w:rFonts w:ascii="Symbol" w:hAnsi="Symbol" w:hint="default"/>
      </w:rPr>
    </w:lvl>
    <w:lvl w:ilvl="4" w:tplc="B7DC1E04">
      <w:start w:val="1"/>
      <w:numFmt w:val="bullet"/>
      <w:lvlText w:val="o"/>
      <w:lvlJc w:val="left"/>
      <w:pPr>
        <w:ind w:left="3600" w:hanging="360"/>
      </w:pPr>
      <w:rPr>
        <w:rFonts w:ascii="Courier New" w:hAnsi="Courier New" w:hint="default"/>
      </w:rPr>
    </w:lvl>
    <w:lvl w:ilvl="5" w:tplc="DDF48696">
      <w:start w:val="1"/>
      <w:numFmt w:val="bullet"/>
      <w:lvlText w:val=""/>
      <w:lvlJc w:val="left"/>
      <w:pPr>
        <w:ind w:left="4320" w:hanging="360"/>
      </w:pPr>
      <w:rPr>
        <w:rFonts w:ascii="Wingdings" w:hAnsi="Wingdings" w:hint="default"/>
      </w:rPr>
    </w:lvl>
    <w:lvl w:ilvl="6" w:tplc="8A22CA06">
      <w:start w:val="1"/>
      <w:numFmt w:val="bullet"/>
      <w:lvlText w:val=""/>
      <w:lvlJc w:val="left"/>
      <w:pPr>
        <w:ind w:left="5040" w:hanging="360"/>
      </w:pPr>
      <w:rPr>
        <w:rFonts w:ascii="Symbol" w:hAnsi="Symbol" w:hint="default"/>
      </w:rPr>
    </w:lvl>
    <w:lvl w:ilvl="7" w:tplc="D4A8C7AC">
      <w:start w:val="1"/>
      <w:numFmt w:val="bullet"/>
      <w:lvlText w:val="o"/>
      <w:lvlJc w:val="left"/>
      <w:pPr>
        <w:ind w:left="5760" w:hanging="360"/>
      </w:pPr>
      <w:rPr>
        <w:rFonts w:ascii="Courier New" w:hAnsi="Courier New" w:hint="default"/>
      </w:rPr>
    </w:lvl>
    <w:lvl w:ilvl="8" w:tplc="9AF677A0">
      <w:start w:val="1"/>
      <w:numFmt w:val="bullet"/>
      <w:lvlText w:val=""/>
      <w:lvlJc w:val="left"/>
      <w:pPr>
        <w:ind w:left="6480" w:hanging="360"/>
      </w:pPr>
      <w:rPr>
        <w:rFonts w:ascii="Wingdings" w:hAnsi="Wingdings" w:hint="default"/>
      </w:rPr>
    </w:lvl>
  </w:abstractNum>
  <w:abstractNum w:abstractNumId="5" w15:restartNumberingAfterBreak="0">
    <w:nsid w:val="3B560311"/>
    <w:multiLevelType w:val="hybridMultilevel"/>
    <w:tmpl w:val="FEA80AD8"/>
    <w:lvl w:ilvl="0" w:tplc="7E34120A">
      <w:start w:val="1"/>
      <w:numFmt w:val="bullet"/>
      <w:lvlText w:val=""/>
      <w:lvlJc w:val="left"/>
      <w:pPr>
        <w:ind w:left="720" w:hanging="360"/>
      </w:pPr>
      <w:rPr>
        <w:rFonts w:ascii="Symbol" w:hAnsi="Symbol" w:hint="default"/>
      </w:rPr>
    </w:lvl>
    <w:lvl w:ilvl="1" w:tplc="7B140A1A">
      <w:start w:val="1"/>
      <w:numFmt w:val="bullet"/>
      <w:lvlText w:val="o"/>
      <w:lvlJc w:val="left"/>
      <w:pPr>
        <w:ind w:left="1440" w:hanging="360"/>
      </w:pPr>
      <w:rPr>
        <w:rFonts w:ascii="Courier New" w:hAnsi="Courier New" w:hint="default"/>
      </w:rPr>
    </w:lvl>
    <w:lvl w:ilvl="2" w:tplc="D8AA8D26">
      <w:start w:val="1"/>
      <w:numFmt w:val="bullet"/>
      <w:lvlText w:val=""/>
      <w:lvlJc w:val="left"/>
      <w:pPr>
        <w:ind w:left="2160" w:hanging="360"/>
      </w:pPr>
      <w:rPr>
        <w:rFonts w:ascii="Wingdings" w:hAnsi="Wingdings" w:hint="default"/>
      </w:rPr>
    </w:lvl>
    <w:lvl w:ilvl="3" w:tplc="8CA65504">
      <w:start w:val="1"/>
      <w:numFmt w:val="bullet"/>
      <w:lvlText w:val=""/>
      <w:lvlJc w:val="left"/>
      <w:pPr>
        <w:ind w:left="2880" w:hanging="360"/>
      </w:pPr>
      <w:rPr>
        <w:rFonts w:ascii="Symbol" w:hAnsi="Symbol" w:hint="default"/>
      </w:rPr>
    </w:lvl>
    <w:lvl w:ilvl="4" w:tplc="E5BA9598">
      <w:start w:val="1"/>
      <w:numFmt w:val="bullet"/>
      <w:lvlText w:val="o"/>
      <w:lvlJc w:val="left"/>
      <w:pPr>
        <w:ind w:left="3600" w:hanging="360"/>
      </w:pPr>
      <w:rPr>
        <w:rFonts w:ascii="Courier New" w:hAnsi="Courier New" w:hint="default"/>
      </w:rPr>
    </w:lvl>
    <w:lvl w:ilvl="5" w:tplc="6838A168">
      <w:start w:val="1"/>
      <w:numFmt w:val="bullet"/>
      <w:lvlText w:val=""/>
      <w:lvlJc w:val="left"/>
      <w:pPr>
        <w:ind w:left="4320" w:hanging="360"/>
      </w:pPr>
      <w:rPr>
        <w:rFonts w:ascii="Wingdings" w:hAnsi="Wingdings" w:hint="default"/>
      </w:rPr>
    </w:lvl>
    <w:lvl w:ilvl="6" w:tplc="961E6904">
      <w:start w:val="1"/>
      <w:numFmt w:val="bullet"/>
      <w:lvlText w:val=""/>
      <w:lvlJc w:val="left"/>
      <w:pPr>
        <w:ind w:left="5040" w:hanging="360"/>
      </w:pPr>
      <w:rPr>
        <w:rFonts w:ascii="Symbol" w:hAnsi="Symbol" w:hint="default"/>
      </w:rPr>
    </w:lvl>
    <w:lvl w:ilvl="7" w:tplc="3E0CC60E">
      <w:start w:val="1"/>
      <w:numFmt w:val="bullet"/>
      <w:lvlText w:val="o"/>
      <w:lvlJc w:val="left"/>
      <w:pPr>
        <w:ind w:left="5760" w:hanging="360"/>
      </w:pPr>
      <w:rPr>
        <w:rFonts w:ascii="Courier New" w:hAnsi="Courier New" w:hint="default"/>
      </w:rPr>
    </w:lvl>
    <w:lvl w:ilvl="8" w:tplc="A0182992">
      <w:start w:val="1"/>
      <w:numFmt w:val="bullet"/>
      <w:lvlText w:val=""/>
      <w:lvlJc w:val="left"/>
      <w:pPr>
        <w:ind w:left="6480" w:hanging="360"/>
      </w:pPr>
      <w:rPr>
        <w:rFonts w:ascii="Wingdings" w:hAnsi="Wingdings" w:hint="default"/>
      </w:rPr>
    </w:lvl>
  </w:abstractNum>
  <w:abstractNum w:abstractNumId="6" w15:restartNumberingAfterBreak="0">
    <w:nsid w:val="3DBC93CD"/>
    <w:multiLevelType w:val="hybridMultilevel"/>
    <w:tmpl w:val="865C0B4A"/>
    <w:lvl w:ilvl="0" w:tplc="989CFE34">
      <w:start w:val="1"/>
      <w:numFmt w:val="bullet"/>
      <w:lvlText w:val=""/>
      <w:lvlJc w:val="left"/>
      <w:pPr>
        <w:ind w:left="720" w:hanging="360"/>
      </w:pPr>
      <w:rPr>
        <w:rFonts w:ascii="Symbol" w:hAnsi="Symbol" w:hint="default"/>
      </w:rPr>
    </w:lvl>
    <w:lvl w:ilvl="1" w:tplc="A5A4FB32">
      <w:start w:val="1"/>
      <w:numFmt w:val="bullet"/>
      <w:lvlText w:val="o"/>
      <w:lvlJc w:val="left"/>
      <w:pPr>
        <w:ind w:left="1440" w:hanging="360"/>
      </w:pPr>
      <w:rPr>
        <w:rFonts w:ascii="Courier New" w:hAnsi="Courier New" w:hint="default"/>
      </w:rPr>
    </w:lvl>
    <w:lvl w:ilvl="2" w:tplc="67DE27C4">
      <w:start w:val="1"/>
      <w:numFmt w:val="bullet"/>
      <w:lvlText w:val=""/>
      <w:lvlJc w:val="left"/>
      <w:pPr>
        <w:ind w:left="2160" w:hanging="360"/>
      </w:pPr>
      <w:rPr>
        <w:rFonts w:ascii="Wingdings" w:hAnsi="Wingdings" w:hint="default"/>
      </w:rPr>
    </w:lvl>
    <w:lvl w:ilvl="3" w:tplc="08061E4A">
      <w:start w:val="1"/>
      <w:numFmt w:val="bullet"/>
      <w:lvlText w:val=""/>
      <w:lvlJc w:val="left"/>
      <w:pPr>
        <w:ind w:left="2880" w:hanging="360"/>
      </w:pPr>
      <w:rPr>
        <w:rFonts w:ascii="Symbol" w:hAnsi="Symbol" w:hint="default"/>
      </w:rPr>
    </w:lvl>
    <w:lvl w:ilvl="4" w:tplc="80E8B590">
      <w:start w:val="1"/>
      <w:numFmt w:val="bullet"/>
      <w:lvlText w:val="o"/>
      <w:lvlJc w:val="left"/>
      <w:pPr>
        <w:ind w:left="3600" w:hanging="360"/>
      </w:pPr>
      <w:rPr>
        <w:rFonts w:ascii="Courier New" w:hAnsi="Courier New" w:hint="default"/>
      </w:rPr>
    </w:lvl>
    <w:lvl w:ilvl="5" w:tplc="0490890E">
      <w:start w:val="1"/>
      <w:numFmt w:val="bullet"/>
      <w:lvlText w:val=""/>
      <w:lvlJc w:val="left"/>
      <w:pPr>
        <w:ind w:left="4320" w:hanging="360"/>
      </w:pPr>
      <w:rPr>
        <w:rFonts w:ascii="Wingdings" w:hAnsi="Wingdings" w:hint="default"/>
      </w:rPr>
    </w:lvl>
    <w:lvl w:ilvl="6" w:tplc="64B02E86">
      <w:start w:val="1"/>
      <w:numFmt w:val="bullet"/>
      <w:lvlText w:val=""/>
      <w:lvlJc w:val="left"/>
      <w:pPr>
        <w:ind w:left="5040" w:hanging="360"/>
      </w:pPr>
      <w:rPr>
        <w:rFonts w:ascii="Symbol" w:hAnsi="Symbol" w:hint="default"/>
      </w:rPr>
    </w:lvl>
    <w:lvl w:ilvl="7" w:tplc="1E0AC272">
      <w:start w:val="1"/>
      <w:numFmt w:val="bullet"/>
      <w:lvlText w:val="o"/>
      <w:lvlJc w:val="left"/>
      <w:pPr>
        <w:ind w:left="5760" w:hanging="360"/>
      </w:pPr>
      <w:rPr>
        <w:rFonts w:ascii="Courier New" w:hAnsi="Courier New" w:hint="default"/>
      </w:rPr>
    </w:lvl>
    <w:lvl w:ilvl="8" w:tplc="434AE550">
      <w:start w:val="1"/>
      <w:numFmt w:val="bullet"/>
      <w:lvlText w:val=""/>
      <w:lvlJc w:val="left"/>
      <w:pPr>
        <w:ind w:left="6480" w:hanging="360"/>
      </w:pPr>
      <w:rPr>
        <w:rFonts w:ascii="Wingdings" w:hAnsi="Wingdings" w:hint="default"/>
      </w:rPr>
    </w:lvl>
  </w:abstractNum>
  <w:abstractNum w:abstractNumId="7" w15:restartNumberingAfterBreak="0">
    <w:nsid w:val="471E0F62"/>
    <w:multiLevelType w:val="hybridMultilevel"/>
    <w:tmpl w:val="B82E42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72FEAF6"/>
    <w:multiLevelType w:val="hybridMultilevel"/>
    <w:tmpl w:val="18641394"/>
    <w:lvl w:ilvl="0" w:tplc="60307C8A">
      <w:start w:val="1"/>
      <w:numFmt w:val="bullet"/>
      <w:lvlText w:val=""/>
      <w:lvlJc w:val="left"/>
      <w:pPr>
        <w:ind w:left="720" w:hanging="360"/>
      </w:pPr>
      <w:rPr>
        <w:rFonts w:ascii="Symbol" w:hAnsi="Symbol" w:hint="default"/>
      </w:rPr>
    </w:lvl>
    <w:lvl w:ilvl="1" w:tplc="245AE67E">
      <w:start w:val="1"/>
      <w:numFmt w:val="bullet"/>
      <w:lvlText w:val="o"/>
      <w:lvlJc w:val="left"/>
      <w:pPr>
        <w:ind w:left="1440" w:hanging="360"/>
      </w:pPr>
      <w:rPr>
        <w:rFonts w:ascii="Courier New" w:hAnsi="Courier New" w:hint="default"/>
      </w:rPr>
    </w:lvl>
    <w:lvl w:ilvl="2" w:tplc="F5461B3A">
      <w:start w:val="1"/>
      <w:numFmt w:val="bullet"/>
      <w:lvlText w:val=""/>
      <w:lvlJc w:val="left"/>
      <w:pPr>
        <w:ind w:left="2160" w:hanging="360"/>
      </w:pPr>
      <w:rPr>
        <w:rFonts w:ascii="Wingdings" w:hAnsi="Wingdings" w:hint="default"/>
      </w:rPr>
    </w:lvl>
    <w:lvl w:ilvl="3" w:tplc="03DA045C">
      <w:start w:val="1"/>
      <w:numFmt w:val="bullet"/>
      <w:lvlText w:val=""/>
      <w:lvlJc w:val="left"/>
      <w:pPr>
        <w:ind w:left="2880" w:hanging="360"/>
      </w:pPr>
      <w:rPr>
        <w:rFonts w:ascii="Symbol" w:hAnsi="Symbol" w:hint="default"/>
      </w:rPr>
    </w:lvl>
    <w:lvl w:ilvl="4" w:tplc="AE987DE8">
      <w:start w:val="1"/>
      <w:numFmt w:val="bullet"/>
      <w:lvlText w:val="o"/>
      <w:lvlJc w:val="left"/>
      <w:pPr>
        <w:ind w:left="3600" w:hanging="360"/>
      </w:pPr>
      <w:rPr>
        <w:rFonts w:ascii="Courier New" w:hAnsi="Courier New" w:hint="default"/>
      </w:rPr>
    </w:lvl>
    <w:lvl w:ilvl="5" w:tplc="8B98EBA4">
      <w:start w:val="1"/>
      <w:numFmt w:val="bullet"/>
      <w:lvlText w:val=""/>
      <w:lvlJc w:val="left"/>
      <w:pPr>
        <w:ind w:left="4320" w:hanging="360"/>
      </w:pPr>
      <w:rPr>
        <w:rFonts w:ascii="Wingdings" w:hAnsi="Wingdings" w:hint="default"/>
      </w:rPr>
    </w:lvl>
    <w:lvl w:ilvl="6" w:tplc="B1AA626E">
      <w:start w:val="1"/>
      <w:numFmt w:val="bullet"/>
      <w:lvlText w:val=""/>
      <w:lvlJc w:val="left"/>
      <w:pPr>
        <w:ind w:left="5040" w:hanging="360"/>
      </w:pPr>
      <w:rPr>
        <w:rFonts w:ascii="Symbol" w:hAnsi="Symbol" w:hint="default"/>
      </w:rPr>
    </w:lvl>
    <w:lvl w:ilvl="7" w:tplc="8D64DCD2">
      <w:start w:val="1"/>
      <w:numFmt w:val="bullet"/>
      <w:lvlText w:val="o"/>
      <w:lvlJc w:val="left"/>
      <w:pPr>
        <w:ind w:left="5760" w:hanging="360"/>
      </w:pPr>
      <w:rPr>
        <w:rFonts w:ascii="Courier New" w:hAnsi="Courier New" w:hint="default"/>
      </w:rPr>
    </w:lvl>
    <w:lvl w:ilvl="8" w:tplc="E084DFA4">
      <w:start w:val="1"/>
      <w:numFmt w:val="bullet"/>
      <w:lvlText w:val=""/>
      <w:lvlJc w:val="left"/>
      <w:pPr>
        <w:ind w:left="6480" w:hanging="360"/>
      </w:pPr>
      <w:rPr>
        <w:rFonts w:ascii="Wingdings" w:hAnsi="Wingdings" w:hint="default"/>
      </w:rPr>
    </w:lvl>
  </w:abstractNum>
  <w:abstractNum w:abstractNumId="9" w15:restartNumberingAfterBreak="0">
    <w:nsid w:val="47338DFD"/>
    <w:multiLevelType w:val="hybridMultilevel"/>
    <w:tmpl w:val="B400F554"/>
    <w:lvl w:ilvl="0" w:tplc="44DE66FA">
      <w:start w:val="1"/>
      <w:numFmt w:val="bullet"/>
      <w:lvlText w:val=""/>
      <w:lvlJc w:val="left"/>
      <w:pPr>
        <w:ind w:left="720" w:hanging="360"/>
      </w:pPr>
      <w:rPr>
        <w:rFonts w:ascii="Symbol" w:hAnsi="Symbol" w:hint="default"/>
      </w:rPr>
    </w:lvl>
    <w:lvl w:ilvl="1" w:tplc="EB48D522">
      <w:start w:val="1"/>
      <w:numFmt w:val="bullet"/>
      <w:lvlText w:val="o"/>
      <w:lvlJc w:val="left"/>
      <w:pPr>
        <w:ind w:left="1440" w:hanging="360"/>
      </w:pPr>
      <w:rPr>
        <w:rFonts w:ascii="Courier New" w:hAnsi="Courier New" w:hint="default"/>
      </w:rPr>
    </w:lvl>
    <w:lvl w:ilvl="2" w:tplc="2FF658B6">
      <w:start w:val="1"/>
      <w:numFmt w:val="bullet"/>
      <w:lvlText w:val=""/>
      <w:lvlJc w:val="left"/>
      <w:pPr>
        <w:ind w:left="2160" w:hanging="360"/>
      </w:pPr>
      <w:rPr>
        <w:rFonts w:ascii="Wingdings" w:hAnsi="Wingdings" w:hint="default"/>
      </w:rPr>
    </w:lvl>
    <w:lvl w:ilvl="3" w:tplc="B4523DA4">
      <w:start w:val="1"/>
      <w:numFmt w:val="bullet"/>
      <w:lvlText w:val=""/>
      <w:lvlJc w:val="left"/>
      <w:pPr>
        <w:ind w:left="2880" w:hanging="360"/>
      </w:pPr>
      <w:rPr>
        <w:rFonts w:ascii="Symbol" w:hAnsi="Symbol" w:hint="default"/>
      </w:rPr>
    </w:lvl>
    <w:lvl w:ilvl="4" w:tplc="303A86AA">
      <w:start w:val="1"/>
      <w:numFmt w:val="bullet"/>
      <w:lvlText w:val="o"/>
      <w:lvlJc w:val="left"/>
      <w:pPr>
        <w:ind w:left="3600" w:hanging="360"/>
      </w:pPr>
      <w:rPr>
        <w:rFonts w:ascii="Courier New" w:hAnsi="Courier New" w:hint="default"/>
      </w:rPr>
    </w:lvl>
    <w:lvl w:ilvl="5" w:tplc="A328C046">
      <w:start w:val="1"/>
      <w:numFmt w:val="bullet"/>
      <w:lvlText w:val=""/>
      <w:lvlJc w:val="left"/>
      <w:pPr>
        <w:ind w:left="4320" w:hanging="360"/>
      </w:pPr>
      <w:rPr>
        <w:rFonts w:ascii="Wingdings" w:hAnsi="Wingdings" w:hint="default"/>
      </w:rPr>
    </w:lvl>
    <w:lvl w:ilvl="6" w:tplc="F0989FB6">
      <w:start w:val="1"/>
      <w:numFmt w:val="bullet"/>
      <w:lvlText w:val=""/>
      <w:lvlJc w:val="left"/>
      <w:pPr>
        <w:ind w:left="5040" w:hanging="360"/>
      </w:pPr>
      <w:rPr>
        <w:rFonts w:ascii="Symbol" w:hAnsi="Symbol" w:hint="default"/>
      </w:rPr>
    </w:lvl>
    <w:lvl w:ilvl="7" w:tplc="B6A089EE">
      <w:start w:val="1"/>
      <w:numFmt w:val="bullet"/>
      <w:lvlText w:val="o"/>
      <w:lvlJc w:val="left"/>
      <w:pPr>
        <w:ind w:left="5760" w:hanging="360"/>
      </w:pPr>
      <w:rPr>
        <w:rFonts w:ascii="Courier New" w:hAnsi="Courier New" w:hint="default"/>
      </w:rPr>
    </w:lvl>
    <w:lvl w:ilvl="8" w:tplc="FE5806F0">
      <w:start w:val="1"/>
      <w:numFmt w:val="bullet"/>
      <w:lvlText w:val=""/>
      <w:lvlJc w:val="left"/>
      <w:pPr>
        <w:ind w:left="6480" w:hanging="360"/>
      </w:pPr>
      <w:rPr>
        <w:rFonts w:ascii="Wingdings" w:hAnsi="Wingdings" w:hint="default"/>
      </w:rPr>
    </w:lvl>
  </w:abstractNum>
  <w:abstractNum w:abstractNumId="10" w15:restartNumberingAfterBreak="0">
    <w:nsid w:val="572148C9"/>
    <w:multiLevelType w:val="hybridMultilevel"/>
    <w:tmpl w:val="2D3CB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E9137A2"/>
    <w:multiLevelType w:val="hybridMultilevel"/>
    <w:tmpl w:val="9F6800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215FA8"/>
    <w:multiLevelType w:val="hybridMultilevel"/>
    <w:tmpl w:val="E1066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80F5061"/>
    <w:multiLevelType w:val="hybridMultilevel"/>
    <w:tmpl w:val="BDE6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D02B1D"/>
    <w:multiLevelType w:val="hybridMultilevel"/>
    <w:tmpl w:val="5A889B32"/>
    <w:lvl w:ilvl="0" w:tplc="0346094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9539FF"/>
    <w:multiLevelType w:val="hybridMultilevel"/>
    <w:tmpl w:val="3BD24A68"/>
    <w:lvl w:ilvl="0" w:tplc="DA7C4DA8">
      <w:start w:val="1"/>
      <w:numFmt w:val="bullet"/>
      <w:lvlText w:val=""/>
      <w:lvlJc w:val="left"/>
      <w:pPr>
        <w:ind w:left="720" w:hanging="360"/>
      </w:pPr>
      <w:rPr>
        <w:rFonts w:ascii="Symbol" w:hAnsi="Symbol" w:hint="default"/>
      </w:rPr>
    </w:lvl>
    <w:lvl w:ilvl="1" w:tplc="9CEA4B3C">
      <w:start w:val="1"/>
      <w:numFmt w:val="bullet"/>
      <w:lvlText w:val="o"/>
      <w:lvlJc w:val="left"/>
      <w:pPr>
        <w:ind w:left="1440" w:hanging="360"/>
      </w:pPr>
      <w:rPr>
        <w:rFonts w:ascii="Courier New" w:hAnsi="Courier New" w:hint="default"/>
      </w:rPr>
    </w:lvl>
    <w:lvl w:ilvl="2" w:tplc="CD34EB76">
      <w:start w:val="1"/>
      <w:numFmt w:val="bullet"/>
      <w:lvlText w:val=""/>
      <w:lvlJc w:val="left"/>
      <w:pPr>
        <w:ind w:left="2160" w:hanging="360"/>
      </w:pPr>
      <w:rPr>
        <w:rFonts w:ascii="Wingdings" w:hAnsi="Wingdings" w:hint="default"/>
      </w:rPr>
    </w:lvl>
    <w:lvl w:ilvl="3" w:tplc="B95EF39E">
      <w:start w:val="1"/>
      <w:numFmt w:val="bullet"/>
      <w:lvlText w:val=""/>
      <w:lvlJc w:val="left"/>
      <w:pPr>
        <w:ind w:left="2880" w:hanging="360"/>
      </w:pPr>
      <w:rPr>
        <w:rFonts w:ascii="Symbol" w:hAnsi="Symbol" w:hint="default"/>
      </w:rPr>
    </w:lvl>
    <w:lvl w:ilvl="4" w:tplc="9E3E198A">
      <w:start w:val="1"/>
      <w:numFmt w:val="bullet"/>
      <w:lvlText w:val="o"/>
      <w:lvlJc w:val="left"/>
      <w:pPr>
        <w:ind w:left="3600" w:hanging="360"/>
      </w:pPr>
      <w:rPr>
        <w:rFonts w:ascii="Courier New" w:hAnsi="Courier New" w:hint="default"/>
      </w:rPr>
    </w:lvl>
    <w:lvl w:ilvl="5" w:tplc="43D6CEA4">
      <w:start w:val="1"/>
      <w:numFmt w:val="bullet"/>
      <w:lvlText w:val=""/>
      <w:lvlJc w:val="left"/>
      <w:pPr>
        <w:ind w:left="4320" w:hanging="360"/>
      </w:pPr>
      <w:rPr>
        <w:rFonts w:ascii="Wingdings" w:hAnsi="Wingdings" w:hint="default"/>
      </w:rPr>
    </w:lvl>
    <w:lvl w:ilvl="6" w:tplc="1CFA1E56">
      <w:start w:val="1"/>
      <w:numFmt w:val="bullet"/>
      <w:lvlText w:val=""/>
      <w:lvlJc w:val="left"/>
      <w:pPr>
        <w:ind w:left="5040" w:hanging="360"/>
      </w:pPr>
      <w:rPr>
        <w:rFonts w:ascii="Symbol" w:hAnsi="Symbol" w:hint="default"/>
      </w:rPr>
    </w:lvl>
    <w:lvl w:ilvl="7" w:tplc="456A7B8C">
      <w:start w:val="1"/>
      <w:numFmt w:val="bullet"/>
      <w:lvlText w:val="o"/>
      <w:lvlJc w:val="left"/>
      <w:pPr>
        <w:ind w:left="5760" w:hanging="360"/>
      </w:pPr>
      <w:rPr>
        <w:rFonts w:ascii="Courier New" w:hAnsi="Courier New" w:hint="default"/>
      </w:rPr>
    </w:lvl>
    <w:lvl w:ilvl="8" w:tplc="4EA0DD40">
      <w:start w:val="1"/>
      <w:numFmt w:val="bullet"/>
      <w:lvlText w:val=""/>
      <w:lvlJc w:val="left"/>
      <w:pPr>
        <w:ind w:left="6480" w:hanging="360"/>
      </w:pPr>
      <w:rPr>
        <w:rFonts w:ascii="Wingdings" w:hAnsi="Wingdings" w:hint="default"/>
      </w:rPr>
    </w:lvl>
  </w:abstractNum>
  <w:abstractNum w:abstractNumId="16" w15:restartNumberingAfterBreak="0">
    <w:nsid w:val="7321783E"/>
    <w:multiLevelType w:val="hybridMultilevel"/>
    <w:tmpl w:val="6D5CF54C"/>
    <w:lvl w:ilvl="0" w:tplc="0C090001">
      <w:start w:val="1"/>
      <w:numFmt w:val="bullet"/>
      <w:lvlText w:val=""/>
      <w:lvlJc w:val="left"/>
      <w:pPr>
        <w:ind w:left="473" w:hanging="360"/>
      </w:pPr>
      <w:rPr>
        <w:rFonts w:ascii="Symbol" w:hAnsi="Symbol"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15:restartNumberingAfterBreak="0">
    <w:nsid w:val="75557C76"/>
    <w:multiLevelType w:val="hybridMultilevel"/>
    <w:tmpl w:val="02ACD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5B91481"/>
    <w:multiLevelType w:val="hybridMultilevel"/>
    <w:tmpl w:val="8A80F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AC36F75"/>
    <w:multiLevelType w:val="hybridMultilevel"/>
    <w:tmpl w:val="514A0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0E14B1"/>
    <w:multiLevelType w:val="hybridMultilevel"/>
    <w:tmpl w:val="2886EBEA"/>
    <w:lvl w:ilvl="0" w:tplc="FE222C68">
      <w:start w:val="1"/>
      <w:numFmt w:val="bullet"/>
      <w:lvlText w:val=""/>
      <w:lvlJc w:val="left"/>
      <w:pPr>
        <w:ind w:left="720" w:hanging="360"/>
      </w:pPr>
      <w:rPr>
        <w:rFonts w:ascii="Symbol" w:hAnsi="Symbol" w:hint="default"/>
      </w:rPr>
    </w:lvl>
    <w:lvl w:ilvl="1" w:tplc="E6FE5ECC">
      <w:start w:val="1"/>
      <w:numFmt w:val="bullet"/>
      <w:lvlText w:val="o"/>
      <w:lvlJc w:val="left"/>
      <w:pPr>
        <w:ind w:left="1440" w:hanging="360"/>
      </w:pPr>
      <w:rPr>
        <w:rFonts w:ascii="Courier New" w:hAnsi="Courier New" w:hint="default"/>
      </w:rPr>
    </w:lvl>
    <w:lvl w:ilvl="2" w:tplc="1B226D74">
      <w:start w:val="1"/>
      <w:numFmt w:val="bullet"/>
      <w:lvlText w:val=""/>
      <w:lvlJc w:val="left"/>
      <w:pPr>
        <w:ind w:left="2160" w:hanging="360"/>
      </w:pPr>
      <w:rPr>
        <w:rFonts w:ascii="Wingdings" w:hAnsi="Wingdings" w:hint="default"/>
      </w:rPr>
    </w:lvl>
    <w:lvl w:ilvl="3" w:tplc="71B0F71E">
      <w:start w:val="1"/>
      <w:numFmt w:val="bullet"/>
      <w:lvlText w:val=""/>
      <w:lvlJc w:val="left"/>
      <w:pPr>
        <w:ind w:left="2880" w:hanging="360"/>
      </w:pPr>
      <w:rPr>
        <w:rFonts w:ascii="Symbol" w:hAnsi="Symbol" w:hint="default"/>
      </w:rPr>
    </w:lvl>
    <w:lvl w:ilvl="4" w:tplc="CED2DFEC">
      <w:start w:val="1"/>
      <w:numFmt w:val="bullet"/>
      <w:lvlText w:val="o"/>
      <w:lvlJc w:val="left"/>
      <w:pPr>
        <w:ind w:left="3600" w:hanging="360"/>
      </w:pPr>
      <w:rPr>
        <w:rFonts w:ascii="Courier New" w:hAnsi="Courier New" w:hint="default"/>
      </w:rPr>
    </w:lvl>
    <w:lvl w:ilvl="5" w:tplc="EEF83F3A">
      <w:start w:val="1"/>
      <w:numFmt w:val="bullet"/>
      <w:lvlText w:val=""/>
      <w:lvlJc w:val="left"/>
      <w:pPr>
        <w:ind w:left="4320" w:hanging="360"/>
      </w:pPr>
      <w:rPr>
        <w:rFonts w:ascii="Wingdings" w:hAnsi="Wingdings" w:hint="default"/>
      </w:rPr>
    </w:lvl>
    <w:lvl w:ilvl="6" w:tplc="EA94E0D8">
      <w:start w:val="1"/>
      <w:numFmt w:val="bullet"/>
      <w:lvlText w:val=""/>
      <w:lvlJc w:val="left"/>
      <w:pPr>
        <w:ind w:left="5040" w:hanging="360"/>
      </w:pPr>
      <w:rPr>
        <w:rFonts w:ascii="Symbol" w:hAnsi="Symbol" w:hint="default"/>
      </w:rPr>
    </w:lvl>
    <w:lvl w:ilvl="7" w:tplc="3AFC1FC2">
      <w:start w:val="1"/>
      <w:numFmt w:val="bullet"/>
      <w:lvlText w:val="o"/>
      <w:lvlJc w:val="left"/>
      <w:pPr>
        <w:ind w:left="5760" w:hanging="360"/>
      </w:pPr>
      <w:rPr>
        <w:rFonts w:ascii="Courier New" w:hAnsi="Courier New" w:hint="default"/>
      </w:rPr>
    </w:lvl>
    <w:lvl w:ilvl="8" w:tplc="C6425AFE">
      <w:start w:val="1"/>
      <w:numFmt w:val="bullet"/>
      <w:lvlText w:val=""/>
      <w:lvlJc w:val="left"/>
      <w:pPr>
        <w:ind w:left="6480" w:hanging="360"/>
      </w:pPr>
      <w:rPr>
        <w:rFonts w:ascii="Wingdings" w:hAnsi="Wingdings" w:hint="default"/>
      </w:rPr>
    </w:lvl>
  </w:abstractNum>
  <w:abstractNum w:abstractNumId="21" w15:restartNumberingAfterBreak="0">
    <w:nsid w:val="7B771D47"/>
    <w:multiLevelType w:val="hybridMultilevel"/>
    <w:tmpl w:val="11BCB520"/>
    <w:lvl w:ilvl="0" w:tplc="092EA86C">
      <w:start w:val="1"/>
      <w:numFmt w:val="bullet"/>
      <w:lvlText w:val=""/>
      <w:lvlJc w:val="left"/>
      <w:pPr>
        <w:ind w:left="720" w:hanging="360"/>
      </w:pPr>
      <w:rPr>
        <w:rFonts w:ascii="Symbol" w:hAnsi="Symbol" w:hint="default"/>
      </w:rPr>
    </w:lvl>
    <w:lvl w:ilvl="1" w:tplc="D3422DFA">
      <w:start w:val="1"/>
      <w:numFmt w:val="bullet"/>
      <w:lvlText w:val="o"/>
      <w:lvlJc w:val="left"/>
      <w:pPr>
        <w:ind w:left="1440" w:hanging="360"/>
      </w:pPr>
      <w:rPr>
        <w:rFonts w:ascii="Courier New" w:hAnsi="Courier New" w:hint="default"/>
      </w:rPr>
    </w:lvl>
    <w:lvl w:ilvl="2" w:tplc="4F0CE11E">
      <w:start w:val="1"/>
      <w:numFmt w:val="bullet"/>
      <w:lvlText w:val=""/>
      <w:lvlJc w:val="left"/>
      <w:pPr>
        <w:ind w:left="2160" w:hanging="360"/>
      </w:pPr>
      <w:rPr>
        <w:rFonts w:ascii="Wingdings" w:hAnsi="Wingdings" w:hint="default"/>
      </w:rPr>
    </w:lvl>
    <w:lvl w:ilvl="3" w:tplc="CD40C8A0">
      <w:start w:val="1"/>
      <w:numFmt w:val="bullet"/>
      <w:lvlText w:val=""/>
      <w:lvlJc w:val="left"/>
      <w:pPr>
        <w:ind w:left="2880" w:hanging="360"/>
      </w:pPr>
      <w:rPr>
        <w:rFonts w:ascii="Symbol" w:hAnsi="Symbol" w:hint="default"/>
      </w:rPr>
    </w:lvl>
    <w:lvl w:ilvl="4" w:tplc="594C4DA4">
      <w:start w:val="1"/>
      <w:numFmt w:val="bullet"/>
      <w:lvlText w:val="o"/>
      <w:lvlJc w:val="left"/>
      <w:pPr>
        <w:ind w:left="3600" w:hanging="360"/>
      </w:pPr>
      <w:rPr>
        <w:rFonts w:ascii="Courier New" w:hAnsi="Courier New" w:hint="default"/>
      </w:rPr>
    </w:lvl>
    <w:lvl w:ilvl="5" w:tplc="E3F26792">
      <w:start w:val="1"/>
      <w:numFmt w:val="bullet"/>
      <w:lvlText w:val=""/>
      <w:lvlJc w:val="left"/>
      <w:pPr>
        <w:ind w:left="4320" w:hanging="360"/>
      </w:pPr>
      <w:rPr>
        <w:rFonts w:ascii="Wingdings" w:hAnsi="Wingdings" w:hint="default"/>
      </w:rPr>
    </w:lvl>
    <w:lvl w:ilvl="6" w:tplc="AB042562">
      <w:start w:val="1"/>
      <w:numFmt w:val="bullet"/>
      <w:lvlText w:val=""/>
      <w:lvlJc w:val="left"/>
      <w:pPr>
        <w:ind w:left="5040" w:hanging="360"/>
      </w:pPr>
      <w:rPr>
        <w:rFonts w:ascii="Symbol" w:hAnsi="Symbol" w:hint="default"/>
      </w:rPr>
    </w:lvl>
    <w:lvl w:ilvl="7" w:tplc="7AE89086">
      <w:start w:val="1"/>
      <w:numFmt w:val="bullet"/>
      <w:lvlText w:val="o"/>
      <w:lvlJc w:val="left"/>
      <w:pPr>
        <w:ind w:left="5760" w:hanging="360"/>
      </w:pPr>
      <w:rPr>
        <w:rFonts w:ascii="Courier New" w:hAnsi="Courier New" w:hint="default"/>
      </w:rPr>
    </w:lvl>
    <w:lvl w:ilvl="8" w:tplc="ECAE797A">
      <w:start w:val="1"/>
      <w:numFmt w:val="bullet"/>
      <w:lvlText w:val=""/>
      <w:lvlJc w:val="left"/>
      <w:pPr>
        <w:ind w:left="6480" w:hanging="360"/>
      </w:pPr>
      <w:rPr>
        <w:rFonts w:ascii="Wingdings" w:hAnsi="Wingdings" w:hint="default"/>
      </w:rPr>
    </w:lvl>
  </w:abstractNum>
  <w:num w:numId="1" w16cid:durableId="1488211235">
    <w:abstractNumId w:val="15"/>
  </w:num>
  <w:num w:numId="2" w16cid:durableId="962929205">
    <w:abstractNumId w:val="9"/>
  </w:num>
  <w:num w:numId="3" w16cid:durableId="1764958147">
    <w:abstractNumId w:val="20"/>
  </w:num>
  <w:num w:numId="4" w16cid:durableId="643388024">
    <w:abstractNumId w:val="21"/>
  </w:num>
  <w:num w:numId="5" w16cid:durableId="1102409454">
    <w:abstractNumId w:val="4"/>
  </w:num>
  <w:num w:numId="6" w16cid:durableId="711656152">
    <w:abstractNumId w:val="6"/>
  </w:num>
  <w:num w:numId="7" w16cid:durableId="207954855">
    <w:abstractNumId w:val="0"/>
  </w:num>
  <w:num w:numId="8" w16cid:durableId="1327900836">
    <w:abstractNumId w:val="5"/>
  </w:num>
  <w:num w:numId="9" w16cid:durableId="280841646">
    <w:abstractNumId w:val="8"/>
  </w:num>
  <w:num w:numId="10" w16cid:durableId="83693264">
    <w:abstractNumId w:val="11"/>
  </w:num>
  <w:num w:numId="11" w16cid:durableId="1210724638">
    <w:abstractNumId w:val="2"/>
  </w:num>
  <w:num w:numId="12" w16cid:durableId="131364798">
    <w:abstractNumId w:val="1"/>
  </w:num>
  <w:num w:numId="13" w16cid:durableId="99422528">
    <w:abstractNumId w:val="19"/>
  </w:num>
  <w:num w:numId="14" w16cid:durableId="787092653">
    <w:abstractNumId w:val="17"/>
  </w:num>
  <w:num w:numId="15" w16cid:durableId="456291901">
    <w:abstractNumId w:val="10"/>
  </w:num>
  <w:num w:numId="16" w16cid:durableId="1603419366">
    <w:abstractNumId w:val="18"/>
  </w:num>
  <w:num w:numId="17" w16cid:durableId="1792241073">
    <w:abstractNumId w:val="12"/>
  </w:num>
  <w:num w:numId="18" w16cid:durableId="426771408">
    <w:abstractNumId w:val="13"/>
  </w:num>
  <w:num w:numId="19" w16cid:durableId="1190216935">
    <w:abstractNumId w:val="3"/>
  </w:num>
  <w:num w:numId="20" w16cid:durableId="972754046">
    <w:abstractNumId w:val="16"/>
  </w:num>
  <w:num w:numId="21" w16cid:durableId="1497763982">
    <w:abstractNumId w:val="7"/>
  </w:num>
  <w:num w:numId="22" w16cid:durableId="2065443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3E"/>
    <w:rsid w:val="00001654"/>
    <w:rsid w:val="00004953"/>
    <w:rsid w:val="000230E9"/>
    <w:rsid w:val="000530A7"/>
    <w:rsid w:val="00080BC2"/>
    <w:rsid w:val="000A20E9"/>
    <w:rsid w:val="000A2B2F"/>
    <w:rsid w:val="000A764A"/>
    <w:rsid w:val="000B0F67"/>
    <w:rsid w:val="000B0F75"/>
    <w:rsid w:val="000D5566"/>
    <w:rsid w:val="000E3137"/>
    <w:rsid w:val="00104911"/>
    <w:rsid w:val="001240ED"/>
    <w:rsid w:val="00126921"/>
    <w:rsid w:val="001524F4"/>
    <w:rsid w:val="00152D4E"/>
    <w:rsid w:val="00156710"/>
    <w:rsid w:val="00180BBF"/>
    <w:rsid w:val="00186F26"/>
    <w:rsid w:val="001A447D"/>
    <w:rsid w:val="001C1DC6"/>
    <w:rsid w:val="001C5FEF"/>
    <w:rsid w:val="001C612C"/>
    <w:rsid w:val="001C7116"/>
    <w:rsid w:val="00201CF0"/>
    <w:rsid w:val="00205449"/>
    <w:rsid w:val="00236EEC"/>
    <w:rsid w:val="002460DD"/>
    <w:rsid w:val="0024680C"/>
    <w:rsid w:val="00252E46"/>
    <w:rsid w:val="0026422A"/>
    <w:rsid w:val="00284D85"/>
    <w:rsid w:val="002A4E3A"/>
    <w:rsid w:val="002B0C6C"/>
    <w:rsid w:val="002B645D"/>
    <w:rsid w:val="002C1C49"/>
    <w:rsid w:val="002C5814"/>
    <w:rsid w:val="002E1C59"/>
    <w:rsid w:val="0030097A"/>
    <w:rsid w:val="00303552"/>
    <w:rsid w:val="003214B4"/>
    <w:rsid w:val="00336F61"/>
    <w:rsid w:val="00347A7D"/>
    <w:rsid w:val="00363DBA"/>
    <w:rsid w:val="00363FB4"/>
    <w:rsid w:val="00385490"/>
    <w:rsid w:val="0039050A"/>
    <w:rsid w:val="00390E69"/>
    <w:rsid w:val="00396580"/>
    <w:rsid w:val="003A0BD9"/>
    <w:rsid w:val="003A61A2"/>
    <w:rsid w:val="003D5A0A"/>
    <w:rsid w:val="003E53C8"/>
    <w:rsid w:val="003E5678"/>
    <w:rsid w:val="003E58F5"/>
    <w:rsid w:val="003E6EA6"/>
    <w:rsid w:val="003F04BB"/>
    <w:rsid w:val="00411FAA"/>
    <w:rsid w:val="00417860"/>
    <w:rsid w:val="004546ED"/>
    <w:rsid w:val="004645AF"/>
    <w:rsid w:val="0047378D"/>
    <w:rsid w:val="004A4E7B"/>
    <w:rsid w:val="004B77E1"/>
    <w:rsid w:val="004C1627"/>
    <w:rsid w:val="004F62F1"/>
    <w:rsid w:val="00506AE8"/>
    <w:rsid w:val="00517864"/>
    <w:rsid w:val="005407ED"/>
    <w:rsid w:val="00540849"/>
    <w:rsid w:val="00566F3F"/>
    <w:rsid w:val="005714AD"/>
    <w:rsid w:val="00580928"/>
    <w:rsid w:val="005A0974"/>
    <w:rsid w:val="005A1552"/>
    <w:rsid w:val="005A3CAA"/>
    <w:rsid w:val="005A7148"/>
    <w:rsid w:val="005B0ABF"/>
    <w:rsid w:val="005B2FC9"/>
    <w:rsid w:val="005D5550"/>
    <w:rsid w:val="005E55D1"/>
    <w:rsid w:val="005F6E74"/>
    <w:rsid w:val="006046EF"/>
    <w:rsid w:val="00623764"/>
    <w:rsid w:val="00624BBB"/>
    <w:rsid w:val="00664393"/>
    <w:rsid w:val="006643B6"/>
    <w:rsid w:val="00676D73"/>
    <w:rsid w:val="00680A43"/>
    <w:rsid w:val="00686C06"/>
    <w:rsid w:val="006D1C37"/>
    <w:rsid w:val="00723D8F"/>
    <w:rsid w:val="007255DA"/>
    <w:rsid w:val="00726003"/>
    <w:rsid w:val="007309FD"/>
    <w:rsid w:val="00747661"/>
    <w:rsid w:val="00755F1B"/>
    <w:rsid w:val="00755F42"/>
    <w:rsid w:val="007575AE"/>
    <w:rsid w:val="00787041"/>
    <w:rsid w:val="007A0F14"/>
    <w:rsid w:val="007A6AB6"/>
    <w:rsid w:val="007D3799"/>
    <w:rsid w:val="00802F4F"/>
    <w:rsid w:val="0081161A"/>
    <w:rsid w:val="00836863"/>
    <w:rsid w:val="0084416C"/>
    <w:rsid w:val="008731C1"/>
    <w:rsid w:val="00892051"/>
    <w:rsid w:val="008A0EF0"/>
    <w:rsid w:val="008C2237"/>
    <w:rsid w:val="008D3AC3"/>
    <w:rsid w:val="008E714C"/>
    <w:rsid w:val="008F344C"/>
    <w:rsid w:val="00905F34"/>
    <w:rsid w:val="0091247A"/>
    <w:rsid w:val="009140A2"/>
    <w:rsid w:val="0092599C"/>
    <w:rsid w:val="00931B33"/>
    <w:rsid w:val="0094073E"/>
    <w:rsid w:val="0095756C"/>
    <w:rsid w:val="00973867"/>
    <w:rsid w:val="009A4826"/>
    <w:rsid w:val="009B6DF0"/>
    <w:rsid w:val="009C12A4"/>
    <w:rsid w:val="009C5EC5"/>
    <w:rsid w:val="00A110CF"/>
    <w:rsid w:val="00A13D96"/>
    <w:rsid w:val="00A207C0"/>
    <w:rsid w:val="00A2171D"/>
    <w:rsid w:val="00A3103E"/>
    <w:rsid w:val="00A31A28"/>
    <w:rsid w:val="00A50BB5"/>
    <w:rsid w:val="00A62BE8"/>
    <w:rsid w:val="00A652AE"/>
    <w:rsid w:val="00A716C0"/>
    <w:rsid w:val="00A83FF9"/>
    <w:rsid w:val="00AD277E"/>
    <w:rsid w:val="00AD74CA"/>
    <w:rsid w:val="00AF5C04"/>
    <w:rsid w:val="00AF657F"/>
    <w:rsid w:val="00B03626"/>
    <w:rsid w:val="00B20DDC"/>
    <w:rsid w:val="00B32B9F"/>
    <w:rsid w:val="00B723B1"/>
    <w:rsid w:val="00B80682"/>
    <w:rsid w:val="00B80ED5"/>
    <w:rsid w:val="00B83064"/>
    <w:rsid w:val="00BA44DB"/>
    <w:rsid w:val="00BA7CC8"/>
    <w:rsid w:val="00BB01AC"/>
    <w:rsid w:val="00BC0964"/>
    <w:rsid w:val="00BC2D25"/>
    <w:rsid w:val="00BF0E9A"/>
    <w:rsid w:val="00BF1596"/>
    <w:rsid w:val="00C03ECF"/>
    <w:rsid w:val="00C15E7E"/>
    <w:rsid w:val="00C23DFA"/>
    <w:rsid w:val="00C374DC"/>
    <w:rsid w:val="00C72A9E"/>
    <w:rsid w:val="00C77B00"/>
    <w:rsid w:val="00C86A1E"/>
    <w:rsid w:val="00CA471E"/>
    <w:rsid w:val="00CA66BC"/>
    <w:rsid w:val="00CB6637"/>
    <w:rsid w:val="00CB703E"/>
    <w:rsid w:val="00CC0C32"/>
    <w:rsid w:val="00CC1706"/>
    <w:rsid w:val="00CC6E29"/>
    <w:rsid w:val="00CD28A1"/>
    <w:rsid w:val="00CF1258"/>
    <w:rsid w:val="00CF2887"/>
    <w:rsid w:val="00D15F34"/>
    <w:rsid w:val="00D2513E"/>
    <w:rsid w:val="00D34335"/>
    <w:rsid w:val="00D352FF"/>
    <w:rsid w:val="00D40AC8"/>
    <w:rsid w:val="00D51ECC"/>
    <w:rsid w:val="00D62118"/>
    <w:rsid w:val="00D855A0"/>
    <w:rsid w:val="00D91D79"/>
    <w:rsid w:val="00DD543E"/>
    <w:rsid w:val="00DE0996"/>
    <w:rsid w:val="00DE64BC"/>
    <w:rsid w:val="00E010B6"/>
    <w:rsid w:val="00E04BC2"/>
    <w:rsid w:val="00E06F21"/>
    <w:rsid w:val="00E25061"/>
    <w:rsid w:val="00E4097D"/>
    <w:rsid w:val="00E479B0"/>
    <w:rsid w:val="00E7469C"/>
    <w:rsid w:val="00E74C84"/>
    <w:rsid w:val="00E8466C"/>
    <w:rsid w:val="00E92959"/>
    <w:rsid w:val="00EA6755"/>
    <w:rsid w:val="00EC355F"/>
    <w:rsid w:val="00ED1E15"/>
    <w:rsid w:val="00EE7255"/>
    <w:rsid w:val="00EF4940"/>
    <w:rsid w:val="00EF5831"/>
    <w:rsid w:val="00F04CB8"/>
    <w:rsid w:val="00F236DF"/>
    <w:rsid w:val="00F351EE"/>
    <w:rsid w:val="00F37412"/>
    <w:rsid w:val="00F608CF"/>
    <w:rsid w:val="00F66C4E"/>
    <w:rsid w:val="00F70914"/>
    <w:rsid w:val="00F70F33"/>
    <w:rsid w:val="00FB4E49"/>
    <w:rsid w:val="00FC5FFD"/>
    <w:rsid w:val="00FD3060"/>
    <w:rsid w:val="00FD689B"/>
    <w:rsid w:val="00FE1FBF"/>
    <w:rsid w:val="00FF20D9"/>
    <w:rsid w:val="00FF4538"/>
    <w:rsid w:val="010AC206"/>
    <w:rsid w:val="02423CAD"/>
    <w:rsid w:val="02B31BBA"/>
    <w:rsid w:val="03632F92"/>
    <w:rsid w:val="0412AE5B"/>
    <w:rsid w:val="045A7C95"/>
    <w:rsid w:val="04C065A5"/>
    <w:rsid w:val="051A6E41"/>
    <w:rsid w:val="059CA067"/>
    <w:rsid w:val="067F1E5A"/>
    <w:rsid w:val="0686FF20"/>
    <w:rsid w:val="08587E98"/>
    <w:rsid w:val="08A07A11"/>
    <w:rsid w:val="094BF308"/>
    <w:rsid w:val="0AFCB47C"/>
    <w:rsid w:val="0B693AC2"/>
    <w:rsid w:val="0C12CBF2"/>
    <w:rsid w:val="0D08AB3B"/>
    <w:rsid w:val="0D5DAEC3"/>
    <w:rsid w:val="0D7C10E6"/>
    <w:rsid w:val="0E2CE39C"/>
    <w:rsid w:val="0E6A91FF"/>
    <w:rsid w:val="0ED3169C"/>
    <w:rsid w:val="0ED98008"/>
    <w:rsid w:val="0F6CBF77"/>
    <w:rsid w:val="0F7980A4"/>
    <w:rsid w:val="0F97FCBD"/>
    <w:rsid w:val="0FBC84D6"/>
    <w:rsid w:val="10CF3DD8"/>
    <w:rsid w:val="119605CB"/>
    <w:rsid w:val="11A80DDB"/>
    <w:rsid w:val="11E6E5E2"/>
    <w:rsid w:val="14B6602F"/>
    <w:rsid w:val="15EF8AEF"/>
    <w:rsid w:val="16C43625"/>
    <w:rsid w:val="172A6E54"/>
    <w:rsid w:val="185067ED"/>
    <w:rsid w:val="18986BCE"/>
    <w:rsid w:val="1A19C0FC"/>
    <w:rsid w:val="1A4932A6"/>
    <w:rsid w:val="1A567EE6"/>
    <w:rsid w:val="1AE0A534"/>
    <w:rsid w:val="1BBA13A5"/>
    <w:rsid w:val="1D54A022"/>
    <w:rsid w:val="1DB9D6CB"/>
    <w:rsid w:val="1E278584"/>
    <w:rsid w:val="1EC9FD05"/>
    <w:rsid w:val="1EF0217A"/>
    <w:rsid w:val="1EFE80D9"/>
    <w:rsid w:val="1F46499B"/>
    <w:rsid w:val="206A5F00"/>
    <w:rsid w:val="21758853"/>
    <w:rsid w:val="21A70374"/>
    <w:rsid w:val="21E8ECAA"/>
    <w:rsid w:val="21EB1799"/>
    <w:rsid w:val="22882F56"/>
    <w:rsid w:val="22DF6C7E"/>
    <w:rsid w:val="22F566F4"/>
    <w:rsid w:val="22FC4FC8"/>
    <w:rsid w:val="23949DF7"/>
    <w:rsid w:val="245513DE"/>
    <w:rsid w:val="254009F7"/>
    <w:rsid w:val="25875C74"/>
    <w:rsid w:val="259403D6"/>
    <w:rsid w:val="25AD46E8"/>
    <w:rsid w:val="25CC86BD"/>
    <w:rsid w:val="29F68F51"/>
    <w:rsid w:val="2AB688BD"/>
    <w:rsid w:val="2B23083D"/>
    <w:rsid w:val="2B991577"/>
    <w:rsid w:val="2BBEF7E7"/>
    <w:rsid w:val="2C341FBC"/>
    <w:rsid w:val="2C9FEA52"/>
    <w:rsid w:val="2D50C8D5"/>
    <w:rsid w:val="2F296A68"/>
    <w:rsid w:val="2F81B5A8"/>
    <w:rsid w:val="2FA4113C"/>
    <w:rsid w:val="305289E7"/>
    <w:rsid w:val="30A3237A"/>
    <w:rsid w:val="31034827"/>
    <w:rsid w:val="32A79729"/>
    <w:rsid w:val="32C239D5"/>
    <w:rsid w:val="36687F1A"/>
    <w:rsid w:val="36F0F98E"/>
    <w:rsid w:val="379443FA"/>
    <w:rsid w:val="39F5F836"/>
    <w:rsid w:val="3B002E07"/>
    <w:rsid w:val="3B226E92"/>
    <w:rsid w:val="3BF4E40F"/>
    <w:rsid w:val="3DB32C51"/>
    <w:rsid w:val="3E43C32E"/>
    <w:rsid w:val="3F05F69D"/>
    <w:rsid w:val="3F0F66B1"/>
    <w:rsid w:val="3F769A3B"/>
    <w:rsid w:val="4004C15F"/>
    <w:rsid w:val="40512CF2"/>
    <w:rsid w:val="42C1B4C2"/>
    <w:rsid w:val="43B4DCB4"/>
    <w:rsid w:val="43ECCFB3"/>
    <w:rsid w:val="45A07B17"/>
    <w:rsid w:val="46551BFD"/>
    <w:rsid w:val="47A6E0CB"/>
    <w:rsid w:val="47D2EC5C"/>
    <w:rsid w:val="4834720A"/>
    <w:rsid w:val="4899DB8D"/>
    <w:rsid w:val="493419EA"/>
    <w:rsid w:val="49536662"/>
    <w:rsid w:val="4A5A5E07"/>
    <w:rsid w:val="4B5B4E61"/>
    <w:rsid w:val="4C116ACE"/>
    <w:rsid w:val="4CA85F89"/>
    <w:rsid w:val="4CBB69FF"/>
    <w:rsid w:val="4CC42405"/>
    <w:rsid w:val="4D7A7EBF"/>
    <w:rsid w:val="5075C523"/>
    <w:rsid w:val="51093D84"/>
    <w:rsid w:val="513D0107"/>
    <w:rsid w:val="5156E82A"/>
    <w:rsid w:val="527C5F9D"/>
    <w:rsid w:val="560DF1C7"/>
    <w:rsid w:val="56734D48"/>
    <w:rsid w:val="56D4D9C1"/>
    <w:rsid w:val="57F69E98"/>
    <w:rsid w:val="5862C1DA"/>
    <w:rsid w:val="59B34BEF"/>
    <w:rsid w:val="5A916386"/>
    <w:rsid w:val="5B015AFC"/>
    <w:rsid w:val="5B1F01E2"/>
    <w:rsid w:val="5BA2CB1F"/>
    <w:rsid w:val="5BEA1403"/>
    <w:rsid w:val="5C52FD94"/>
    <w:rsid w:val="5C8A9332"/>
    <w:rsid w:val="5CB68185"/>
    <w:rsid w:val="620F75DA"/>
    <w:rsid w:val="621F0B17"/>
    <w:rsid w:val="624D2581"/>
    <w:rsid w:val="6329E7C4"/>
    <w:rsid w:val="6415F6F9"/>
    <w:rsid w:val="6681A269"/>
    <w:rsid w:val="66C4BA8E"/>
    <w:rsid w:val="6728A91F"/>
    <w:rsid w:val="6732A429"/>
    <w:rsid w:val="67475912"/>
    <w:rsid w:val="685505BA"/>
    <w:rsid w:val="68A795CF"/>
    <w:rsid w:val="68E78BC1"/>
    <w:rsid w:val="690678C9"/>
    <w:rsid w:val="699BBB43"/>
    <w:rsid w:val="69FB2433"/>
    <w:rsid w:val="6D46F127"/>
    <w:rsid w:val="6D64FE67"/>
    <w:rsid w:val="6D707C0C"/>
    <w:rsid w:val="6E80EDD7"/>
    <w:rsid w:val="6EE88105"/>
    <w:rsid w:val="6FB26DC3"/>
    <w:rsid w:val="70151270"/>
    <w:rsid w:val="705B7276"/>
    <w:rsid w:val="70C92CD0"/>
    <w:rsid w:val="71417CC5"/>
    <w:rsid w:val="76164F15"/>
    <w:rsid w:val="763B4E99"/>
    <w:rsid w:val="77376A11"/>
    <w:rsid w:val="7969351B"/>
    <w:rsid w:val="7A6FEA5B"/>
    <w:rsid w:val="7BAA150E"/>
    <w:rsid w:val="7C420307"/>
    <w:rsid w:val="7C46619C"/>
    <w:rsid w:val="7D62B7C3"/>
    <w:rsid w:val="7D6FE35C"/>
    <w:rsid w:val="7D7EC86B"/>
    <w:rsid w:val="7E726987"/>
    <w:rsid w:val="7EA0D12B"/>
    <w:rsid w:val="7F6ABBE4"/>
    <w:rsid w:val="7FC0E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7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F26"/>
    <w:pPr>
      <w:outlineLvl w:val="0"/>
    </w:pPr>
    <w:rPr>
      <w:b/>
      <w:bCs/>
    </w:rPr>
  </w:style>
  <w:style w:type="paragraph" w:styleId="Heading2">
    <w:name w:val="heading 2"/>
    <w:basedOn w:val="Normal"/>
    <w:next w:val="Normal"/>
    <w:link w:val="Heading2Char"/>
    <w:uiPriority w:val="9"/>
    <w:semiHidden/>
    <w:unhideWhenUsed/>
    <w:qFormat/>
    <w:rsid w:val="00D25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1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1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1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1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1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1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1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F26"/>
    <w:rPr>
      <w:b/>
      <w:bCs/>
    </w:rPr>
  </w:style>
  <w:style w:type="character" w:customStyle="1" w:styleId="Heading2Char">
    <w:name w:val="Heading 2 Char"/>
    <w:basedOn w:val="DefaultParagraphFont"/>
    <w:link w:val="Heading2"/>
    <w:uiPriority w:val="9"/>
    <w:semiHidden/>
    <w:rsid w:val="00D251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1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1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1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13E"/>
    <w:rPr>
      <w:rFonts w:eastAsiaTheme="majorEastAsia" w:cstheme="majorBidi"/>
      <w:color w:val="272727" w:themeColor="text1" w:themeTint="D8"/>
    </w:rPr>
  </w:style>
  <w:style w:type="paragraph" w:styleId="Title">
    <w:name w:val="Title"/>
    <w:basedOn w:val="Normal"/>
    <w:next w:val="Normal"/>
    <w:link w:val="TitleChar"/>
    <w:uiPriority w:val="10"/>
    <w:qFormat/>
    <w:rsid w:val="00D25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13E"/>
    <w:pPr>
      <w:spacing w:before="160"/>
      <w:jc w:val="center"/>
    </w:pPr>
    <w:rPr>
      <w:i/>
      <w:iCs/>
      <w:color w:val="404040" w:themeColor="text1" w:themeTint="BF"/>
    </w:rPr>
  </w:style>
  <w:style w:type="character" w:customStyle="1" w:styleId="QuoteChar">
    <w:name w:val="Quote Char"/>
    <w:basedOn w:val="DefaultParagraphFont"/>
    <w:link w:val="Quote"/>
    <w:uiPriority w:val="29"/>
    <w:rsid w:val="00D2513E"/>
    <w:rPr>
      <w:i/>
      <w:iCs/>
      <w:color w:val="404040" w:themeColor="text1" w:themeTint="BF"/>
    </w:rPr>
  </w:style>
  <w:style w:type="paragraph" w:styleId="ListParagraph">
    <w:name w:val="List Paragraph"/>
    <w:basedOn w:val="Normal"/>
    <w:uiPriority w:val="34"/>
    <w:qFormat/>
    <w:rsid w:val="00D2513E"/>
    <w:pPr>
      <w:ind w:left="720"/>
      <w:contextualSpacing/>
    </w:pPr>
  </w:style>
  <w:style w:type="character" w:styleId="IntenseEmphasis">
    <w:name w:val="Intense Emphasis"/>
    <w:basedOn w:val="DefaultParagraphFont"/>
    <w:uiPriority w:val="21"/>
    <w:qFormat/>
    <w:rsid w:val="00D2513E"/>
    <w:rPr>
      <w:i/>
      <w:iCs/>
      <w:color w:val="0F4761" w:themeColor="accent1" w:themeShade="BF"/>
    </w:rPr>
  </w:style>
  <w:style w:type="paragraph" w:styleId="IntenseQuote">
    <w:name w:val="Intense Quote"/>
    <w:basedOn w:val="Normal"/>
    <w:next w:val="Normal"/>
    <w:link w:val="IntenseQuoteChar"/>
    <w:uiPriority w:val="30"/>
    <w:qFormat/>
    <w:rsid w:val="00D25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13E"/>
    <w:rPr>
      <w:i/>
      <w:iCs/>
      <w:color w:val="0F4761" w:themeColor="accent1" w:themeShade="BF"/>
    </w:rPr>
  </w:style>
  <w:style w:type="character" w:styleId="IntenseReference">
    <w:name w:val="Intense Reference"/>
    <w:basedOn w:val="DefaultParagraphFont"/>
    <w:uiPriority w:val="32"/>
    <w:qFormat/>
    <w:rsid w:val="00D2513E"/>
    <w:rPr>
      <w:b/>
      <w:bCs/>
      <w:smallCaps/>
      <w:color w:val="0F4761" w:themeColor="accent1" w:themeShade="BF"/>
      <w:spacing w:val="5"/>
    </w:rPr>
  </w:style>
  <w:style w:type="table" w:styleId="TableGrid">
    <w:name w:val="Table Grid"/>
    <w:basedOn w:val="TableNormal"/>
    <w:uiPriority w:val="39"/>
    <w:rsid w:val="0075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E"/>
  </w:style>
  <w:style w:type="paragraph" w:styleId="Footer">
    <w:name w:val="footer"/>
    <w:basedOn w:val="Normal"/>
    <w:link w:val="FooterChar"/>
    <w:uiPriority w:val="99"/>
    <w:unhideWhenUsed/>
    <w:rsid w:val="00DD5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E"/>
  </w:style>
  <w:style w:type="character" w:styleId="CommentReference">
    <w:name w:val="annotation reference"/>
    <w:basedOn w:val="DefaultParagraphFont"/>
    <w:uiPriority w:val="99"/>
    <w:semiHidden/>
    <w:unhideWhenUsed/>
    <w:rsid w:val="00F66C4E"/>
    <w:rPr>
      <w:sz w:val="16"/>
      <w:szCs w:val="16"/>
    </w:rPr>
  </w:style>
  <w:style w:type="paragraph" w:styleId="CommentText">
    <w:name w:val="annotation text"/>
    <w:basedOn w:val="Normal"/>
    <w:link w:val="CommentTextChar"/>
    <w:uiPriority w:val="99"/>
    <w:unhideWhenUsed/>
    <w:rsid w:val="00F66C4E"/>
    <w:pPr>
      <w:spacing w:line="240" w:lineRule="auto"/>
    </w:pPr>
    <w:rPr>
      <w:sz w:val="20"/>
      <w:szCs w:val="20"/>
    </w:rPr>
  </w:style>
  <w:style w:type="character" w:customStyle="1" w:styleId="CommentTextChar">
    <w:name w:val="Comment Text Char"/>
    <w:basedOn w:val="DefaultParagraphFont"/>
    <w:link w:val="CommentText"/>
    <w:uiPriority w:val="99"/>
    <w:rsid w:val="00F66C4E"/>
    <w:rPr>
      <w:sz w:val="20"/>
      <w:szCs w:val="20"/>
    </w:rPr>
  </w:style>
  <w:style w:type="paragraph" w:styleId="CommentSubject">
    <w:name w:val="annotation subject"/>
    <w:basedOn w:val="CommentText"/>
    <w:next w:val="CommentText"/>
    <w:link w:val="CommentSubjectChar"/>
    <w:uiPriority w:val="99"/>
    <w:semiHidden/>
    <w:unhideWhenUsed/>
    <w:rsid w:val="00F66C4E"/>
    <w:rPr>
      <w:b/>
      <w:bCs/>
    </w:rPr>
  </w:style>
  <w:style w:type="character" w:customStyle="1" w:styleId="CommentSubjectChar">
    <w:name w:val="Comment Subject Char"/>
    <w:basedOn w:val="CommentTextChar"/>
    <w:link w:val="CommentSubject"/>
    <w:uiPriority w:val="99"/>
    <w:semiHidden/>
    <w:rsid w:val="00F66C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8474</Characters>
  <Application>Microsoft Office Word</Application>
  <DocSecurity>0</DocSecurity>
  <Lines>255</Lines>
  <Paragraphs>100</Paragraphs>
  <ScaleCrop>false</ScaleCrop>
  <HeadingPairs>
    <vt:vector size="2" baseType="variant">
      <vt:variant>
        <vt:lpstr>Title</vt:lpstr>
      </vt:variant>
      <vt:variant>
        <vt:i4>1</vt:i4>
      </vt:variant>
    </vt:vector>
  </HeadingPairs>
  <TitlesOfParts>
    <vt:vector size="1" baseType="lpstr">
      <vt:lpstr>australia-papua-new-guinea-economic-partnership-mid-term-review-management-response</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 Australia-Papua New Guinea Economic Partnership (APEP) mid-term review – June 2025</dc:title>
  <dc:subject/>
  <dc:creator/>
  <cp:keywords>[SEC=OFFICIAL]</cp:keywords>
  <dc:description/>
  <cp:lastModifiedBy/>
  <cp:revision>1</cp:revision>
  <dcterms:created xsi:type="dcterms:W3CDTF">2025-07-29T00:36:00Z</dcterms:created>
  <dcterms:modified xsi:type="dcterms:W3CDTF">2025-07-29T00:38:00Z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v=2022.1;a=SHA256;h=271C3E934B8F79B5EE378E7C26FC082F4FF774484FCF4E197D7AEDF9795B0C09</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2025-06-27T04:39:01Z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52F8B23532E12C40B7EE62350CE90D03E3200703</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E6F6042AA19E4909B10F8861B5EAD1C7</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46E9063955FB937E346326032AA9677FC3744037859FF140DC843B4874D8CF75</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Hash_Salt_Prev">
    <vt:lpwstr>715D08B1E32F96C6C3F779ACCAD3914A</vt:lpwstr>
  </property>
  <property fmtid="{D5CDD505-2E9C-101B-9397-08002B2CF9AE}" pid="26" name="PM_Hash_Salt">
    <vt:lpwstr>39F11160B8DED45AE25C01C589FF7E0C</vt:lpwstr>
  </property>
  <property fmtid="{D5CDD505-2E9C-101B-9397-08002B2CF9AE}" pid="27" name="PM_Hash_SHA1">
    <vt:lpwstr>4727CCE6BF7519F8883232DA6527D15D65737DEC</vt:lpwstr>
  </property>
  <property fmtid="{D5CDD505-2E9C-101B-9397-08002B2CF9AE}" pid="28" name="PM_Caveats_Count">
    <vt:lpwstr>0</vt:lpwstr>
  </property>
</Properties>
</file>