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168F"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189416C5" w14:textId="77777777" w:rsidTr="008A4C51">
        <w:trPr>
          <w:trHeight w:val="4365"/>
        </w:trPr>
        <w:tc>
          <w:tcPr>
            <w:tcW w:w="9060" w:type="dxa"/>
          </w:tcPr>
          <w:p w14:paraId="39F860EA"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8AAB951"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49166A64" w14:textId="77777777" w:rsidTr="00BE0B1C">
        <w:trPr>
          <w:trHeight w:val="737"/>
        </w:trPr>
        <w:tc>
          <w:tcPr>
            <w:tcW w:w="9060" w:type="dxa"/>
          </w:tcPr>
          <w:p w14:paraId="043A3BD7" w14:textId="0B6D4D86" w:rsidR="005714C3" w:rsidRPr="0007327B" w:rsidRDefault="002A54F5" w:rsidP="00DA5381">
            <w:pPr>
              <w:pStyle w:val="WTODTWTODisputeTitle"/>
            </w:pPr>
            <w:r>
              <w:t>India – Measures Concerning Sugar and Sugarcane</w:t>
            </w:r>
          </w:p>
        </w:tc>
      </w:tr>
      <w:tr w:rsidR="005714C3" w:rsidRPr="0007327B" w14:paraId="1B75F3CB" w14:textId="77777777" w:rsidTr="008A4C51">
        <w:trPr>
          <w:trHeight w:val="3175"/>
        </w:trPr>
        <w:tc>
          <w:tcPr>
            <w:tcW w:w="9060" w:type="dxa"/>
          </w:tcPr>
          <w:p w14:paraId="7BFC5C82" w14:textId="41A80C20" w:rsidR="005714C3" w:rsidRPr="0007327B" w:rsidRDefault="005714C3" w:rsidP="00DA5381">
            <w:pPr>
              <w:pStyle w:val="DSNDSNumber"/>
            </w:pPr>
            <w:r w:rsidRPr="0007327B">
              <w:t>(DS</w:t>
            </w:r>
            <w:r w:rsidR="002A54F5">
              <w:t>580</w:t>
            </w:r>
            <w:r w:rsidRPr="0007327B">
              <w:t>)</w:t>
            </w:r>
          </w:p>
        </w:tc>
      </w:tr>
      <w:tr w:rsidR="005714C3" w:rsidRPr="0007327B" w14:paraId="55B7B833" w14:textId="77777777" w:rsidTr="00DD4BA0">
        <w:trPr>
          <w:trHeight w:val="3798"/>
        </w:trPr>
        <w:tc>
          <w:tcPr>
            <w:tcW w:w="9060" w:type="dxa"/>
          </w:tcPr>
          <w:p w14:paraId="1716834C" w14:textId="733F02C6" w:rsidR="005714C3" w:rsidRPr="0007327B" w:rsidRDefault="002A54F5" w:rsidP="00DA5381">
            <w:pPr>
              <w:pStyle w:val="DTDocumentTitle"/>
            </w:pPr>
            <w:r>
              <w:t>Australia's Opening Statement at the Second Substantive Meeting with the Parties</w:t>
            </w:r>
          </w:p>
        </w:tc>
      </w:tr>
      <w:tr w:rsidR="005714C3" w:rsidRPr="0007327B" w14:paraId="361E5163" w14:textId="77777777" w:rsidTr="00BE0B1C">
        <w:trPr>
          <w:trHeight w:val="624"/>
        </w:trPr>
        <w:tc>
          <w:tcPr>
            <w:tcW w:w="9060" w:type="dxa"/>
          </w:tcPr>
          <w:p w14:paraId="04226236" w14:textId="12E76E86" w:rsidR="005714C3" w:rsidRPr="0007327B" w:rsidRDefault="002A54F5" w:rsidP="00DA5381">
            <w:pPr>
              <w:pStyle w:val="DDDocumentDate"/>
            </w:pPr>
            <w:r w:rsidRPr="008C0CE6">
              <w:t>2</w:t>
            </w:r>
            <w:r w:rsidR="001C5F27" w:rsidRPr="008C0CE6">
              <w:t>3</w:t>
            </w:r>
            <w:r>
              <w:t xml:space="preserve"> March 2021</w:t>
            </w:r>
          </w:p>
        </w:tc>
      </w:tr>
    </w:tbl>
    <w:p w14:paraId="44251D67" w14:textId="77777777" w:rsidR="005714C3" w:rsidRPr="0007327B" w:rsidRDefault="005714C3" w:rsidP="00BE0B1C">
      <w:pPr>
        <w:pStyle w:val="BTNSSBodyTextNoSpacingSmall"/>
      </w:pPr>
    </w:p>
    <w:p w14:paraId="5EE5DB79" w14:textId="77777777" w:rsidR="00006269" w:rsidRPr="0007327B" w:rsidRDefault="00006269" w:rsidP="00BE0B1C">
      <w:pPr>
        <w:pStyle w:val="BTNSSBodyTextNoSpacingSmall"/>
      </w:pPr>
      <w:r w:rsidRPr="0007327B">
        <w:br w:type="page"/>
      </w:r>
    </w:p>
    <w:p w14:paraId="33218FBE" w14:textId="77777777" w:rsidR="00F01A73" w:rsidRPr="0007327B"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29943D3F" w14:textId="77777777" w:rsidR="00D47F18" w:rsidRPr="0007327B" w:rsidRDefault="00D47F18">
          <w:pPr>
            <w:pStyle w:val="TOCHeading"/>
            <w:rPr>
              <w:lang w:val="en-AU"/>
            </w:rPr>
          </w:pPr>
          <w:r w:rsidRPr="0007327B">
            <w:rPr>
              <w:lang w:val="en-AU"/>
            </w:rPr>
            <w:t>Table of Contents</w:t>
          </w:r>
        </w:p>
        <w:p w14:paraId="0BAC08B1" w14:textId="04C5E361" w:rsidR="00066C0E" w:rsidRDefault="00F945DB">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67475487" w:history="1">
            <w:r w:rsidR="00066C0E" w:rsidRPr="00061041">
              <w:rPr>
                <w:rStyle w:val="Hyperlink"/>
                <w:noProof/>
              </w:rPr>
              <w:t>Table of Cases</w:t>
            </w:r>
            <w:r w:rsidR="00066C0E">
              <w:rPr>
                <w:noProof/>
                <w:webHidden/>
              </w:rPr>
              <w:tab/>
            </w:r>
            <w:r w:rsidR="00066C0E">
              <w:rPr>
                <w:noProof/>
                <w:webHidden/>
              </w:rPr>
              <w:fldChar w:fldCharType="begin"/>
            </w:r>
            <w:r w:rsidR="00066C0E">
              <w:rPr>
                <w:noProof/>
                <w:webHidden/>
              </w:rPr>
              <w:instrText xml:space="preserve"> PAGEREF _Toc67475487 \h </w:instrText>
            </w:r>
            <w:r w:rsidR="00066C0E">
              <w:rPr>
                <w:noProof/>
                <w:webHidden/>
              </w:rPr>
            </w:r>
            <w:r w:rsidR="00066C0E">
              <w:rPr>
                <w:noProof/>
                <w:webHidden/>
              </w:rPr>
              <w:fldChar w:fldCharType="separate"/>
            </w:r>
            <w:r w:rsidR="000839EB">
              <w:rPr>
                <w:noProof/>
                <w:webHidden/>
              </w:rPr>
              <w:t>3</w:t>
            </w:r>
            <w:r w:rsidR="00066C0E">
              <w:rPr>
                <w:noProof/>
                <w:webHidden/>
              </w:rPr>
              <w:fldChar w:fldCharType="end"/>
            </w:r>
          </w:hyperlink>
        </w:p>
        <w:p w14:paraId="61D61F61" w14:textId="3809BCF9" w:rsidR="00066C0E" w:rsidRDefault="00066C0E">
          <w:pPr>
            <w:pStyle w:val="TOC1"/>
            <w:rPr>
              <w:rFonts w:asciiTheme="minorHAnsi" w:eastAsiaTheme="minorEastAsia" w:hAnsiTheme="minorHAnsi"/>
              <w:b w:val="0"/>
              <w:caps w:val="0"/>
              <w:noProof/>
              <w:sz w:val="22"/>
              <w:szCs w:val="22"/>
              <w:lang w:eastAsia="en-AU"/>
            </w:rPr>
          </w:pPr>
          <w:hyperlink w:anchor="_Toc67475488" w:history="1">
            <w:r w:rsidRPr="00061041">
              <w:rPr>
                <w:rStyle w:val="Hyperlink"/>
                <w:noProof/>
              </w:rPr>
              <w:t>List of Acronyms, Abbreviations and Short Forms</w:t>
            </w:r>
            <w:r>
              <w:rPr>
                <w:noProof/>
                <w:webHidden/>
              </w:rPr>
              <w:tab/>
            </w:r>
            <w:r>
              <w:rPr>
                <w:noProof/>
                <w:webHidden/>
              </w:rPr>
              <w:fldChar w:fldCharType="begin"/>
            </w:r>
            <w:r>
              <w:rPr>
                <w:noProof/>
                <w:webHidden/>
              </w:rPr>
              <w:instrText xml:space="preserve"> PAGEREF _Toc67475488 \h </w:instrText>
            </w:r>
            <w:r>
              <w:rPr>
                <w:noProof/>
                <w:webHidden/>
              </w:rPr>
            </w:r>
            <w:r>
              <w:rPr>
                <w:noProof/>
                <w:webHidden/>
              </w:rPr>
              <w:fldChar w:fldCharType="separate"/>
            </w:r>
            <w:r w:rsidR="000839EB">
              <w:rPr>
                <w:noProof/>
                <w:webHidden/>
              </w:rPr>
              <w:t>4</w:t>
            </w:r>
            <w:r>
              <w:rPr>
                <w:noProof/>
                <w:webHidden/>
              </w:rPr>
              <w:fldChar w:fldCharType="end"/>
            </w:r>
          </w:hyperlink>
        </w:p>
        <w:p w14:paraId="6E7EA51A" w14:textId="5EA299F3" w:rsidR="00066C0E" w:rsidRDefault="00066C0E">
          <w:pPr>
            <w:pStyle w:val="TOC1"/>
            <w:rPr>
              <w:rFonts w:asciiTheme="minorHAnsi" w:eastAsiaTheme="minorEastAsia" w:hAnsiTheme="minorHAnsi"/>
              <w:b w:val="0"/>
              <w:caps w:val="0"/>
              <w:noProof/>
              <w:sz w:val="22"/>
              <w:szCs w:val="22"/>
              <w:lang w:eastAsia="en-AU"/>
            </w:rPr>
          </w:pPr>
          <w:hyperlink w:anchor="_Toc67475489" w:history="1">
            <w:r w:rsidRPr="00061041">
              <w:rPr>
                <w:rStyle w:val="Hyperlink"/>
                <w:noProof/>
              </w:rPr>
              <w:t>List of australia's Exhibits</w:t>
            </w:r>
            <w:r>
              <w:rPr>
                <w:noProof/>
                <w:webHidden/>
              </w:rPr>
              <w:tab/>
            </w:r>
            <w:r>
              <w:rPr>
                <w:noProof/>
                <w:webHidden/>
              </w:rPr>
              <w:fldChar w:fldCharType="begin"/>
            </w:r>
            <w:r>
              <w:rPr>
                <w:noProof/>
                <w:webHidden/>
              </w:rPr>
              <w:instrText xml:space="preserve"> PAGEREF _Toc67475489 \h </w:instrText>
            </w:r>
            <w:r>
              <w:rPr>
                <w:noProof/>
                <w:webHidden/>
              </w:rPr>
            </w:r>
            <w:r>
              <w:rPr>
                <w:noProof/>
                <w:webHidden/>
              </w:rPr>
              <w:fldChar w:fldCharType="separate"/>
            </w:r>
            <w:r w:rsidR="000839EB">
              <w:rPr>
                <w:noProof/>
                <w:webHidden/>
              </w:rPr>
              <w:t>4</w:t>
            </w:r>
            <w:r>
              <w:rPr>
                <w:noProof/>
                <w:webHidden/>
              </w:rPr>
              <w:fldChar w:fldCharType="end"/>
            </w:r>
          </w:hyperlink>
        </w:p>
        <w:p w14:paraId="0B90C09F" w14:textId="4C4C3E75" w:rsidR="00066C0E" w:rsidRDefault="00066C0E">
          <w:pPr>
            <w:pStyle w:val="TOC1"/>
            <w:rPr>
              <w:rFonts w:asciiTheme="minorHAnsi" w:eastAsiaTheme="minorEastAsia" w:hAnsiTheme="minorHAnsi"/>
              <w:b w:val="0"/>
              <w:caps w:val="0"/>
              <w:noProof/>
              <w:sz w:val="22"/>
              <w:szCs w:val="22"/>
              <w:lang w:eastAsia="en-AU"/>
            </w:rPr>
          </w:pPr>
          <w:hyperlink w:anchor="_Toc67475490" w:history="1">
            <w:r w:rsidRPr="00061041">
              <w:rPr>
                <w:rStyle w:val="Hyperlink"/>
                <w:noProof/>
              </w:rPr>
              <w:t>I.</w:t>
            </w:r>
            <w:r>
              <w:rPr>
                <w:rFonts w:asciiTheme="minorHAnsi" w:eastAsiaTheme="minorEastAsia" w:hAnsiTheme="minorHAnsi"/>
                <w:b w:val="0"/>
                <w:caps w:val="0"/>
                <w:noProof/>
                <w:sz w:val="22"/>
                <w:szCs w:val="22"/>
                <w:lang w:eastAsia="en-AU"/>
              </w:rPr>
              <w:tab/>
            </w:r>
            <w:r w:rsidRPr="00061041">
              <w:rPr>
                <w:rStyle w:val="Hyperlink"/>
                <w:noProof/>
              </w:rPr>
              <w:t>INTRODUCTION</w:t>
            </w:r>
            <w:r>
              <w:rPr>
                <w:noProof/>
                <w:webHidden/>
              </w:rPr>
              <w:tab/>
            </w:r>
            <w:r>
              <w:rPr>
                <w:noProof/>
                <w:webHidden/>
              </w:rPr>
              <w:fldChar w:fldCharType="begin"/>
            </w:r>
            <w:r>
              <w:rPr>
                <w:noProof/>
                <w:webHidden/>
              </w:rPr>
              <w:instrText xml:space="preserve"> PAGEREF _Toc67475490 \h </w:instrText>
            </w:r>
            <w:r>
              <w:rPr>
                <w:noProof/>
                <w:webHidden/>
              </w:rPr>
            </w:r>
            <w:r>
              <w:rPr>
                <w:noProof/>
                <w:webHidden/>
              </w:rPr>
              <w:fldChar w:fldCharType="separate"/>
            </w:r>
            <w:r w:rsidR="000839EB">
              <w:rPr>
                <w:noProof/>
                <w:webHidden/>
              </w:rPr>
              <w:t>5</w:t>
            </w:r>
            <w:r>
              <w:rPr>
                <w:noProof/>
                <w:webHidden/>
              </w:rPr>
              <w:fldChar w:fldCharType="end"/>
            </w:r>
          </w:hyperlink>
        </w:p>
        <w:p w14:paraId="4B3A5613" w14:textId="6BC82456" w:rsidR="00066C0E" w:rsidRDefault="00066C0E">
          <w:pPr>
            <w:pStyle w:val="TOC1"/>
            <w:rPr>
              <w:rFonts w:asciiTheme="minorHAnsi" w:eastAsiaTheme="minorEastAsia" w:hAnsiTheme="minorHAnsi"/>
              <w:b w:val="0"/>
              <w:caps w:val="0"/>
              <w:noProof/>
              <w:sz w:val="22"/>
              <w:szCs w:val="22"/>
              <w:lang w:eastAsia="en-AU"/>
            </w:rPr>
          </w:pPr>
          <w:hyperlink w:anchor="_Toc67475491" w:history="1">
            <w:r w:rsidRPr="00061041">
              <w:rPr>
                <w:rStyle w:val="Hyperlink"/>
                <w:noProof/>
              </w:rPr>
              <w:t>II.</w:t>
            </w:r>
            <w:r>
              <w:rPr>
                <w:rFonts w:asciiTheme="minorHAnsi" w:eastAsiaTheme="minorEastAsia" w:hAnsiTheme="minorHAnsi"/>
                <w:b w:val="0"/>
                <w:caps w:val="0"/>
                <w:noProof/>
                <w:sz w:val="22"/>
                <w:szCs w:val="22"/>
                <w:lang w:eastAsia="en-AU"/>
              </w:rPr>
              <w:tab/>
            </w:r>
            <w:r w:rsidRPr="00061041">
              <w:rPr>
                <w:rStyle w:val="Hyperlink"/>
                <w:noProof/>
              </w:rPr>
              <w:t>india'S DOMESTIC SUPPORT IN FAVOUR OF SUGARCANE PRODUCERS VIOLATES ITS OBLIGATIONS UNDER THE AGREEMENT ON AGRICULTURE</w:t>
            </w:r>
            <w:r>
              <w:rPr>
                <w:noProof/>
                <w:webHidden/>
              </w:rPr>
              <w:tab/>
            </w:r>
            <w:r>
              <w:rPr>
                <w:noProof/>
                <w:webHidden/>
              </w:rPr>
              <w:fldChar w:fldCharType="begin"/>
            </w:r>
            <w:r>
              <w:rPr>
                <w:noProof/>
                <w:webHidden/>
              </w:rPr>
              <w:instrText xml:space="preserve"> PAGEREF _Toc67475491 \h </w:instrText>
            </w:r>
            <w:r>
              <w:rPr>
                <w:noProof/>
                <w:webHidden/>
              </w:rPr>
            </w:r>
            <w:r>
              <w:rPr>
                <w:noProof/>
                <w:webHidden/>
              </w:rPr>
              <w:fldChar w:fldCharType="separate"/>
            </w:r>
            <w:r w:rsidR="000839EB">
              <w:rPr>
                <w:noProof/>
                <w:webHidden/>
              </w:rPr>
              <w:t>5</w:t>
            </w:r>
            <w:r>
              <w:rPr>
                <w:noProof/>
                <w:webHidden/>
              </w:rPr>
              <w:fldChar w:fldCharType="end"/>
            </w:r>
          </w:hyperlink>
        </w:p>
        <w:p w14:paraId="1804E73A" w14:textId="078B5DC9" w:rsidR="00066C0E" w:rsidRDefault="00066C0E">
          <w:pPr>
            <w:pStyle w:val="TOC2"/>
            <w:rPr>
              <w:rFonts w:asciiTheme="minorHAnsi" w:eastAsiaTheme="minorEastAsia" w:hAnsiTheme="minorHAnsi"/>
              <w:b w:val="0"/>
              <w:smallCaps w:val="0"/>
              <w:noProof/>
              <w:sz w:val="22"/>
              <w:szCs w:val="22"/>
              <w:lang w:eastAsia="en-AU"/>
            </w:rPr>
          </w:pPr>
          <w:hyperlink w:anchor="_Toc67475492" w:history="1">
            <w:r w:rsidRPr="00061041">
              <w:rPr>
                <w:rStyle w:val="Hyperlink"/>
                <w:noProof/>
              </w:rPr>
              <w:t>A.</w:t>
            </w:r>
            <w:r>
              <w:rPr>
                <w:rFonts w:asciiTheme="minorHAnsi" w:eastAsiaTheme="minorEastAsia" w:hAnsiTheme="minorHAnsi"/>
                <w:b w:val="0"/>
                <w:smallCaps w:val="0"/>
                <w:noProof/>
                <w:sz w:val="22"/>
                <w:szCs w:val="22"/>
                <w:lang w:eastAsia="en-AU"/>
              </w:rPr>
              <w:tab/>
            </w:r>
            <w:r w:rsidRPr="00061041">
              <w:rPr>
                <w:rStyle w:val="Hyperlink"/>
                <w:noProof/>
              </w:rPr>
              <w:t>Adopting India's interpretation of "market price support" would have negative systemic consequences</w:t>
            </w:r>
            <w:r>
              <w:rPr>
                <w:noProof/>
                <w:webHidden/>
              </w:rPr>
              <w:tab/>
            </w:r>
            <w:r>
              <w:rPr>
                <w:noProof/>
                <w:webHidden/>
              </w:rPr>
              <w:fldChar w:fldCharType="begin"/>
            </w:r>
            <w:r>
              <w:rPr>
                <w:noProof/>
                <w:webHidden/>
              </w:rPr>
              <w:instrText xml:space="preserve"> PAGEREF _Toc67475492 \h </w:instrText>
            </w:r>
            <w:r>
              <w:rPr>
                <w:noProof/>
                <w:webHidden/>
              </w:rPr>
            </w:r>
            <w:r>
              <w:rPr>
                <w:noProof/>
                <w:webHidden/>
              </w:rPr>
              <w:fldChar w:fldCharType="separate"/>
            </w:r>
            <w:r w:rsidR="000839EB">
              <w:rPr>
                <w:noProof/>
                <w:webHidden/>
              </w:rPr>
              <w:t>5</w:t>
            </w:r>
            <w:r>
              <w:rPr>
                <w:noProof/>
                <w:webHidden/>
              </w:rPr>
              <w:fldChar w:fldCharType="end"/>
            </w:r>
          </w:hyperlink>
        </w:p>
        <w:p w14:paraId="0F276B1F" w14:textId="0948194B" w:rsidR="00066C0E" w:rsidRDefault="00066C0E">
          <w:pPr>
            <w:pStyle w:val="TOC2"/>
            <w:rPr>
              <w:rFonts w:asciiTheme="minorHAnsi" w:eastAsiaTheme="minorEastAsia" w:hAnsiTheme="minorHAnsi"/>
              <w:b w:val="0"/>
              <w:smallCaps w:val="0"/>
              <w:noProof/>
              <w:sz w:val="22"/>
              <w:szCs w:val="22"/>
              <w:lang w:eastAsia="en-AU"/>
            </w:rPr>
          </w:pPr>
          <w:hyperlink w:anchor="_Toc67475493" w:history="1">
            <w:r w:rsidRPr="00061041">
              <w:rPr>
                <w:rStyle w:val="Hyperlink"/>
                <w:noProof/>
              </w:rPr>
              <w:t>B.</w:t>
            </w:r>
            <w:r>
              <w:rPr>
                <w:rFonts w:asciiTheme="minorHAnsi" w:eastAsiaTheme="minorEastAsia" w:hAnsiTheme="minorHAnsi"/>
                <w:b w:val="0"/>
                <w:smallCaps w:val="0"/>
                <w:noProof/>
                <w:sz w:val="22"/>
                <w:szCs w:val="22"/>
                <w:lang w:eastAsia="en-AU"/>
              </w:rPr>
              <w:tab/>
            </w:r>
            <w:r w:rsidRPr="00061041">
              <w:rPr>
                <w:rStyle w:val="Hyperlink"/>
                <w:noProof/>
              </w:rPr>
              <w:t>Article 6.1</w:t>
            </w:r>
            <w:r>
              <w:rPr>
                <w:noProof/>
                <w:webHidden/>
              </w:rPr>
              <w:tab/>
            </w:r>
            <w:r>
              <w:rPr>
                <w:noProof/>
                <w:webHidden/>
              </w:rPr>
              <w:fldChar w:fldCharType="begin"/>
            </w:r>
            <w:r>
              <w:rPr>
                <w:noProof/>
                <w:webHidden/>
              </w:rPr>
              <w:instrText xml:space="preserve"> PAGEREF _Toc67475493 \h </w:instrText>
            </w:r>
            <w:r>
              <w:rPr>
                <w:noProof/>
                <w:webHidden/>
              </w:rPr>
            </w:r>
            <w:r>
              <w:rPr>
                <w:noProof/>
                <w:webHidden/>
              </w:rPr>
              <w:fldChar w:fldCharType="separate"/>
            </w:r>
            <w:r w:rsidR="000839EB">
              <w:rPr>
                <w:noProof/>
                <w:webHidden/>
              </w:rPr>
              <w:t>7</w:t>
            </w:r>
            <w:r>
              <w:rPr>
                <w:noProof/>
                <w:webHidden/>
              </w:rPr>
              <w:fldChar w:fldCharType="end"/>
            </w:r>
          </w:hyperlink>
        </w:p>
        <w:p w14:paraId="76454FF0" w14:textId="2C1B156A" w:rsidR="00066C0E" w:rsidRDefault="00066C0E">
          <w:pPr>
            <w:pStyle w:val="TOC2"/>
            <w:rPr>
              <w:rFonts w:asciiTheme="minorHAnsi" w:eastAsiaTheme="minorEastAsia" w:hAnsiTheme="minorHAnsi"/>
              <w:b w:val="0"/>
              <w:smallCaps w:val="0"/>
              <w:noProof/>
              <w:sz w:val="22"/>
              <w:szCs w:val="22"/>
              <w:lang w:eastAsia="en-AU"/>
            </w:rPr>
          </w:pPr>
          <w:hyperlink w:anchor="_Toc67475494" w:history="1">
            <w:r w:rsidRPr="00061041">
              <w:rPr>
                <w:rStyle w:val="Hyperlink"/>
                <w:noProof/>
              </w:rPr>
              <w:t>C.</w:t>
            </w:r>
            <w:r>
              <w:rPr>
                <w:rFonts w:asciiTheme="minorHAnsi" w:eastAsiaTheme="minorEastAsia" w:hAnsiTheme="minorHAnsi"/>
                <w:b w:val="0"/>
                <w:smallCaps w:val="0"/>
                <w:noProof/>
                <w:sz w:val="22"/>
                <w:szCs w:val="22"/>
                <w:lang w:eastAsia="en-AU"/>
              </w:rPr>
              <w:tab/>
            </w:r>
            <w:r w:rsidRPr="00061041">
              <w:rPr>
                <w:rStyle w:val="Hyperlink"/>
                <w:noProof/>
              </w:rPr>
              <w:t>Paragraph 1 of Annex 3</w:t>
            </w:r>
            <w:r>
              <w:rPr>
                <w:noProof/>
                <w:webHidden/>
              </w:rPr>
              <w:tab/>
            </w:r>
            <w:r>
              <w:rPr>
                <w:noProof/>
                <w:webHidden/>
              </w:rPr>
              <w:fldChar w:fldCharType="begin"/>
            </w:r>
            <w:r>
              <w:rPr>
                <w:noProof/>
                <w:webHidden/>
              </w:rPr>
              <w:instrText xml:space="preserve"> PAGEREF _Toc67475494 \h </w:instrText>
            </w:r>
            <w:r>
              <w:rPr>
                <w:noProof/>
                <w:webHidden/>
              </w:rPr>
            </w:r>
            <w:r>
              <w:rPr>
                <w:noProof/>
                <w:webHidden/>
              </w:rPr>
              <w:fldChar w:fldCharType="separate"/>
            </w:r>
            <w:r w:rsidR="000839EB">
              <w:rPr>
                <w:noProof/>
                <w:webHidden/>
              </w:rPr>
              <w:t>8</w:t>
            </w:r>
            <w:r>
              <w:rPr>
                <w:noProof/>
                <w:webHidden/>
              </w:rPr>
              <w:fldChar w:fldCharType="end"/>
            </w:r>
          </w:hyperlink>
        </w:p>
        <w:p w14:paraId="5C18958F" w14:textId="01038A5B" w:rsidR="00066C0E" w:rsidRDefault="00066C0E">
          <w:pPr>
            <w:pStyle w:val="TOC2"/>
            <w:rPr>
              <w:rFonts w:asciiTheme="minorHAnsi" w:eastAsiaTheme="minorEastAsia" w:hAnsiTheme="minorHAnsi"/>
              <w:b w:val="0"/>
              <w:smallCaps w:val="0"/>
              <w:noProof/>
              <w:sz w:val="22"/>
              <w:szCs w:val="22"/>
              <w:lang w:eastAsia="en-AU"/>
            </w:rPr>
          </w:pPr>
          <w:hyperlink w:anchor="_Toc67475495" w:history="1">
            <w:r w:rsidRPr="00061041">
              <w:rPr>
                <w:rStyle w:val="Hyperlink"/>
                <w:noProof/>
              </w:rPr>
              <w:t>D.</w:t>
            </w:r>
            <w:r>
              <w:rPr>
                <w:rFonts w:asciiTheme="minorHAnsi" w:eastAsiaTheme="minorEastAsia" w:hAnsiTheme="minorHAnsi"/>
                <w:b w:val="0"/>
                <w:smallCaps w:val="0"/>
                <w:noProof/>
                <w:sz w:val="22"/>
                <w:szCs w:val="22"/>
                <w:lang w:eastAsia="en-AU"/>
              </w:rPr>
              <w:tab/>
            </w:r>
            <w:r w:rsidRPr="00061041">
              <w:rPr>
                <w:rStyle w:val="Hyperlink"/>
                <w:noProof/>
              </w:rPr>
              <w:t>Paragraph 2 of Annex 3</w:t>
            </w:r>
            <w:r>
              <w:rPr>
                <w:noProof/>
                <w:webHidden/>
              </w:rPr>
              <w:tab/>
            </w:r>
            <w:r>
              <w:rPr>
                <w:noProof/>
                <w:webHidden/>
              </w:rPr>
              <w:fldChar w:fldCharType="begin"/>
            </w:r>
            <w:r>
              <w:rPr>
                <w:noProof/>
                <w:webHidden/>
              </w:rPr>
              <w:instrText xml:space="preserve"> PAGEREF _Toc67475495 \h </w:instrText>
            </w:r>
            <w:r>
              <w:rPr>
                <w:noProof/>
                <w:webHidden/>
              </w:rPr>
            </w:r>
            <w:r>
              <w:rPr>
                <w:noProof/>
                <w:webHidden/>
              </w:rPr>
              <w:fldChar w:fldCharType="separate"/>
            </w:r>
            <w:r w:rsidR="000839EB">
              <w:rPr>
                <w:noProof/>
                <w:webHidden/>
              </w:rPr>
              <w:t>9</w:t>
            </w:r>
            <w:r>
              <w:rPr>
                <w:noProof/>
                <w:webHidden/>
              </w:rPr>
              <w:fldChar w:fldCharType="end"/>
            </w:r>
          </w:hyperlink>
        </w:p>
        <w:p w14:paraId="362E7407" w14:textId="3B5F2E99" w:rsidR="00066C0E" w:rsidRDefault="00066C0E">
          <w:pPr>
            <w:pStyle w:val="TOC2"/>
            <w:rPr>
              <w:rFonts w:asciiTheme="minorHAnsi" w:eastAsiaTheme="minorEastAsia" w:hAnsiTheme="minorHAnsi"/>
              <w:b w:val="0"/>
              <w:smallCaps w:val="0"/>
              <w:noProof/>
              <w:sz w:val="22"/>
              <w:szCs w:val="22"/>
              <w:lang w:eastAsia="en-AU"/>
            </w:rPr>
          </w:pPr>
          <w:hyperlink w:anchor="_Toc67475496" w:history="1">
            <w:r w:rsidRPr="00061041">
              <w:rPr>
                <w:rStyle w:val="Hyperlink"/>
                <w:noProof/>
              </w:rPr>
              <w:t>E.</w:t>
            </w:r>
            <w:r>
              <w:rPr>
                <w:rFonts w:asciiTheme="minorHAnsi" w:eastAsiaTheme="minorEastAsia" w:hAnsiTheme="minorHAnsi"/>
                <w:b w:val="0"/>
                <w:smallCaps w:val="0"/>
                <w:noProof/>
                <w:sz w:val="22"/>
                <w:szCs w:val="22"/>
                <w:lang w:eastAsia="en-AU"/>
              </w:rPr>
              <w:tab/>
            </w:r>
            <w:r w:rsidRPr="00061041">
              <w:rPr>
                <w:rStyle w:val="Hyperlink"/>
                <w:noProof/>
              </w:rPr>
              <w:t>Paragraph 8 of Annex 3</w:t>
            </w:r>
            <w:r>
              <w:rPr>
                <w:noProof/>
                <w:webHidden/>
              </w:rPr>
              <w:tab/>
            </w:r>
            <w:r>
              <w:rPr>
                <w:noProof/>
                <w:webHidden/>
              </w:rPr>
              <w:fldChar w:fldCharType="begin"/>
            </w:r>
            <w:r>
              <w:rPr>
                <w:noProof/>
                <w:webHidden/>
              </w:rPr>
              <w:instrText xml:space="preserve"> PAGEREF _Toc67475496 \h </w:instrText>
            </w:r>
            <w:r>
              <w:rPr>
                <w:noProof/>
                <w:webHidden/>
              </w:rPr>
            </w:r>
            <w:r>
              <w:rPr>
                <w:noProof/>
                <w:webHidden/>
              </w:rPr>
              <w:fldChar w:fldCharType="separate"/>
            </w:r>
            <w:r w:rsidR="000839EB">
              <w:rPr>
                <w:noProof/>
                <w:webHidden/>
              </w:rPr>
              <w:t>10</w:t>
            </w:r>
            <w:r>
              <w:rPr>
                <w:noProof/>
                <w:webHidden/>
              </w:rPr>
              <w:fldChar w:fldCharType="end"/>
            </w:r>
          </w:hyperlink>
        </w:p>
        <w:p w14:paraId="2F260BA8" w14:textId="7AEA2ED1" w:rsidR="00066C0E" w:rsidRDefault="00066C0E">
          <w:pPr>
            <w:pStyle w:val="TOC2"/>
            <w:rPr>
              <w:rFonts w:asciiTheme="minorHAnsi" w:eastAsiaTheme="minorEastAsia" w:hAnsiTheme="minorHAnsi"/>
              <w:b w:val="0"/>
              <w:smallCaps w:val="0"/>
              <w:noProof/>
              <w:sz w:val="22"/>
              <w:szCs w:val="22"/>
              <w:lang w:eastAsia="en-AU"/>
            </w:rPr>
          </w:pPr>
          <w:hyperlink w:anchor="_Toc67475497" w:history="1">
            <w:r w:rsidRPr="00061041">
              <w:rPr>
                <w:rStyle w:val="Hyperlink"/>
                <w:noProof/>
              </w:rPr>
              <w:t>F.</w:t>
            </w:r>
            <w:r>
              <w:rPr>
                <w:rFonts w:asciiTheme="minorHAnsi" w:eastAsiaTheme="minorEastAsia" w:hAnsiTheme="minorHAnsi"/>
                <w:b w:val="0"/>
                <w:smallCaps w:val="0"/>
                <w:noProof/>
                <w:sz w:val="22"/>
                <w:szCs w:val="22"/>
                <w:lang w:eastAsia="en-AU"/>
              </w:rPr>
              <w:tab/>
            </w:r>
            <w:r w:rsidRPr="00061041">
              <w:rPr>
                <w:rStyle w:val="Hyperlink"/>
                <w:noProof/>
              </w:rPr>
              <w:t>Conclusion</w:t>
            </w:r>
            <w:r>
              <w:rPr>
                <w:noProof/>
                <w:webHidden/>
              </w:rPr>
              <w:tab/>
            </w:r>
            <w:r>
              <w:rPr>
                <w:noProof/>
                <w:webHidden/>
              </w:rPr>
              <w:fldChar w:fldCharType="begin"/>
            </w:r>
            <w:r>
              <w:rPr>
                <w:noProof/>
                <w:webHidden/>
              </w:rPr>
              <w:instrText xml:space="preserve"> PAGEREF _Toc67475497 \h </w:instrText>
            </w:r>
            <w:r>
              <w:rPr>
                <w:noProof/>
                <w:webHidden/>
              </w:rPr>
            </w:r>
            <w:r>
              <w:rPr>
                <w:noProof/>
                <w:webHidden/>
              </w:rPr>
              <w:fldChar w:fldCharType="separate"/>
            </w:r>
            <w:r w:rsidR="000839EB">
              <w:rPr>
                <w:noProof/>
                <w:webHidden/>
              </w:rPr>
              <w:t>11</w:t>
            </w:r>
            <w:r>
              <w:rPr>
                <w:noProof/>
                <w:webHidden/>
              </w:rPr>
              <w:fldChar w:fldCharType="end"/>
            </w:r>
          </w:hyperlink>
        </w:p>
        <w:p w14:paraId="619A0113" w14:textId="46932714" w:rsidR="00066C0E" w:rsidRDefault="00066C0E">
          <w:pPr>
            <w:pStyle w:val="TOC1"/>
            <w:rPr>
              <w:rFonts w:asciiTheme="minorHAnsi" w:eastAsiaTheme="minorEastAsia" w:hAnsiTheme="minorHAnsi"/>
              <w:b w:val="0"/>
              <w:caps w:val="0"/>
              <w:noProof/>
              <w:sz w:val="22"/>
              <w:szCs w:val="22"/>
              <w:lang w:eastAsia="en-AU"/>
            </w:rPr>
          </w:pPr>
          <w:hyperlink w:anchor="_Toc67475498" w:history="1">
            <w:r w:rsidRPr="00061041">
              <w:rPr>
                <w:rStyle w:val="Hyperlink"/>
                <w:noProof/>
              </w:rPr>
              <w:t>III.</w:t>
            </w:r>
            <w:r>
              <w:rPr>
                <w:rFonts w:asciiTheme="minorHAnsi" w:eastAsiaTheme="minorEastAsia" w:hAnsiTheme="minorHAnsi"/>
                <w:b w:val="0"/>
                <w:caps w:val="0"/>
                <w:noProof/>
                <w:sz w:val="22"/>
                <w:szCs w:val="22"/>
                <w:lang w:eastAsia="en-AU"/>
              </w:rPr>
              <w:tab/>
            </w:r>
            <w:r w:rsidRPr="00061041">
              <w:rPr>
                <w:rStyle w:val="Hyperlink"/>
                <w:noProof/>
              </w:rPr>
              <w:t>INDIA'S export subsidies FOR SUGAR ARE INCONSISTENT WITH ITS OBLIGATIONS UNDER THE AGREEMENT ON AGRICULTURE AND THE SCM AGREEMENT</w:t>
            </w:r>
            <w:r>
              <w:rPr>
                <w:noProof/>
                <w:webHidden/>
              </w:rPr>
              <w:tab/>
            </w:r>
            <w:r>
              <w:rPr>
                <w:noProof/>
                <w:webHidden/>
              </w:rPr>
              <w:fldChar w:fldCharType="begin"/>
            </w:r>
            <w:r>
              <w:rPr>
                <w:noProof/>
                <w:webHidden/>
              </w:rPr>
              <w:instrText xml:space="preserve"> PAGEREF _Toc67475498 \h </w:instrText>
            </w:r>
            <w:r>
              <w:rPr>
                <w:noProof/>
                <w:webHidden/>
              </w:rPr>
            </w:r>
            <w:r>
              <w:rPr>
                <w:noProof/>
                <w:webHidden/>
              </w:rPr>
              <w:fldChar w:fldCharType="separate"/>
            </w:r>
            <w:r w:rsidR="000839EB">
              <w:rPr>
                <w:noProof/>
                <w:webHidden/>
              </w:rPr>
              <w:t>12</w:t>
            </w:r>
            <w:r>
              <w:rPr>
                <w:noProof/>
                <w:webHidden/>
              </w:rPr>
              <w:fldChar w:fldCharType="end"/>
            </w:r>
          </w:hyperlink>
        </w:p>
        <w:p w14:paraId="6C2815F5" w14:textId="721ADD6F" w:rsidR="00066C0E" w:rsidRDefault="00066C0E">
          <w:pPr>
            <w:pStyle w:val="TOC2"/>
            <w:rPr>
              <w:rFonts w:asciiTheme="minorHAnsi" w:eastAsiaTheme="minorEastAsia" w:hAnsiTheme="minorHAnsi"/>
              <w:b w:val="0"/>
              <w:smallCaps w:val="0"/>
              <w:noProof/>
              <w:sz w:val="22"/>
              <w:szCs w:val="22"/>
              <w:lang w:eastAsia="en-AU"/>
            </w:rPr>
          </w:pPr>
          <w:hyperlink w:anchor="_Toc67475499" w:history="1">
            <w:r w:rsidRPr="00061041">
              <w:rPr>
                <w:rStyle w:val="Hyperlink"/>
                <w:noProof/>
              </w:rPr>
              <w:t>A.</w:t>
            </w:r>
            <w:r>
              <w:rPr>
                <w:rFonts w:asciiTheme="minorHAnsi" w:eastAsiaTheme="minorEastAsia" w:hAnsiTheme="minorHAnsi"/>
                <w:b w:val="0"/>
                <w:smallCaps w:val="0"/>
                <w:noProof/>
                <w:sz w:val="22"/>
                <w:szCs w:val="22"/>
                <w:lang w:eastAsia="en-AU"/>
              </w:rPr>
              <w:tab/>
            </w:r>
            <w:r w:rsidRPr="00061041">
              <w:rPr>
                <w:rStyle w:val="Hyperlink"/>
                <w:noProof/>
              </w:rPr>
              <w:t>Evidence of actual disbursements is not required to demonstrate the existence of a subsidy</w:t>
            </w:r>
            <w:r>
              <w:rPr>
                <w:noProof/>
                <w:webHidden/>
              </w:rPr>
              <w:tab/>
            </w:r>
            <w:r>
              <w:rPr>
                <w:noProof/>
                <w:webHidden/>
              </w:rPr>
              <w:fldChar w:fldCharType="begin"/>
            </w:r>
            <w:r>
              <w:rPr>
                <w:noProof/>
                <w:webHidden/>
              </w:rPr>
              <w:instrText xml:space="preserve"> PAGEREF _Toc67475499 \h </w:instrText>
            </w:r>
            <w:r>
              <w:rPr>
                <w:noProof/>
                <w:webHidden/>
              </w:rPr>
            </w:r>
            <w:r>
              <w:rPr>
                <w:noProof/>
                <w:webHidden/>
              </w:rPr>
              <w:fldChar w:fldCharType="separate"/>
            </w:r>
            <w:r w:rsidR="000839EB">
              <w:rPr>
                <w:noProof/>
                <w:webHidden/>
              </w:rPr>
              <w:t>12</w:t>
            </w:r>
            <w:r>
              <w:rPr>
                <w:noProof/>
                <w:webHidden/>
              </w:rPr>
              <w:fldChar w:fldCharType="end"/>
            </w:r>
          </w:hyperlink>
        </w:p>
        <w:p w14:paraId="58DF52F6" w14:textId="2662F78F" w:rsidR="00066C0E" w:rsidRDefault="00066C0E">
          <w:pPr>
            <w:pStyle w:val="TOC2"/>
            <w:rPr>
              <w:rFonts w:asciiTheme="minorHAnsi" w:eastAsiaTheme="minorEastAsia" w:hAnsiTheme="minorHAnsi"/>
              <w:b w:val="0"/>
              <w:smallCaps w:val="0"/>
              <w:noProof/>
              <w:sz w:val="22"/>
              <w:szCs w:val="22"/>
              <w:lang w:eastAsia="en-AU"/>
            </w:rPr>
          </w:pPr>
          <w:hyperlink w:anchor="_Toc67475500" w:history="1">
            <w:r w:rsidRPr="00061041">
              <w:rPr>
                <w:rStyle w:val="Hyperlink"/>
                <w:noProof/>
              </w:rPr>
              <w:t>B.</w:t>
            </w:r>
            <w:r>
              <w:rPr>
                <w:rFonts w:asciiTheme="minorHAnsi" w:eastAsiaTheme="minorEastAsia" w:hAnsiTheme="minorHAnsi"/>
                <w:b w:val="0"/>
                <w:smallCaps w:val="0"/>
                <w:noProof/>
                <w:sz w:val="22"/>
                <w:szCs w:val="22"/>
                <w:lang w:eastAsia="en-AU"/>
              </w:rPr>
              <w:tab/>
            </w:r>
            <w:r w:rsidRPr="00061041">
              <w:rPr>
                <w:rStyle w:val="Hyperlink"/>
                <w:noProof/>
              </w:rPr>
              <w:t>India mischaracterises the nature of a benefit and relevance of market comparison exercises</w:t>
            </w:r>
            <w:r>
              <w:rPr>
                <w:noProof/>
                <w:webHidden/>
              </w:rPr>
              <w:tab/>
            </w:r>
            <w:r>
              <w:rPr>
                <w:noProof/>
                <w:webHidden/>
              </w:rPr>
              <w:fldChar w:fldCharType="begin"/>
            </w:r>
            <w:r>
              <w:rPr>
                <w:noProof/>
                <w:webHidden/>
              </w:rPr>
              <w:instrText xml:space="preserve"> PAGEREF _Toc67475500 \h </w:instrText>
            </w:r>
            <w:r>
              <w:rPr>
                <w:noProof/>
                <w:webHidden/>
              </w:rPr>
            </w:r>
            <w:r>
              <w:rPr>
                <w:noProof/>
                <w:webHidden/>
              </w:rPr>
              <w:fldChar w:fldCharType="separate"/>
            </w:r>
            <w:r w:rsidR="000839EB">
              <w:rPr>
                <w:noProof/>
                <w:webHidden/>
              </w:rPr>
              <w:t>16</w:t>
            </w:r>
            <w:r>
              <w:rPr>
                <w:noProof/>
                <w:webHidden/>
              </w:rPr>
              <w:fldChar w:fldCharType="end"/>
            </w:r>
          </w:hyperlink>
        </w:p>
        <w:p w14:paraId="0A7E840F" w14:textId="06CB1881" w:rsidR="00066C0E" w:rsidRDefault="00066C0E">
          <w:pPr>
            <w:pStyle w:val="TOC2"/>
            <w:rPr>
              <w:rFonts w:asciiTheme="minorHAnsi" w:eastAsiaTheme="minorEastAsia" w:hAnsiTheme="minorHAnsi"/>
              <w:b w:val="0"/>
              <w:smallCaps w:val="0"/>
              <w:noProof/>
              <w:sz w:val="22"/>
              <w:szCs w:val="22"/>
              <w:lang w:eastAsia="en-AU"/>
            </w:rPr>
          </w:pPr>
          <w:hyperlink w:anchor="_Toc67475501" w:history="1">
            <w:r w:rsidRPr="00061041">
              <w:rPr>
                <w:rStyle w:val="Hyperlink"/>
                <w:noProof/>
              </w:rPr>
              <w:t>C.</w:t>
            </w:r>
            <w:r>
              <w:rPr>
                <w:rFonts w:asciiTheme="minorHAnsi" w:eastAsiaTheme="minorEastAsia" w:hAnsiTheme="minorHAnsi"/>
                <w:b w:val="0"/>
                <w:smallCaps w:val="0"/>
                <w:noProof/>
                <w:sz w:val="22"/>
                <w:szCs w:val="22"/>
                <w:lang w:eastAsia="en-AU"/>
              </w:rPr>
              <w:tab/>
            </w:r>
            <w:r w:rsidRPr="00061041">
              <w:rPr>
                <w:rStyle w:val="Hyperlink"/>
                <w:noProof/>
              </w:rPr>
              <w:t>India acknowledges that the purpose of the MAEQ scheme is to relieve mills of cane arrears</w:t>
            </w:r>
            <w:r>
              <w:rPr>
                <w:noProof/>
                <w:webHidden/>
              </w:rPr>
              <w:tab/>
            </w:r>
            <w:r>
              <w:rPr>
                <w:noProof/>
                <w:webHidden/>
              </w:rPr>
              <w:fldChar w:fldCharType="begin"/>
            </w:r>
            <w:r>
              <w:rPr>
                <w:noProof/>
                <w:webHidden/>
              </w:rPr>
              <w:instrText xml:space="preserve"> PAGEREF _Toc67475501 \h </w:instrText>
            </w:r>
            <w:r>
              <w:rPr>
                <w:noProof/>
                <w:webHidden/>
              </w:rPr>
            </w:r>
            <w:r>
              <w:rPr>
                <w:noProof/>
                <w:webHidden/>
              </w:rPr>
              <w:fldChar w:fldCharType="separate"/>
            </w:r>
            <w:r w:rsidR="000839EB">
              <w:rPr>
                <w:noProof/>
                <w:webHidden/>
              </w:rPr>
              <w:t>18</w:t>
            </w:r>
            <w:r>
              <w:rPr>
                <w:noProof/>
                <w:webHidden/>
              </w:rPr>
              <w:fldChar w:fldCharType="end"/>
            </w:r>
          </w:hyperlink>
        </w:p>
        <w:p w14:paraId="329CDB03" w14:textId="63AD8BB3" w:rsidR="00066C0E" w:rsidRDefault="00066C0E">
          <w:pPr>
            <w:pStyle w:val="TOC2"/>
            <w:rPr>
              <w:rFonts w:asciiTheme="minorHAnsi" w:eastAsiaTheme="minorEastAsia" w:hAnsiTheme="minorHAnsi"/>
              <w:b w:val="0"/>
              <w:smallCaps w:val="0"/>
              <w:noProof/>
              <w:sz w:val="22"/>
              <w:szCs w:val="22"/>
              <w:lang w:eastAsia="en-AU"/>
            </w:rPr>
          </w:pPr>
          <w:hyperlink w:anchor="_Toc67475502" w:history="1">
            <w:r w:rsidRPr="00061041">
              <w:rPr>
                <w:rStyle w:val="Hyperlink"/>
                <w:noProof/>
              </w:rPr>
              <w:t>D.</w:t>
            </w:r>
            <w:r>
              <w:rPr>
                <w:rFonts w:asciiTheme="minorHAnsi" w:eastAsiaTheme="minorEastAsia" w:hAnsiTheme="minorHAnsi"/>
                <w:b w:val="0"/>
                <w:smallCaps w:val="0"/>
                <w:noProof/>
                <w:sz w:val="22"/>
                <w:szCs w:val="22"/>
                <w:lang w:eastAsia="en-AU"/>
              </w:rPr>
              <w:tab/>
            </w:r>
            <w:r w:rsidRPr="00061041">
              <w:rPr>
                <w:rStyle w:val="Hyperlink"/>
                <w:noProof/>
              </w:rPr>
              <w:t>India has confirmed Australia's understanding of how the DFIA scheme works and the scheme does not fall within footnote 1 of the SCM Agreement</w:t>
            </w:r>
            <w:r>
              <w:rPr>
                <w:noProof/>
                <w:webHidden/>
              </w:rPr>
              <w:tab/>
            </w:r>
            <w:r>
              <w:rPr>
                <w:noProof/>
                <w:webHidden/>
              </w:rPr>
              <w:fldChar w:fldCharType="begin"/>
            </w:r>
            <w:r>
              <w:rPr>
                <w:noProof/>
                <w:webHidden/>
              </w:rPr>
              <w:instrText xml:space="preserve"> PAGEREF _Toc67475502 \h </w:instrText>
            </w:r>
            <w:r>
              <w:rPr>
                <w:noProof/>
                <w:webHidden/>
              </w:rPr>
            </w:r>
            <w:r>
              <w:rPr>
                <w:noProof/>
                <w:webHidden/>
              </w:rPr>
              <w:fldChar w:fldCharType="separate"/>
            </w:r>
            <w:r w:rsidR="000839EB">
              <w:rPr>
                <w:noProof/>
                <w:webHidden/>
              </w:rPr>
              <w:t>19</w:t>
            </w:r>
            <w:r>
              <w:rPr>
                <w:noProof/>
                <w:webHidden/>
              </w:rPr>
              <w:fldChar w:fldCharType="end"/>
            </w:r>
          </w:hyperlink>
        </w:p>
        <w:p w14:paraId="468AD855" w14:textId="77A12B8C" w:rsidR="00066C0E" w:rsidRDefault="00066C0E">
          <w:pPr>
            <w:pStyle w:val="TOC2"/>
            <w:rPr>
              <w:rFonts w:asciiTheme="minorHAnsi" w:eastAsiaTheme="minorEastAsia" w:hAnsiTheme="minorHAnsi"/>
              <w:b w:val="0"/>
              <w:smallCaps w:val="0"/>
              <w:noProof/>
              <w:sz w:val="22"/>
              <w:szCs w:val="22"/>
              <w:lang w:eastAsia="en-AU"/>
            </w:rPr>
          </w:pPr>
          <w:hyperlink w:anchor="_Toc67475503" w:history="1">
            <w:r w:rsidRPr="00061041">
              <w:rPr>
                <w:rStyle w:val="Hyperlink"/>
                <w:noProof/>
              </w:rPr>
              <w:t>E.</w:t>
            </w:r>
            <w:r>
              <w:rPr>
                <w:rFonts w:asciiTheme="minorHAnsi" w:eastAsiaTheme="minorEastAsia" w:hAnsiTheme="minorHAnsi"/>
                <w:b w:val="0"/>
                <w:smallCaps w:val="0"/>
                <w:noProof/>
                <w:sz w:val="22"/>
                <w:szCs w:val="22"/>
                <w:lang w:eastAsia="en-AU"/>
              </w:rPr>
              <w:tab/>
            </w:r>
            <w:r w:rsidRPr="00061041">
              <w:rPr>
                <w:rStyle w:val="Hyperlink"/>
                <w:noProof/>
              </w:rPr>
              <w:t>India is subject to the SCM Agreement's export subsidy prohibition and the exemption upon which it relies has expired</w:t>
            </w:r>
            <w:r>
              <w:rPr>
                <w:noProof/>
                <w:webHidden/>
              </w:rPr>
              <w:tab/>
            </w:r>
            <w:r>
              <w:rPr>
                <w:noProof/>
                <w:webHidden/>
              </w:rPr>
              <w:fldChar w:fldCharType="begin"/>
            </w:r>
            <w:r>
              <w:rPr>
                <w:noProof/>
                <w:webHidden/>
              </w:rPr>
              <w:instrText xml:space="preserve"> PAGEREF _Toc67475503 \h </w:instrText>
            </w:r>
            <w:r>
              <w:rPr>
                <w:noProof/>
                <w:webHidden/>
              </w:rPr>
            </w:r>
            <w:r>
              <w:rPr>
                <w:noProof/>
                <w:webHidden/>
              </w:rPr>
              <w:fldChar w:fldCharType="separate"/>
            </w:r>
            <w:r w:rsidR="000839EB">
              <w:rPr>
                <w:noProof/>
                <w:webHidden/>
              </w:rPr>
              <w:t>20</w:t>
            </w:r>
            <w:r>
              <w:rPr>
                <w:noProof/>
                <w:webHidden/>
              </w:rPr>
              <w:fldChar w:fldCharType="end"/>
            </w:r>
          </w:hyperlink>
        </w:p>
        <w:p w14:paraId="579A1157" w14:textId="7CDFB86D" w:rsidR="00066C0E" w:rsidRDefault="00066C0E">
          <w:pPr>
            <w:pStyle w:val="TOC2"/>
            <w:rPr>
              <w:rFonts w:asciiTheme="minorHAnsi" w:eastAsiaTheme="minorEastAsia" w:hAnsiTheme="minorHAnsi"/>
              <w:b w:val="0"/>
              <w:smallCaps w:val="0"/>
              <w:noProof/>
              <w:sz w:val="22"/>
              <w:szCs w:val="22"/>
              <w:lang w:eastAsia="en-AU"/>
            </w:rPr>
          </w:pPr>
          <w:hyperlink w:anchor="_Toc67475504" w:history="1">
            <w:r w:rsidRPr="00061041">
              <w:rPr>
                <w:rStyle w:val="Hyperlink"/>
                <w:noProof/>
              </w:rPr>
              <w:t>F.</w:t>
            </w:r>
            <w:r>
              <w:rPr>
                <w:rFonts w:asciiTheme="minorHAnsi" w:eastAsiaTheme="minorEastAsia" w:hAnsiTheme="minorHAnsi"/>
                <w:b w:val="0"/>
                <w:smallCaps w:val="0"/>
                <w:noProof/>
                <w:sz w:val="22"/>
                <w:szCs w:val="22"/>
                <w:lang w:eastAsia="en-AU"/>
              </w:rPr>
              <w:tab/>
            </w:r>
            <w:r w:rsidRPr="00061041">
              <w:rPr>
                <w:rStyle w:val="Hyperlink"/>
                <w:noProof/>
              </w:rPr>
              <w:t>Conclusion</w:t>
            </w:r>
            <w:r>
              <w:rPr>
                <w:noProof/>
                <w:webHidden/>
              </w:rPr>
              <w:tab/>
            </w:r>
            <w:r>
              <w:rPr>
                <w:noProof/>
                <w:webHidden/>
              </w:rPr>
              <w:fldChar w:fldCharType="begin"/>
            </w:r>
            <w:r>
              <w:rPr>
                <w:noProof/>
                <w:webHidden/>
              </w:rPr>
              <w:instrText xml:space="preserve"> PAGEREF _Toc67475504 \h </w:instrText>
            </w:r>
            <w:r>
              <w:rPr>
                <w:noProof/>
                <w:webHidden/>
              </w:rPr>
            </w:r>
            <w:r>
              <w:rPr>
                <w:noProof/>
                <w:webHidden/>
              </w:rPr>
              <w:fldChar w:fldCharType="separate"/>
            </w:r>
            <w:r w:rsidR="000839EB">
              <w:rPr>
                <w:noProof/>
                <w:webHidden/>
              </w:rPr>
              <w:t>20</w:t>
            </w:r>
            <w:r>
              <w:rPr>
                <w:noProof/>
                <w:webHidden/>
              </w:rPr>
              <w:fldChar w:fldCharType="end"/>
            </w:r>
          </w:hyperlink>
        </w:p>
        <w:p w14:paraId="4C9815FD" w14:textId="4DD9E441" w:rsidR="00066C0E" w:rsidRDefault="00066C0E">
          <w:pPr>
            <w:pStyle w:val="TOC1"/>
            <w:rPr>
              <w:rFonts w:asciiTheme="minorHAnsi" w:eastAsiaTheme="minorEastAsia" w:hAnsiTheme="minorHAnsi"/>
              <w:b w:val="0"/>
              <w:caps w:val="0"/>
              <w:noProof/>
              <w:sz w:val="22"/>
              <w:szCs w:val="22"/>
              <w:lang w:eastAsia="en-AU"/>
            </w:rPr>
          </w:pPr>
          <w:hyperlink w:anchor="_Toc67475505" w:history="1">
            <w:r w:rsidRPr="00061041">
              <w:rPr>
                <w:rStyle w:val="Hyperlink"/>
                <w:noProof/>
              </w:rPr>
              <w:t>IV.</w:t>
            </w:r>
            <w:r>
              <w:rPr>
                <w:rFonts w:asciiTheme="minorHAnsi" w:eastAsiaTheme="minorEastAsia" w:hAnsiTheme="minorHAnsi"/>
                <w:b w:val="0"/>
                <w:caps w:val="0"/>
                <w:noProof/>
                <w:sz w:val="22"/>
                <w:szCs w:val="22"/>
                <w:lang w:eastAsia="en-AU"/>
              </w:rPr>
              <w:tab/>
            </w:r>
            <w:r w:rsidRPr="00061041">
              <w:rPr>
                <w:rStyle w:val="Hyperlink"/>
                <w:noProof/>
              </w:rPr>
              <w:t>INDIA HAS BREACHED ITS OBLIGATIONS TO NOTIFY ITS DOMESTIC SUPPORT AND EXPORT SUBSIDIES</w:t>
            </w:r>
            <w:r>
              <w:rPr>
                <w:noProof/>
                <w:webHidden/>
              </w:rPr>
              <w:tab/>
            </w:r>
            <w:r>
              <w:rPr>
                <w:noProof/>
                <w:webHidden/>
              </w:rPr>
              <w:fldChar w:fldCharType="begin"/>
            </w:r>
            <w:r>
              <w:rPr>
                <w:noProof/>
                <w:webHidden/>
              </w:rPr>
              <w:instrText xml:space="preserve"> PAGEREF _Toc67475505 \h </w:instrText>
            </w:r>
            <w:r>
              <w:rPr>
                <w:noProof/>
                <w:webHidden/>
              </w:rPr>
            </w:r>
            <w:r>
              <w:rPr>
                <w:noProof/>
                <w:webHidden/>
              </w:rPr>
              <w:fldChar w:fldCharType="separate"/>
            </w:r>
            <w:r w:rsidR="000839EB">
              <w:rPr>
                <w:noProof/>
                <w:webHidden/>
              </w:rPr>
              <w:t>21</w:t>
            </w:r>
            <w:r>
              <w:rPr>
                <w:noProof/>
                <w:webHidden/>
              </w:rPr>
              <w:fldChar w:fldCharType="end"/>
            </w:r>
          </w:hyperlink>
        </w:p>
        <w:p w14:paraId="01906D85" w14:textId="665030DF" w:rsidR="00066C0E" w:rsidRDefault="00066C0E">
          <w:pPr>
            <w:pStyle w:val="TOC1"/>
            <w:rPr>
              <w:rFonts w:asciiTheme="minorHAnsi" w:eastAsiaTheme="minorEastAsia" w:hAnsiTheme="minorHAnsi"/>
              <w:b w:val="0"/>
              <w:caps w:val="0"/>
              <w:noProof/>
              <w:sz w:val="22"/>
              <w:szCs w:val="22"/>
              <w:lang w:eastAsia="en-AU"/>
            </w:rPr>
          </w:pPr>
          <w:hyperlink w:anchor="_Toc67475506" w:history="1">
            <w:r w:rsidRPr="00061041">
              <w:rPr>
                <w:rStyle w:val="Hyperlink"/>
                <w:noProof/>
              </w:rPr>
              <w:t>V.</w:t>
            </w:r>
            <w:r>
              <w:rPr>
                <w:rFonts w:asciiTheme="minorHAnsi" w:eastAsiaTheme="minorEastAsia" w:hAnsiTheme="minorHAnsi"/>
                <w:b w:val="0"/>
                <w:caps w:val="0"/>
                <w:noProof/>
                <w:sz w:val="22"/>
                <w:szCs w:val="22"/>
                <w:lang w:eastAsia="en-AU"/>
              </w:rPr>
              <w:tab/>
            </w:r>
            <w:r w:rsidRPr="00061041">
              <w:rPr>
                <w:rStyle w:val="Hyperlink"/>
                <w:noProof/>
              </w:rPr>
              <w:t>conclusion</w:t>
            </w:r>
            <w:r>
              <w:rPr>
                <w:noProof/>
                <w:webHidden/>
              </w:rPr>
              <w:tab/>
            </w:r>
            <w:r>
              <w:rPr>
                <w:noProof/>
                <w:webHidden/>
              </w:rPr>
              <w:fldChar w:fldCharType="begin"/>
            </w:r>
            <w:r>
              <w:rPr>
                <w:noProof/>
                <w:webHidden/>
              </w:rPr>
              <w:instrText xml:space="preserve"> PAGEREF _Toc67475506 \h </w:instrText>
            </w:r>
            <w:r>
              <w:rPr>
                <w:noProof/>
                <w:webHidden/>
              </w:rPr>
            </w:r>
            <w:r>
              <w:rPr>
                <w:noProof/>
                <w:webHidden/>
              </w:rPr>
              <w:fldChar w:fldCharType="separate"/>
            </w:r>
            <w:r w:rsidR="000839EB">
              <w:rPr>
                <w:noProof/>
                <w:webHidden/>
              </w:rPr>
              <w:t>22</w:t>
            </w:r>
            <w:r>
              <w:rPr>
                <w:noProof/>
                <w:webHidden/>
              </w:rPr>
              <w:fldChar w:fldCharType="end"/>
            </w:r>
          </w:hyperlink>
        </w:p>
        <w:p w14:paraId="4A56F1A9" w14:textId="1CC63C4B" w:rsidR="00D47F18" w:rsidRPr="0007327B" w:rsidRDefault="00F945DB" w:rsidP="00F01A73">
          <w:pPr>
            <w:pStyle w:val="BTNSSBodyTextNoSpacingSmall"/>
          </w:pPr>
          <w:r w:rsidRPr="0007327B">
            <w:rPr>
              <w:rFonts w:eastAsiaTheme="majorEastAsia" w:cstheme="majorBidi"/>
              <w:sz w:val="24"/>
              <w:szCs w:val="32"/>
            </w:rPr>
            <w:fldChar w:fldCharType="end"/>
          </w:r>
        </w:p>
      </w:sdtContent>
    </w:sdt>
    <w:p w14:paraId="0481CEEB" w14:textId="77777777" w:rsidR="004D7079" w:rsidRPr="0007327B" w:rsidRDefault="004D7079" w:rsidP="004D7079">
      <w:pPr>
        <w:pStyle w:val="BTNSSBodyTextNoSpacingSmall"/>
      </w:pPr>
    </w:p>
    <w:p w14:paraId="445A04BB" w14:textId="77777777" w:rsidR="00B10177" w:rsidRDefault="00B10177">
      <w:pPr>
        <w:rPr>
          <w:rFonts w:eastAsiaTheme="majorEastAsia" w:cstheme="majorBidi"/>
          <w:b/>
          <w:caps/>
          <w:szCs w:val="32"/>
        </w:rPr>
      </w:pPr>
      <w:r>
        <w:br w:type="page"/>
      </w:r>
    </w:p>
    <w:p w14:paraId="30B40907" w14:textId="75E3EF23" w:rsidR="00F945DB" w:rsidRDefault="00F945DB" w:rsidP="00C73188">
      <w:pPr>
        <w:pStyle w:val="SHSectionHeading"/>
      </w:pPr>
      <w:bookmarkStart w:id="0" w:name="_Toc67475487"/>
      <w:r w:rsidRPr="0007327B">
        <w:lastRenderedPageBreak/>
        <w:t>Table of Cases</w:t>
      </w:r>
      <w:bookmarkEnd w:id="0"/>
    </w:p>
    <w:tbl>
      <w:tblPr>
        <w:tblStyle w:val="TableGrid"/>
        <w:tblW w:w="5000" w:type="pct"/>
        <w:tblLook w:val="04A0" w:firstRow="1" w:lastRow="0" w:firstColumn="1" w:lastColumn="0" w:noHBand="0" w:noVBand="1"/>
      </w:tblPr>
      <w:tblGrid>
        <w:gridCol w:w="2265"/>
        <w:gridCol w:w="6795"/>
      </w:tblGrid>
      <w:tr w:rsidR="00B10177" w:rsidRPr="0007327B" w14:paraId="01FFC946" w14:textId="77777777" w:rsidTr="000F2D56">
        <w:trPr>
          <w:trHeight w:val="397"/>
          <w:tblHeader/>
        </w:trPr>
        <w:tc>
          <w:tcPr>
            <w:tcW w:w="2265" w:type="dxa"/>
            <w:shd w:val="clear" w:color="auto" w:fill="D9D9D9" w:themeFill="background1" w:themeFillShade="D9"/>
          </w:tcPr>
          <w:p w14:paraId="316C924F" w14:textId="77777777" w:rsidR="00B10177" w:rsidRPr="0007327B" w:rsidRDefault="00B10177" w:rsidP="00AB3BCB">
            <w:pPr>
              <w:pStyle w:val="THTableHeading"/>
              <w:jc w:val="center"/>
            </w:pPr>
            <w:r w:rsidRPr="0007327B">
              <w:t>Short Title</w:t>
            </w:r>
          </w:p>
        </w:tc>
        <w:tc>
          <w:tcPr>
            <w:tcW w:w="6795" w:type="dxa"/>
            <w:shd w:val="clear" w:color="auto" w:fill="D9D9D9" w:themeFill="background1" w:themeFillShade="D9"/>
          </w:tcPr>
          <w:p w14:paraId="2D35BF7C" w14:textId="77777777" w:rsidR="00B10177" w:rsidRPr="0007327B" w:rsidRDefault="00B10177" w:rsidP="00AB3BCB">
            <w:pPr>
              <w:pStyle w:val="THTableHeading"/>
              <w:jc w:val="center"/>
            </w:pPr>
            <w:r w:rsidRPr="0007327B">
              <w:t>Full Case Title and Citation</w:t>
            </w:r>
          </w:p>
        </w:tc>
      </w:tr>
      <w:tr w:rsidR="00B10177" w:rsidRPr="0007327B" w14:paraId="62F6BCB7" w14:textId="77777777" w:rsidTr="00B10177">
        <w:trPr>
          <w:trHeight w:val="397"/>
        </w:trPr>
        <w:tc>
          <w:tcPr>
            <w:tcW w:w="2265" w:type="dxa"/>
          </w:tcPr>
          <w:p w14:paraId="4CD93202" w14:textId="0BF51E08" w:rsidR="00B10177" w:rsidRPr="0007327B" w:rsidRDefault="00B10177" w:rsidP="00AB3BCB">
            <w:pPr>
              <w:pStyle w:val="TTTableText"/>
            </w:pPr>
            <w:r>
              <w:rPr>
                <w:i/>
              </w:rPr>
              <w:t>Australia – Automotive Leather II</w:t>
            </w:r>
          </w:p>
        </w:tc>
        <w:tc>
          <w:tcPr>
            <w:tcW w:w="6795" w:type="dxa"/>
          </w:tcPr>
          <w:p w14:paraId="43605DAE" w14:textId="77777777" w:rsidR="00B10177" w:rsidRPr="0007327B" w:rsidRDefault="00B10177" w:rsidP="00AB3BCB">
            <w:pPr>
              <w:pStyle w:val="TTTableText"/>
            </w:pPr>
            <w:r w:rsidRPr="00DD1D05">
              <w:t xml:space="preserve">Panel Report, </w:t>
            </w:r>
            <w:r w:rsidRPr="00DD1D05">
              <w:rPr>
                <w:i/>
              </w:rPr>
              <w:t>Australia – Subsidies Provided to Producers and Exporters of Automotive Leather</w:t>
            </w:r>
            <w:r w:rsidRPr="00DD1D05">
              <w:t>,</w:t>
            </w:r>
            <w:r>
              <w:t xml:space="preserve"> </w:t>
            </w:r>
            <w:r w:rsidRPr="00DD1D05">
              <w:t>WT/DS126/R, adopted 16 June 1999, DSR 1999:III, p.951</w:t>
            </w:r>
          </w:p>
        </w:tc>
      </w:tr>
      <w:tr w:rsidR="00B10177" w:rsidRPr="0007327B" w14:paraId="5177D3E6" w14:textId="77777777" w:rsidTr="00B10177">
        <w:trPr>
          <w:trHeight w:val="397"/>
        </w:trPr>
        <w:tc>
          <w:tcPr>
            <w:tcW w:w="2265" w:type="dxa"/>
          </w:tcPr>
          <w:p w14:paraId="2EB2B6E3" w14:textId="77777777" w:rsidR="00B10177" w:rsidRDefault="00B10177" w:rsidP="00AB3BCB">
            <w:pPr>
              <w:pStyle w:val="TTTableText"/>
              <w:rPr>
                <w:i/>
              </w:rPr>
            </w:pPr>
            <w:r w:rsidRPr="00DD1D05">
              <w:rPr>
                <w:i/>
              </w:rPr>
              <w:t>Brazil – Taxation</w:t>
            </w:r>
            <w:r w:rsidDel="00AE4D3B">
              <w:rPr>
                <w:i/>
              </w:rPr>
              <w:t xml:space="preserve"> </w:t>
            </w:r>
          </w:p>
        </w:tc>
        <w:tc>
          <w:tcPr>
            <w:tcW w:w="6795" w:type="dxa"/>
          </w:tcPr>
          <w:p w14:paraId="191EE65A" w14:textId="77777777" w:rsidR="00B10177" w:rsidRPr="0007327B" w:rsidRDefault="00B10177" w:rsidP="00AB3BCB">
            <w:pPr>
              <w:pStyle w:val="TTTableText"/>
            </w:pPr>
            <w:r w:rsidRPr="00DD1D05">
              <w:t xml:space="preserve">Panel Report, </w:t>
            </w:r>
            <w:r w:rsidRPr="00DD1D05">
              <w:rPr>
                <w:i/>
              </w:rPr>
              <w:t>Brazil – Certain Measures Concerning Taxation and Charges</w:t>
            </w:r>
            <w:r w:rsidRPr="00DD1D05">
              <w:t>, WT/DS472/R, Add.1 and Corr.1 / WT/DS497/R, Add.1 and Corr.1, adopted 11 January 2019, as modified by Appellate Body Reports</w:t>
            </w:r>
            <w:r>
              <w:t xml:space="preserve"> </w:t>
            </w:r>
            <w:r w:rsidRPr="00DD1D05">
              <w:t>WT/DS472/AB/R / WT/DS497/AB/R</w:t>
            </w:r>
          </w:p>
        </w:tc>
      </w:tr>
      <w:tr w:rsidR="00B10177" w:rsidRPr="0007327B" w14:paraId="4E511D80" w14:textId="77777777" w:rsidTr="00B10177">
        <w:trPr>
          <w:trHeight w:val="397"/>
        </w:trPr>
        <w:tc>
          <w:tcPr>
            <w:tcW w:w="2265" w:type="dxa"/>
          </w:tcPr>
          <w:p w14:paraId="7D090A26" w14:textId="77777777" w:rsidR="00B10177" w:rsidRPr="003027AE" w:rsidRDefault="00B10177" w:rsidP="00AB3BCB">
            <w:pPr>
              <w:pStyle w:val="TTTableText"/>
              <w:rPr>
                <w:i/>
                <w:iCs/>
              </w:rPr>
            </w:pPr>
            <w:r w:rsidRPr="003027AE">
              <w:rPr>
                <w:i/>
                <w:iCs/>
              </w:rPr>
              <w:t>Canada – Aircraft</w:t>
            </w:r>
          </w:p>
          <w:p w14:paraId="5ED74DB6" w14:textId="77777777" w:rsidR="00B10177" w:rsidRPr="00DD1D05" w:rsidRDefault="00B10177" w:rsidP="00AB3BCB">
            <w:pPr>
              <w:pStyle w:val="FootnoteText"/>
              <w:jc w:val="left"/>
            </w:pPr>
          </w:p>
        </w:tc>
        <w:tc>
          <w:tcPr>
            <w:tcW w:w="6795" w:type="dxa"/>
          </w:tcPr>
          <w:p w14:paraId="04CD2D57" w14:textId="77777777" w:rsidR="00B10177" w:rsidRPr="0007327B" w:rsidRDefault="00B10177" w:rsidP="00AB3BCB">
            <w:pPr>
              <w:pStyle w:val="TTTableText"/>
            </w:pPr>
            <w:r w:rsidRPr="003027AE">
              <w:t xml:space="preserve">Appellate Body Report, </w:t>
            </w:r>
            <w:r w:rsidRPr="00164433">
              <w:rPr>
                <w:i/>
                <w:iCs/>
              </w:rPr>
              <w:t>Canada – Measures Affecting the Export of Civilian Aircraft</w:t>
            </w:r>
            <w:r w:rsidRPr="003027AE">
              <w:t>, WT/DS70/AB/R, adopted 20 August 1999, DSR 1999:III, p. 1377</w:t>
            </w:r>
          </w:p>
        </w:tc>
      </w:tr>
      <w:tr w:rsidR="00B10177" w:rsidRPr="0007327B" w14:paraId="2CD51616" w14:textId="77777777" w:rsidTr="00B10177">
        <w:trPr>
          <w:trHeight w:val="397"/>
        </w:trPr>
        <w:tc>
          <w:tcPr>
            <w:tcW w:w="2265" w:type="dxa"/>
          </w:tcPr>
          <w:p w14:paraId="18E58880" w14:textId="77777777" w:rsidR="00B10177" w:rsidRDefault="00B10177" w:rsidP="00AB3BCB">
            <w:pPr>
              <w:pStyle w:val="TTTableText"/>
            </w:pPr>
            <w:r w:rsidRPr="003027AE">
              <w:rPr>
                <w:i/>
                <w:iCs/>
              </w:rPr>
              <w:t>Canada – Renewable Energy / Canada – Feed-in Tariff Program</w:t>
            </w:r>
            <w:r w:rsidRPr="001A224D" w:rsidDel="00AE4D3B">
              <w:rPr>
                <w:i/>
              </w:rPr>
              <w:t xml:space="preserve"> </w:t>
            </w:r>
          </w:p>
        </w:tc>
        <w:tc>
          <w:tcPr>
            <w:tcW w:w="6795" w:type="dxa"/>
          </w:tcPr>
          <w:p w14:paraId="38B2578A" w14:textId="77777777" w:rsidR="00B10177" w:rsidRPr="0007327B" w:rsidRDefault="00B10177" w:rsidP="00AB3BCB">
            <w:pPr>
              <w:pStyle w:val="TTTableText"/>
            </w:pPr>
            <w:r w:rsidRPr="003027AE">
              <w:t xml:space="preserve">Appellate Body Report, </w:t>
            </w:r>
            <w:r w:rsidRPr="00164433">
              <w:rPr>
                <w:i/>
                <w:iCs/>
              </w:rPr>
              <w:t>Canada – Certain Measures Affecting the Renewable Energy Generation Sector / Canada – Measures Relating to the Feed-in Tariff Program</w:t>
            </w:r>
            <w:r w:rsidRPr="003027AE">
              <w:t>, WT/DS412/AB/R / WT/DS426/AB/R, adopted 24 May 2013, DSR 2013:I, p. 7</w:t>
            </w:r>
          </w:p>
        </w:tc>
      </w:tr>
      <w:tr w:rsidR="00B10177" w:rsidRPr="0007327B" w14:paraId="3AF75784" w14:textId="77777777" w:rsidTr="00B10177">
        <w:trPr>
          <w:trHeight w:val="397"/>
        </w:trPr>
        <w:tc>
          <w:tcPr>
            <w:tcW w:w="2265" w:type="dxa"/>
          </w:tcPr>
          <w:p w14:paraId="05BD1260" w14:textId="77777777" w:rsidR="00B10177" w:rsidRPr="00DD1D05" w:rsidRDefault="00B10177" w:rsidP="00AB3BCB">
            <w:pPr>
              <w:pStyle w:val="TTTableText"/>
              <w:rPr>
                <w:i/>
                <w:iCs/>
              </w:rPr>
            </w:pPr>
            <w:r w:rsidRPr="00DD1D05">
              <w:rPr>
                <w:i/>
                <w:iCs/>
              </w:rPr>
              <w:t>EC and certain member States – Large</w:t>
            </w:r>
          </w:p>
          <w:p w14:paraId="4176B22F" w14:textId="77777777" w:rsidR="00B10177" w:rsidRDefault="00B10177" w:rsidP="00AB3BCB">
            <w:pPr>
              <w:pStyle w:val="TTTableText"/>
              <w:rPr>
                <w:i/>
              </w:rPr>
            </w:pPr>
            <w:r w:rsidRPr="00DD1D05">
              <w:rPr>
                <w:i/>
                <w:iCs/>
              </w:rPr>
              <w:t>Civil Aircraft</w:t>
            </w:r>
          </w:p>
        </w:tc>
        <w:tc>
          <w:tcPr>
            <w:tcW w:w="6795" w:type="dxa"/>
          </w:tcPr>
          <w:p w14:paraId="019E8F97" w14:textId="77777777" w:rsidR="00B10177" w:rsidRPr="0007327B" w:rsidRDefault="00B10177" w:rsidP="00AB3BCB">
            <w:pPr>
              <w:autoSpaceDE w:val="0"/>
              <w:autoSpaceDN w:val="0"/>
              <w:adjustRightInd w:val="0"/>
              <w:jc w:val="left"/>
            </w:pPr>
            <w:r w:rsidRPr="00DD1D05">
              <w:t xml:space="preserve">Appellate Body Report, </w:t>
            </w:r>
            <w:r w:rsidRPr="00DD1D05">
              <w:rPr>
                <w:i/>
              </w:rPr>
              <w:t>European Communities and</w:t>
            </w:r>
            <w:r>
              <w:rPr>
                <w:i/>
              </w:rPr>
              <w:t xml:space="preserve"> </w:t>
            </w:r>
            <w:r w:rsidRPr="00DD1D05">
              <w:rPr>
                <w:i/>
              </w:rPr>
              <w:t>Certain Member States – Measures Affecting Trade in</w:t>
            </w:r>
            <w:r>
              <w:rPr>
                <w:i/>
              </w:rPr>
              <w:t xml:space="preserve"> </w:t>
            </w:r>
            <w:r w:rsidRPr="00DD1D05">
              <w:rPr>
                <w:i/>
              </w:rPr>
              <w:t>Large Civil Aircraft</w:t>
            </w:r>
            <w:r w:rsidRPr="00DD1D05">
              <w:t>, WT/DS316/AB/R, adopted 1 June</w:t>
            </w:r>
            <w:r>
              <w:t xml:space="preserve"> </w:t>
            </w:r>
            <w:r w:rsidRPr="00DD1D05">
              <w:t>2011, DSR 2011:I, p. 7</w:t>
            </w:r>
          </w:p>
        </w:tc>
      </w:tr>
      <w:tr w:rsidR="00B10177" w:rsidRPr="0007327B" w14:paraId="4ED3BF11" w14:textId="77777777" w:rsidTr="00B10177">
        <w:trPr>
          <w:trHeight w:val="397"/>
        </w:trPr>
        <w:tc>
          <w:tcPr>
            <w:tcW w:w="2265" w:type="dxa"/>
          </w:tcPr>
          <w:p w14:paraId="3DE53D9E" w14:textId="77777777" w:rsidR="00B10177" w:rsidRPr="00DD1D05" w:rsidRDefault="00B10177" w:rsidP="00AB3BCB">
            <w:pPr>
              <w:pStyle w:val="TTTableText"/>
              <w:rPr>
                <w:i/>
                <w:iCs/>
              </w:rPr>
            </w:pPr>
            <w:r w:rsidRPr="00DD1D05">
              <w:rPr>
                <w:i/>
                <w:iCs/>
              </w:rPr>
              <w:t>EC and certain member States – Large</w:t>
            </w:r>
          </w:p>
          <w:p w14:paraId="1E79B376" w14:textId="77777777" w:rsidR="00B10177" w:rsidRPr="001C0F3F" w:rsidRDefault="00B10177" w:rsidP="00AB3BCB">
            <w:pPr>
              <w:pStyle w:val="TTTableText"/>
            </w:pPr>
            <w:r w:rsidRPr="00DD1D05">
              <w:rPr>
                <w:i/>
                <w:iCs/>
              </w:rPr>
              <w:t>Civil Aircraft</w:t>
            </w:r>
          </w:p>
        </w:tc>
        <w:tc>
          <w:tcPr>
            <w:tcW w:w="6795" w:type="dxa"/>
          </w:tcPr>
          <w:p w14:paraId="3DE68045" w14:textId="77777777" w:rsidR="00B10177" w:rsidRPr="0007327B" w:rsidRDefault="00B10177" w:rsidP="00AB3BCB">
            <w:pPr>
              <w:autoSpaceDE w:val="0"/>
              <w:autoSpaceDN w:val="0"/>
              <w:adjustRightInd w:val="0"/>
              <w:jc w:val="left"/>
            </w:pPr>
            <w:r w:rsidRPr="00DD1D05">
              <w:t xml:space="preserve">Panel Report, </w:t>
            </w:r>
            <w:r w:rsidRPr="00DD1D05">
              <w:rPr>
                <w:i/>
              </w:rPr>
              <w:t>European Communities and Certain</w:t>
            </w:r>
            <w:r>
              <w:rPr>
                <w:i/>
              </w:rPr>
              <w:t xml:space="preserve"> </w:t>
            </w:r>
            <w:r w:rsidRPr="00DD1D05">
              <w:rPr>
                <w:i/>
              </w:rPr>
              <w:t>Member States – Measures Affecting Trade in Large</w:t>
            </w:r>
            <w:r>
              <w:rPr>
                <w:i/>
              </w:rPr>
              <w:t xml:space="preserve"> </w:t>
            </w:r>
            <w:r w:rsidRPr="00DD1D05">
              <w:rPr>
                <w:i/>
              </w:rPr>
              <w:t>Civil Aircraft</w:t>
            </w:r>
            <w:r w:rsidRPr="00DD1D05">
              <w:t>, WT/DS316/R, adopted 1 June 2011, as</w:t>
            </w:r>
            <w:r>
              <w:t xml:space="preserve"> </w:t>
            </w:r>
            <w:r w:rsidRPr="00DD1D05">
              <w:t>modified by Appellate Body Report WT/DS316/AB/R,</w:t>
            </w:r>
            <w:r w:rsidRPr="00DD1D05" w:rsidDel="00AE4145">
              <w:t xml:space="preserve"> </w:t>
            </w:r>
            <w:r w:rsidRPr="00DD1D05">
              <w:t>DSR 2011:II, p. 685</w:t>
            </w:r>
          </w:p>
        </w:tc>
      </w:tr>
      <w:tr w:rsidR="00B10177" w:rsidRPr="0007327B" w14:paraId="5D1414EB" w14:textId="77777777" w:rsidTr="00B10177">
        <w:trPr>
          <w:trHeight w:val="397"/>
        </w:trPr>
        <w:tc>
          <w:tcPr>
            <w:tcW w:w="2265" w:type="dxa"/>
          </w:tcPr>
          <w:p w14:paraId="2C55CD83" w14:textId="77777777" w:rsidR="00B10177" w:rsidRPr="00DD1D05" w:rsidRDefault="00B10177" w:rsidP="00AB3BCB">
            <w:pPr>
              <w:pStyle w:val="TTTableText"/>
              <w:rPr>
                <w:i/>
                <w:iCs/>
              </w:rPr>
            </w:pPr>
            <w:r w:rsidRPr="00DD1D05">
              <w:rPr>
                <w:i/>
                <w:iCs/>
              </w:rPr>
              <w:t>EC and certain member States – Large</w:t>
            </w:r>
          </w:p>
          <w:p w14:paraId="72B9E85D" w14:textId="77777777" w:rsidR="00B10177" w:rsidRPr="001C0F3F" w:rsidRDefault="00B10177" w:rsidP="00AB3BCB">
            <w:pPr>
              <w:pStyle w:val="TTTableText"/>
            </w:pPr>
            <w:r w:rsidRPr="00DD1D05">
              <w:rPr>
                <w:i/>
                <w:iCs/>
              </w:rPr>
              <w:t>Civil Aircraft (Article 21.5 – US)</w:t>
            </w:r>
          </w:p>
        </w:tc>
        <w:tc>
          <w:tcPr>
            <w:tcW w:w="6795" w:type="dxa"/>
          </w:tcPr>
          <w:p w14:paraId="61142674" w14:textId="77777777" w:rsidR="00B10177" w:rsidRPr="0007327B" w:rsidRDefault="00B10177" w:rsidP="00AB3BCB">
            <w:pPr>
              <w:autoSpaceDE w:val="0"/>
              <w:autoSpaceDN w:val="0"/>
              <w:adjustRightInd w:val="0"/>
              <w:jc w:val="left"/>
            </w:pPr>
            <w:r w:rsidRPr="00DD1D05">
              <w:t xml:space="preserve">Panel Report, </w:t>
            </w:r>
            <w:r w:rsidRPr="00DD1D05">
              <w:rPr>
                <w:i/>
              </w:rPr>
              <w:t>European Communities and Certain Member States – Measures Affecting Trade in Large Civil Aircraft – Recourse to Article 21.5 of the DSU by the United States</w:t>
            </w:r>
            <w:r w:rsidRPr="00DD1D05">
              <w:t>, WT/DS316/RW and Add.1, adopted</w:t>
            </w:r>
            <w:r>
              <w:t xml:space="preserve"> </w:t>
            </w:r>
            <w:r w:rsidRPr="00DD1D05">
              <w:t>28 May 2018, as modified by Appellate Body Report</w:t>
            </w:r>
          </w:p>
        </w:tc>
      </w:tr>
      <w:tr w:rsidR="00B10177" w:rsidRPr="0007327B" w14:paraId="2EC4431C" w14:textId="77777777" w:rsidTr="00B10177">
        <w:trPr>
          <w:trHeight w:val="397"/>
        </w:trPr>
        <w:tc>
          <w:tcPr>
            <w:tcW w:w="2265" w:type="dxa"/>
          </w:tcPr>
          <w:p w14:paraId="667360F9" w14:textId="77777777" w:rsidR="00B10177" w:rsidRPr="001C0F3F" w:rsidRDefault="00B10177" w:rsidP="00AB3BCB">
            <w:pPr>
              <w:pStyle w:val="TTTableText"/>
            </w:pPr>
            <w:r>
              <w:rPr>
                <w:i/>
              </w:rPr>
              <w:t>India – Export Related Measures</w:t>
            </w:r>
          </w:p>
        </w:tc>
        <w:tc>
          <w:tcPr>
            <w:tcW w:w="6795" w:type="dxa"/>
          </w:tcPr>
          <w:p w14:paraId="735C15FB" w14:textId="77777777" w:rsidR="00B10177" w:rsidRPr="0007327B" w:rsidRDefault="00B10177" w:rsidP="00AB3BCB">
            <w:pPr>
              <w:autoSpaceDE w:val="0"/>
              <w:autoSpaceDN w:val="0"/>
              <w:adjustRightInd w:val="0"/>
              <w:jc w:val="left"/>
            </w:pPr>
            <w:r w:rsidRPr="00DD1D05">
              <w:t xml:space="preserve">Panel Report, </w:t>
            </w:r>
            <w:r w:rsidRPr="00DD1D05">
              <w:rPr>
                <w:i/>
              </w:rPr>
              <w:t>India – Export Related Measures</w:t>
            </w:r>
            <w:r w:rsidRPr="00DD1D05">
              <w:t>,</w:t>
            </w:r>
            <w:r w:rsidRPr="00E14BA9" w:rsidDel="00E14BA9">
              <w:t xml:space="preserve"> </w:t>
            </w:r>
            <w:r w:rsidRPr="00DD1D05">
              <w:t>WT/DS541/R and Add.1, circulated to WTO Members</w:t>
            </w:r>
            <w:r>
              <w:t xml:space="preserve"> </w:t>
            </w:r>
            <w:r w:rsidRPr="00DD1D05">
              <w:t>31 October 2019</w:t>
            </w:r>
          </w:p>
        </w:tc>
      </w:tr>
      <w:tr w:rsidR="00B10177" w:rsidRPr="0007327B" w14:paraId="4CAD5C17" w14:textId="77777777" w:rsidTr="00B10177">
        <w:trPr>
          <w:trHeight w:val="397"/>
        </w:trPr>
        <w:tc>
          <w:tcPr>
            <w:tcW w:w="2265" w:type="dxa"/>
          </w:tcPr>
          <w:p w14:paraId="3A4F45A4" w14:textId="77777777" w:rsidR="00B10177" w:rsidRDefault="00B10177" w:rsidP="00AB3BCB">
            <w:pPr>
              <w:pStyle w:val="TTTableText"/>
              <w:rPr>
                <w:i/>
              </w:rPr>
            </w:pPr>
            <w:r>
              <w:rPr>
                <w:i/>
              </w:rPr>
              <w:t>US – Large Civil Aircraft (2</w:t>
            </w:r>
            <w:r w:rsidRPr="00F06431">
              <w:rPr>
                <w:i/>
                <w:vertAlign w:val="superscript"/>
              </w:rPr>
              <w:t>nd</w:t>
            </w:r>
            <w:r>
              <w:rPr>
                <w:i/>
              </w:rPr>
              <w:t xml:space="preserve"> complaint)</w:t>
            </w:r>
          </w:p>
        </w:tc>
        <w:tc>
          <w:tcPr>
            <w:tcW w:w="6795" w:type="dxa"/>
          </w:tcPr>
          <w:p w14:paraId="0E2F6E76" w14:textId="77777777" w:rsidR="00B10177" w:rsidRPr="0007327B" w:rsidRDefault="00B10177" w:rsidP="00AB3BCB">
            <w:pPr>
              <w:autoSpaceDE w:val="0"/>
              <w:autoSpaceDN w:val="0"/>
              <w:adjustRightInd w:val="0"/>
              <w:jc w:val="left"/>
            </w:pPr>
            <w:r w:rsidRPr="00DD1D05">
              <w:t xml:space="preserve">Appellate Body Report, </w:t>
            </w:r>
            <w:r w:rsidRPr="00DD1D05">
              <w:rPr>
                <w:i/>
              </w:rPr>
              <w:t>United States – Measures</w:t>
            </w:r>
            <w:r>
              <w:rPr>
                <w:i/>
              </w:rPr>
              <w:t xml:space="preserve"> </w:t>
            </w:r>
            <w:r w:rsidRPr="00DD1D05">
              <w:rPr>
                <w:i/>
              </w:rPr>
              <w:t>Affecting Trade in Large Civil Aircraft (Second</w:t>
            </w:r>
            <w:r>
              <w:rPr>
                <w:i/>
              </w:rPr>
              <w:t xml:space="preserve"> </w:t>
            </w:r>
            <w:r w:rsidRPr="00DD1D05">
              <w:rPr>
                <w:i/>
              </w:rPr>
              <w:t>Complaint)</w:t>
            </w:r>
            <w:r w:rsidRPr="00DD1D05">
              <w:t>, WT/DS353/AB/R, adopted 23 March 2012,</w:t>
            </w:r>
            <w:r w:rsidRPr="00DD1D05" w:rsidDel="00AE4145">
              <w:t xml:space="preserve"> </w:t>
            </w:r>
            <w:r w:rsidRPr="00DD1D05">
              <w:t>DSR 2012:I, p. 7</w:t>
            </w:r>
          </w:p>
        </w:tc>
      </w:tr>
      <w:tr w:rsidR="00B10177" w:rsidRPr="0007327B" w14:paraId="58045F75" w14:textId="77777777" w:rsidTr="00B10177">
        <w:trPr>
          <w:trHeight w:val="397"/>
        </w:trPr>
        <w:tc>
          <w:tcPr>
            <w:tcW w:w="2265" w:type="dxa"/>
          </w:tcPr>
          <w:p w14:paraId="31B2B32D" w14:textId="77777777" w:rsidR="00B10177" w:rsidRDefault="00B10177" w:rsidP="00AB3BCB">
            <w:pPr>
              <w:pStyle w:val="TTTableText"/>
            </w:pPr>
            <w:r>
              <w:rPr>
                <w:i/>
              </w:rPr>
              <w:t>US – Large Civil Aircraft (2</w:t>
            </w:r>
            <w:r w:rsidRPr="000841C8">
              <w:rPr>
                <w:i/>
                <w:vertAlign w:val="superscript"/>
              </w:rPr>
              <w:t>nd</w:t>
            </w:r>
            <w:r>
              <w:rPr>
                <w:i/>
              </w:rPr>
              <w:t xml:space="preserve"> complaint)</w:t>
            </w:r>
          </w:p>
        </w:tc>
        <w:tc>
          <w:tcPr>
            <w:tcW w:w="6795" w:type="dxa"/>
          </w:tcPr>
          <w:p w14:paraId="2F909081" w14:textId="36FBA05E" w:rsidR="00B10177" w:rsidRPr="0007327B" w:rsidRDefault="00B10177" w:rsidP="00B746A6">
            <w:pPr>
              <w:autoSpaceDE w:val="0"/>
              <w:autoSpaceDN w:val="0"/>
              <w:adjustRightInd w:val="0"/>
              <w:spacing w:before="40" w:after="40"/>
              <w:jc w:val="left"/>
            </w:pPr>
            <w:r w:rsidRPr="00DD1D05">
              <w:t xml:space="preserve">Panel Report, </w:t>
            </w:r>
            <w:r w:rsidRPr="00DD1D05">
              <w:rPr>
                <w:i/>
              </w:rPr>
              <w:t>United States – Measures Affecting Trade in Large Civil Aircraft (Second Complaint)</w:t>
            </w:r>
            <w:r w:rsidRPr="00DD1D05">
              <w:t>,WT/DS353/R, adopted 23 March 2012, as modified by</w:t>
            </w:r>
            <w:r>
              <w:t xml:space="preserve"> </w:t>
            </w:r>
            <w:r w:rsidRPr="00DD1D05">
              <w:t>Appellate Body Report WT/DS353/AB/R, DSR 2012:II,</w:t>
            </w:r>
            <w:r w:rsidR="00017806">
              <w:t xml:space="preserve"> </w:t>
            </w:r>
            <w:r w:rsidRPr="00DD1D05">
              <w:t>p. 649</w:t>
            </w:r>
          </w:p>
        </w:tc>
      </w:tr>
      <w:tr w:rsidR="00B10177" w:rsidRPr="0007327B" w14:paraId="104DB091" w14:textId="77777777" w:rsidTr="00B10177">
        <w:trPr>
          <w:trHeight w:val="397"/>
        </w:trPr>
        <w:tc>
          <w:tcPr>
            <w:tcW w:w="2265" w:type="dxa"/>
          </w:tcPr>
          <w:p w14:paraId="3ACEE6FE" w14:textId="77777777" w:rsidR="00B10177" w:rsidRDefault="00B10177" w:rsidP="00AB3BCB">
            <w:pPr>
              <w:pStyle w:val="TTTableText"/>
              <w:rPr>
                <w:i/>
              </w:rPr>
            </w:pPr>
            <w:r>
              <w:rPr>
                <w:i/>
              </w:rPr>
              <w:t>US – Softwood Lumber IV</w:t>
            </w:r>
          </w:p>
        </w:tc>
        <w:tc>
          <w:tcPr>
            <w:tcW w:w="6795" w:type="dxa"/>
          </w:tcPr>
          <w:p w14:paraId="2E806FCC" w14:textId="77777777" w:rsidR="00B10177" w:rsidRPr="0007327B" w:rsidRDefault="00B10177" w:rsidP="00B746A6">
            <w:pPr>
              <w:autoSpaceDE w:val="0"/>
              <w:autoSpaceDN w:val="0"/>
              <w:adjustRightInd w:val="0"/>
              <w:spacing w:before="40" w:after="40"/>
              <w:jc w:val="left"/>
            </w:pPr>
            <w:r w:rsidRPr="00DD1D05">
              <w:t xml:space="preserve">Appellate Body Report, </w:t>
            </w:r>
            <w:r w:rsidRPr="00DD1D05">
              <w:rPr>
                <w:i/>
              </w:rPr>
              <w:t>United States – Final Countervailing Duty Determination with Respect to Certain Softwood Lumber from Canada</w:t>
            </w:r>
            <w:r w:rsidRPr="00DD1D05">
              <w:t>,</w:t>
            </w:r>
            <w:r>
              <w:t xml:space="preserve"> </w:t>
            </w:r>
            <w:r w:rsidRPr="00DD1D05">
              <w:t>WT/DS257/AB/R, adopted 17 February 2004, DSR</w:t>
            </w:r>
            <w:r>
              <w:t xml:space="preserve"> </w:t>
            </w:r>
            <w:r w:rsidRPr="00DD1D05">
              <w:t>2004:II, p. 571</w:t>
            </w:r>
          </w:p>
        </w:tc>
      </w:tr>
      <w:tr w:rsidR="00B10177" w:rsidRPr="0007327B" w14:paraId="31ECA76B" w14:textId="77777777" w:rsidTr="00B10177">
        <w:trPr>
          <w:trHeight w:val="397"/>
        </w:trPr>
        <w:tc>
          <w:tcPr>
            <w:tcW w:w="2265" w:type="dxa"/>
          </w:tcPr>
          <w:p w14:paraId="0F7B5AC8" w14:textId="77777777" w:rsidR="00B10177" w:rsidRDefault="00B10177" w:rsidP="00AB3BCB">
            <w:pPr>
              <w:pStyle w:val="TTTableText"/>
              <w:rPr>
                <w:i/>
              </w:rPr>
            </w:pPr>
            <w:r>
              <w:rPr>
                <w:i/>
              </w:rPr>
              <w:lastRenderedPageBreak/>
              <w:t>US – Softwood Lumber IV</w:t>
            </w:r>
          </w:p>
        </w:tc>
        <w:tc>
          <w:tcPr>
            <w:tcW w:w="6795" w:type="dxa"/>
          </w:tcPr>
          <w:p w14:paraId="0A5675AA" w14:textId="77777777" w:rsidR="00B10177" w:rsidRPr="0007327B" w:rsidRDefault="00B10177" w:rsidP="00B746A6">
            <w:pPr>
              <w:autoSpaceDE w:val="0"/>
              <w:autoSpaceDN w:val="0"/>
              <w:adjustRightInd w:val="0"/>
              <w:spacing w:before="40" w:after="40"/>
              <w:jc w:val="left"/>
            </w:pPr>
            <w:r w:rsidRPr="00DD1D05">
              <w:t xml:space="preserve">Panel Report, </w:t>
            </w:r>
            <w:r w:rsidRPr="00DD1D05">
              <w:rPr>
                <w:i/>
              </w:rPr>
              <w:t>United States – Final Countervailing Duty</w:t>
            </w:r>
            <w:r>
              <w:rPr>
                <w:i/>
              </w:rPr>
              <w:t xml:space="preserve"> </w:t>
            </w:r>
            <w:r w:rsidRPr="00DD1D05">
              <w:rPr>
                <w:i/>
              </w:rPr>
              <w:t>Determination with Respect to Certain Softwood</w:t>
            </w:r>
            <w:r>
              <w:rPr>
                <w:i/>
              </w:rPr>
              <w:t xml:space="preserve"> </w:t>
            </w:r>
            <w:r w:rsidRPr="00DD1D05">
              <w:rPr>
                <w:i/>
              </w:rPr>
              <w:t>Lumber from Canada</w:t>
            </w:r>
            <w:r w:rsidRPr="00DD1D05">
              <w:t>, WT/DS257/R and Corr.1,</w:t>
            </w:r>
            <w:r w:rsidRPr="00DD1D05" w:rsidDel="00AE4145">
              <w:t xml:space="preserve"> </w:t>
            </w:r>
            <w:r w:rsidRPr="00DD1D05">
              <w:t>adopted 17 February 2004, as modified by Appellate</w:t>
            </w:r>
            <w:r>
              <w:t xml:space="preserve"> </w:t>
            </w:r>
            <w:r w:rsidRPr="00DD1D05">
              <w:t>Body Report WT/DS257/AB/R, DSR 2004:II, p. 641</w:t>
            </w:r>
          </w:p>
        </w:tc>
      </w:tr>
    </w:tbl>
    <w:p w14:paraId="01E6D568" w14:textId="77777777" w:rsidR="004D7079" w:rsidRPr="0007327B" w:rsidRDefault="004D7079" w:rsidP="004D7079">
      <w:pPr>
        <w:pStyle w:val="BTNSSBodyTextNoSpacingSmall"/>
      </w:pPr>
    </w:p>
    <w:p w14:paraId="0F959A13" w14:textId="77777777" w:rsidR="008A1191" w:rsidRPr="0007327B" w:rsidRDefault="004524CE" w:rsidP="004524CE">
      <w:pPr>
        <w:pStyle w:val="SHSectionHeading"/>
      </w:pPr>
      <w:bookmarkStart w:id="1" w:name="_Toc67475488"/>
      <w:r w:rsidRPr="0007327B">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8A1191" w:rsidRPr="0007327B" w14:paraId="3891EB64" w14:textId="77777777" w:rsidTr="008A1191">
        <w:trPr>
          <w:cantSplit/>
          <w:trHeight w:val="397"/>
          <w:tblHeader/>
        </w:trPr>
        <w:tc>
          <w:tcPr>
            <w:tcW w:w="1696" w:type="dxa"/>
            <w:shd w:val="clear" w:color="auto" w:fill="D9D9D9" w:themeFill="background1" w:themeFillShade="D9"/>
          </w:tcPr>
          <w:p w14:paraId="79449395"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56DEB350" w14:textId="77777777" w:rsidR="008A1191" w:rsidRPr="0007327B" w:rsidRDefault="008A1191" w:rsidP="008A4C51">
            <w:pPr>
              <w:pStyle w:val="THTableHeading"/>
              <w:jc w:val="center"/>
            </w:pPr>
            <w:r w:rsidRPr="0007327B">
              <w:t>Full Form or Description</w:t>
            </w:r>
          </w:p>
        </w:tc>
      </w:tr>
      <w:tr w:rsidR="008A1191" w:rsidRPr="0007327B" w14:paraId="71706D9B" w14:textId="77777777" w:rsidTr="008A1191">
        <w:trPr>
          <w:cantSplit/>
          <w:trHeight w:val="397"/>
        </w:trPr>
        <w:tc>
          <w:tcPr>
            <w:tcW w:w="1696" w:type="dxa"/>
          </w:tcPr>
          <w:p w14:paraId="5100214F" w14:textId="77A5DB06" w:rsidR="008A1191" w:rsidRPr="0007327B" w:rsidRDefault="00AE045D" w:rsidP="008A4C51">
            <w:pPr>
              <w:pStyle w:val="TTTableText"/>
            </w:pPr>
            <w:r>
              <w:t>AAP</w:t>
            </w:r>
          </w:p>
        </w:tc>
        <w:tc>
          <w:tcPr>
            <w:tcW w:w="7364" w:type="dxa"/>
          </w:tcPr>
          <w:p w14:paraId="0D0AC691" w14:textId="4937787A" w:rsidR="008A1191" w:rsidRPr="0007327B" w:rsidRDefault="00AE045D" w:rsidP="008A4C51">
            <w:pPr>
              <w:pStyle w:val="TTTableText"/>
            </w:pPr>
            <w:r>
              <w:t>Applied Administered Price</w:t>
            </w:r>
          </w:p>
        </w:tc>
      </w:tr>
      <w:tr w:rsidR="00AE045D" w:rsidRPr="0007327B" w14:paraId="23C4D184" w14:textId="77777777" w:rsidTr="008A1191">
        <w:trPr>
          <w:cantSplit/>
          <w:trHeight w:val="397"/>
        </w:trPr>
        <w:tc>
          <w:tcPr>
            <w:tcW w:w="1696" w:type="dxa"/>
          </w:tcPr>
          <w:p w14:paraId="4AFF719D" w14:textId="6D0BE798" w:rsidR="00AE045D" w:rsidRDefault="0047517E" w:rsidP="008A4C51">
            <w:pPr>
              <w:pStyle w:val="TTTableText"/>
            </w:pPr>
            <w:r>
              <w:t>CACP</w:t>
            </w:r>
          </w:p>
        </w:tc>
        <w:tc>
          <w:tcPr>
            <w:tcW w:w="7364" w:type="dxa"/>
          </w:tcPr>
          <w:p w14:paraId="44B66170" w14:textId="31464B6E" w:rsidR="00AE045D" w:rsidRDefault="0047517E" w:rsidP="008A4C51">
            <w:pPr>
              <w:pStyle w:val="TTTableText"/>
            </w:pPr>
            <w:r>
              <w:t>Commission for Agricultural Costs and Prices</w:t>
            </w:r>
          </w:p>
        </w:tc>
      </w:tr>
      <w:tr w:rsidR="0047517E" w:rsidRPr="0007327B" w14:paraId="4D73336E" w14:textId="77777777" w:rsidTr="008A1191">
        <w:trPr>
          <w:cantSplit/>
          <w:trHeight w:val="397"/>
        </w:trPr>
        <w:tc>
          <w:tcPr>
            <w:tcW w:w="1696" w:type="dxa"/>
          </w:tcPr>
          <w:p w14:paraId="69012BE1" w14:textId="502F8647" w:rsidR="0047517E" w:rsidRDefault="0047517E" w:rsidP="008A4C51">
            <w:pPr>
              <w:pStyle w:val="TTTableText"/>
            </w:pPr>
            <w:r>
              <w:t>DFIA</w:t>
            </w:r>
          </w:p>
        </w:tc>
        <w:tc>
          <w:tcPr>
            <w:tcW w:w="7364" w:type="dxa"/>
          </w:tcPr>
          <w:p w14:paraId="6CFD5357" w14:textId="632DC2D2" w:rsidR="0047517E" w:rsidRDefault="0047517E" w:rsidP="008A4C51">
            <w:pPr>
              <w:pStyle w:val="TTTableText"/>
            </w:pPr>
            <w:r>
              <w:t>Duty Free Import Authorisation</w:t>
            </w:r>
          </w:p>
        </w:tc>
      </w:tr>
      <w:tr w:rsidR="0047517E" w:rsidRPr="0007327B" w14:paraId="0922AA3B" w14:textId="77777777" w:rsidTr="008A1191">
        <w:trPr>
          <w:cantSplit/>
          <w:trHeight w:val="397"/>
        </w:trPr>
        <w:tc>
          <w:tcPr>
            <w:tcW w:w="1696" w:type="dxa"/>
          </w:tcPr>
          <w:p w14:paraId="2B2BD971" w14:textId="6E81A82B" w:rsidR="0047517E" w:rsidRDefault="0047517E" w:rsidP="008A4C51">
            <w:pPr>
              <w:pStyle w:val="TTTableText"/>
            </w:pPr>
            <w:r>
              <w:t>FRP</w:t>
            </w:r>
          </w:p>
        </w:tc>
        <w:tc>
          <w:tcPr>
            <w:tcW w:w="7364" w:type="dxa"/>
          </w:tcPr>
          <w:p w14:paraId="4C41889C" w14:textId="2A1A3453" w:rsidR="0047517E" w:rsidRDefault="0047517E" w:rsidP="008A4C51">
            <w:pPr>
              <w:pStyle w:val="TTTableText"/>
            </w:pPr>
            <w:r>
              <w:t>Fair and Remunerative Price</w:t>
            </w:r>
          </w:p>
        </w:tc>
      </w:tr>
      <w:tr w:rsidR="0047517E" w:rsidRPr="0007327B" w14:paraId="523F7D95" w14:textId="77777777" w:rsidTr="008A1191">
        <w:trPr>
          <w:cantSplit/>
          <w:trHeight w:val="397"/>
        </w:trPr>
        <w:tc>
          <w:tcPr>
            <w:tcW w:w="1696" w:type="dxa"/>
          </w:tcPr>
          <w:p w14:paraId="687E15FD" w14:textId="063F9FBC" w:rsidR="0047517E" w:rsidRDefault="0047517E" w:rsidP="008A4C51">
            <w:pPr>
              <w:pStyle w:val="TTTableText"/>
            </w:pPr>
            <w:r>
              <w:t>MAEQ</w:t>
            </w:r>
          </w:p>
        </w:tc>
        <w:tc>
          <w:tcPr>
            <w:tcW w:w="7364" w:type="dxa"/>
          </w:tcPr>
          <w:p w14:paraId="481E6CC4" w14:textId="262BA818" w:rsidR="0047517E" w:rsidRDefault="0047517E" w:rsidP="008A4C51">
            <w:pPr>
              <w:pStyle w:val="TTTableText"/>
            </w:pPr>
            <w:r>
              <w:t>Maximum Admissible Export Quantities</w:t>
            </w:r>
          </w:p>
        </w:tc>
      </w:tr>
      <w:tr w:rsidR="0047517E" w:rsidRPr="0007327B" w14:paraId="590BDCEC" w14:textId="77777777" w:rsidTr="008A1191">
        <w:trPr>
          <w:cantSplit/>
          <w:trHeight w:val="397"/>
        </w:trPr>
        <w:tc>
          <w:tcPr>
            <w:tcW w:w="1696" w:type="dxa"/>
          </w:tcPr>
          <w:p w14:paraId="557C8484" w14:textId="5FB5F1CD" w:rsidR="0047517E" w:rsidRDefault="0047517E" w:rsidP="008A4C51">
            <w:pPr>
              <w:pStyle w:val="TTTableText"/>
            </w:pPr>
            <w:r>
              <w:t>SAP</w:t>
            </w:r>
          </w:p>
        </w:tc>
        <w:tc>
          <w:tcPr>
            <w:tcW w:w="7364" w:type="dxa"/>
          </w:tcPr>
          <w:p w14:paraId="24F4A933" w14:textId="58A39063" w:rsidR="0047517E" w:rsidRDefault="0047517E" w:rsidP="008A4C51">
            <w:pPr>
              <w:pStyle w:val="TTTableText"/>
            </w:pPr>
            <w:r>
              <w:t>State Advised Price</w:t>
            </w:r>
          </w:p>
        </w:tc>
      </w:tr>
      <w:tr w:rsidR="0047517E" w:rsidRPr="0007327B" w14:paraId="6A17FD7C" w14:textId="77777777" w:rsidTr="008A1191">
        <w:trPr>
          <w:cantSplit/>
          <w:trHeight w:val="397"/>
        </w:trPr>
        <w:tc>
          <w:tcPr>
            <w:tcW w:w="1696" w:type="dxa"/>
          </w:tcPr>
          <w:p w14:paraId="03786933" w14:textId="122A8024" w:rsidR="0047517E" w:rsidRDefault="0047517E" w:rsidP="008A4C51">
            <w:pPr>
              <w:pStyle w:val="TTTableText"/>
            </w:pPr>
            <w:r>
              <w:t>SCM Agreement</w:t>
            </w:r>
          </w:p>
        </w:tc>
        <w:tc>
          <w:tcPr>
            <w:tcW w:w="7364" w:type="dxa"/>
          </w:tcPr>
          <w:p w14:paraId="3D686C85" w14:textId="17811B52" w:rsidR="0047517E" w:rsidRDefault="0047517E" w:rsidP="008A4C51">
            <w:pPr>
              <w:pStyle w:val="TTTableText"/>
            </w:pPr>
            <w:r>
              <w:t>Agreement on Subsidies and Countervailing Measures</w:t>
            </w:r>
          </w:p>
        </w:tc>
      </w:tr>
      <w:tr w:rsidR="0047517E" w:rsidRPr="0007327B" w14:paraId="5A5DC98B" w14:textId="77777777" w:rsidTr="008A1191">
        <w:trPr>
          <w:cantSplit/>
          <w:trHeight w:val="397"/>
        </w:trPr>
        <w:tc>
          <w:tcPr>
            <w:tcW w:w="1696" w:type="dxa"/>
          </w:tcPr>
          <w:p w14:paraId="6827A88A" w14:textId="675742E4" w:rsidR="0047517E" w:rsidRDefault="0047517E" w:rsidP="008A4C51">
            <w:pPr>
              <w:pStyle w:val="TTTableText"/>
            </w:pPr>
            <w:r>
              <w:t>WTO</w:t>
            </w:r>
          </w:p>
        </w:tc>
        <w:tc>
          <w:tcPr>
            <w:tcW w:w="7364" w:type="dxa"/>
          </w:tcPr>
          <w:p w14:paraId="5479A939" w14:textId="24C13231" w:rsidR="0047517E" w:rsidRDefault="0047517E" w:rsidP="008A4C51">
            <w:pPr>
              <w:pStyle w:val="TTTableText"/>
            </w:pPr>
            <w:r>
              <w:t>World Trade Organization</w:t>
            </w:r>
          </w:p>
        </w:tc>
      </w:tr>
    </w:tbl>
    <w:p w14:paraId="0129D7B6" w14:textId="77777777" w:rsidR="004D7079" w:rsidRPr="0007327B" w:rsidRDefault="004D7079" w:rsidP="004D7079">
      <w:pPr>
        <w:pStyle w:val="BTNSSBodyTextNoSpacingSmall"/>
      </w:pPr>
    </w:p>
    <w:p w14:paraId="2F2D46B7" w14:textId="77777777" w:rsidR="001C3A79" w:rsidRPr="0007327B" w:rsidRDefault="001C3A79" w:rsidP="001C3A79">
      <w:pPr>
        <w:pStyle w:val="BTNSSBodyTextNoSpacingSmall"/>
      </w:pPr>
    </w:p>
    <w:p w14:paraId="76FE96DF" w14:textId="77777777" w:rsidR="001C3A79" w:rsidRDefault="001C3A79" w:rsidP="001C3A79">
      <w:pPr>
        <w:pStyle w:val="SHSectionHeading"/>
      </w:pPr>
      <w:bookmarkStart w:id="2" w:name="_Toc58497307"/>
      <w:bookmarkStart w:id="3" w:name="_Toc67475489"/>
      <w:r w:rsidRPr="0007327B">
        <w:t xml:space="preserve">List of </w:t>
      </w:r>
      <w:r>
        <w:t xml:space="preserve">australia's </w:t>
      </w:r>
      <w:r w:rsidRPr="0007327B">
        <w:t>Exhibits</w:t>
      </w:r>
      <w:bookmarkEnd w:id="2"/>
      <w:bookmarkEnd w:id="3"/>
    </w:p>
    <w:tbl>
      <w:tblPr>
        <w:tblStyle w:val="TableGrid"/>
        <w:tblW w:w="5000" w:type="pct"/>
        <w:tblLook w:val="04A0" w:firstRow="1" w:lastRow="0" w:firstColumn="1" w:lastColumn="0" w:noHBand="0" w:noVBand="1"/>
      </w:tblPr>
      <w:tblGrid>
        <w:gridCol w:w="1413"/>
        <w:gridCol w:w="7647"/>
      </w:tblGrid>
      <w:tr w:rsidR="001C3A79" w:rsidRPr="0007327B" w14:paraId="0D789163" w14:textId="77777777" w:rsidTr="0020062A">
        <w:trPr>
          <w:cantSplit/>
          <w:trHeight w:val="397"/>
          <w:tblHeader/>
        </w:trPr>
        <w:tc>
          <w:tcPr>
            <w:tcW w:w="1413" w:type="dxa"/>
            <w:shd w:val="clear" w:color="auto" w:fill="D9D9D9" w:themeFill="background1" w:themeFillShade="D9"/>
          </w:tcPr>
          <w:p w14:paraId="1FEED24A" w14:textId="77777777" w:rsidR="001C3A79" w:rsidRPr="0007327B" w:rsidRDefault="001C3A79" w:rsidP="0020062A">
            <w:pPr>
              <w:pStyle w:val="THTableHeading"/>
              <w:jc w:val="center"/>
            </w:pPr>
            <w:r w:rsidRPr="0007327B">
              <w:t>Exhibit No.</w:t>
            </w:r>
          </w:p>
        </w:tc>
        <w:tc>
          <w:tcPr>
            <w:tcW w:w="7647" w:type="dxa"/>
            <w:shd w:val="clear" w:color="auto" w:fill="D9D9D9" w:themeFill="background1" w:themeFillShade="D9"/>
          </w:tcPr>
          <w:p w14:paraId="28061C4E" w14:textId="77777777" w:rsidR="001C3A79" w:rsidRPr="0007327B" w:rsidRDefault="001C3A79" w:rsidP="0020062A">
            <w:pPr>
              <w:pStyle w:val="THTableHeading"/>
              <w:jc w:val="center"/>
            </w:pPr>
            <w:r w:rsidRPr="0007327B">
              <w:t>Exhibit Name</w:t>
            </w:r>
          </w:p>
        </w:tc>
      </w:tr>
      <w:tr w:rsidR="001C3A79" w:rsidRPr="0007327B" w14:paraId="57951EEB" w14:textId="77777777" w:rsidTr="0020062A">
        <w:trPr>
          <w:cantSplit/>
          <w:trHeight w:val="397"/>
        </w:trPr>
        <w:tc>
          <w:tcPr>
            <w:tcW w:w="1413" w:type="dxa"/>
          </w:tcPr>
          <w:p w14:paraId="656E4D84" w14:textId="1A6E8C8E" w:rsidR="001C3A79" w:rsidRPr="0007327B" w:rsidRDefault="001C3A79" w:rsidP="0020062A">
            <w:pPr>
              <w:pStyle w:val="TTTableText"/>
            </w:pPr>
            <w:r>
              <w:t>AUS-1 (Revision 3)</w:t>
            </w:r>
          </w:p>
        </w:tc>
        <w:tc>
          <w:tcPr>
            <w:tcW w:w="7647" w:type="dxa"/>
          </w:tcPr>
          <w:p w14:paraId="53A0B6E4" w14:textId="669F151F" w:rsidR="001C3A79" w:rsidRPr="0007327B" w:rsidRDefault="001C3A79" w:rsidP="0020062A">
            <w:pPr>
              <w:pStyle w:val="TTTableText"/>
            </w:pPr>
            <w:r>
              <w:t>Australia's domestic support calculations, Microsoft Excel workbooks, Revision 3</w:t>
            </w:r>
          </w:p>
        </w:tc>
      </w:tr>
    </w:tbl>
    <w:p w14:paraId="5C201290" w14:textId="77777777" w:rsidR="00F57DC7" w:rsidRPr="0007327B" w:rsidRDefault="00F57DC7" w:rsidP="00477519">
      <w:pPr>
        <w:pStyle w:val="BTNSSBodyTextNoSpacingSmall"/>
      </w:pPr>
    </w:p>
    <w:p w14:paraId="4FE7AFC4" w14:textId="77777777" w:rsidR="0023272D" w:rsidRPr="0007327B" w:rsidRDefault="0023272D" w:rsidP="0023272D">
      <w:pPr>
        <w:pStyle w:val="BTNSSBodyTextNoSpacingSmall"/>
      </w:pPr>
    </w:p>
    <w:p w14:paraId="064ECBE5" w14:textId="77777777" w:rsidR="00D47F18" w:rsidRPr="0007327B" w:rsidRDefault="00D47F18" w:rsidP="00D52A17">
      <w:pPr>
        <w:pStyle w:val="BTBodyText"/>
      </w:pPr>
      <w:r w:rsidRPr="0007327B">
        <w:br w:type="page"/>
      </w:r>
    </w:p>
    <w:p w14:paraId="17F0D3EE" w14:textId="2D646558" w:rsidR="00D52A17" w:rsidRPr="0007327B" w:rsidRDefault="002A54F5" w:rsidP="00D52A17">
      <w:pPr>
        <w:pStyle w:val="HL1HeadingLevel1"/>
      </w:pPr>
      <w:bookmarkStart w:id="4" w:name="_Toc67475490"/>
      <w:r>
        <w:lastRenderedPageBreak/>
        <w:t>INTRODUCTION</w:t>
      </w:r>
      <w:bookmarkEnd w:id="4"/>
    </w:p>
    <w:p w14:paraId="0CFF0CBC" w14:textId="523B19EC" w:rsidR="00D52A17" w:rsidRDefault="0001369E" w:rsidP="00D52A17">
      <w:pPr>
        <w:pStyle w:val="P1-N1Paragraph1-Number1"/>
      </w:pPr>
      <w:r>
        <w:t xml:space="preserve">Mr Chair, </w:t>
      </w:r>
      <w:r w:rsidR="00B012D6">
        <w:t>members of the Panel</w:t>
      </w:r>
      <w:r>
        <w:t xml:space="preserve">, fellow delegates </w:t>
      </w:r>
      <w:r w:rsidR="00B012D6">
        <w:t xml:space="preserve">and WTO Secretariat staff </w:t>
      </w:r>
      <w:r>
        <w:t xml:space="preserve">– </w:t>
      </w:r>
      <w:r w:rsidR="00B012D6">
        <w:t xml:space="preserve">Australia is pleased to be here </w:t>
      </w:r>
      <w:r w:rsidR="000B3C00">
        <w:t>at th</w:t>
      </w:r>
      <w:r w:rsidR="00F72D0F">
        <w:t>e</w:t>
      </w:r>
      <w:r w:rsidR="000B3C00">
        <w:t xml:space="preserve"> second substantive meeting</w:t>
      </w:r>
      <w:r w:rsidR="008B4489">
        <w:t xml:space="preserve"> with the parties</w:t>
      </w:r>
      <w:r w:rsidR="000B3C00">
        <w:t>.</w:t>
      </w:r>
      <w:r w:rsidR="002A54F5">
        <w:t xml:space="preserve"> </w:t>
      </w:r>
      <w:r w:rsidR="00970F5B">
        <w:t xml:space="preserve"> </w:t>
      </w:r>
    </w:p>
    <w:p w14:paraId="5597AA7A" w14:textId="6F0BE268" w:rsidR="008C0CE6" w:rsidRDefault="0026239B" w:rsidP="00E50E96">
      <w:pPr>
        <w:pStyle w:val="P1-N1Paragraph1-Number1"/>
      </w:pPr>
      <w:r>
        <w:t xml:space="preserve">Australia, </w:t>
      </w:r>
      <w:r w:rsidR="0002511C">
        <w:t xml:space="preserve">Brazil and Guatemala </w:t>
      </w:r>
      <w:r>
        <w:t>have clearly demonstrated</w:t>
      </w:r>
      <w:r w:rsidR="0081579F">
        <w:t>,</w:t>
      </w:r>
      <w:r>
        <w:t xml:space="preserve"> through written and oral submissions</w:t>
      </w:r>
      <w:r w:rsidR="0081579F">
        <w:t>,</w:t>
      </w:r>
      <w:r>
        <w:t xml:space="preserve"> that India maintains measures with respect to sugar and sugarcane that are inconsistent with its WTO obligations. </w:t>
      </w:r>
      <w:r w:rsidR="00552092">
        <w:t xml:space="preserve"> </w:t>
      </w:r>
      <w:r w:rsidR="00E50E96">
        <w:t>In defen</w:t>
      </w:r>
      <w:r>
        <w:t>ding these</w:t>
      </w:r>
      <w:r w:rsidR="00E50E96">
        <w:t xml:space="preserve"> measures, India continues to advance interpretations of applicable legal standards </w:t>
      </w:r>
      <w:r>
        <w:t>that the text</w:t>
      </w:r>
      <w:r w:rsidR="00E23F72">
        <w:t xml:space="preserve"> and objectives</w:t>
      </w:r>
      <w:r>
        <w:t xml:space="preserve"> of the WTO Agreements</w:t>
      </w:r>
      <w:r w:rsidR="00E23F72">
        <w:t xml:space="preserve"> do not support</w:t>
      </w:r>
      <w:r>
        <w:t>.</w:t>
      </w:r>
      <w:r w:rsidR="00552092">
        <w:t xml:space="preserve"> </w:t>
      </w:r>
      <w:r>
        <w:t xml:space="preserve"> India's </w:t>
      </w:r>
      <w:r w:rsidR="00E50E96">
        <w:t xml:space="preserve">characterisation of its measures </w:t>
      </w:r>
      <w:r>
        <w:t xml:space="preserve">do not </w:t>
      </w:r>
      <w:r w:rsidR="00056F6B">
        <w:t xml:space="preserve">always </w:t>
      </w:r>
      <w:r>
        <w:t xml:space="preserve">accord with the </w:t>
      </w:r>
      <w:r w:rsidR="00E50E96">
        <w:t>available facts.</w:t>
      </w:r>
      <w:r w:rsidR="00552092">
        <w:t xml:space="preserve"> </w:t>
      </w:r>
      <w:r w:rsidR="00E50E96">
        <w:t xml:space="preserve"> In many instances, India has offered little new evidence </w:t>
      </w:r>
      <w:r w:rsidR="00A056D2">
        <w:t xml:space="preserve">and </w:t>
      </w:r>
      <w:r w:rsidR="00E50E96">
        <w:t xml:space="preserve">argumentation since </w:t>
      </w:r>
      <w:r w:rsidR="00E027C9">
        <w:t>the</w:t>
      </w:r>
      <w:r w:rsidR="00F32775">
        <w:t xml:space="preserve"> first written submission</w:t>
      </w:r>
      <w:r w:rsidR="00E50E96">
        <w:t xml:space="preserve">.  </w:t>
      </w:r>
    </w:p>
    <w:p w14:paraId="3B2753A0" w14:textId="63684E2D" w:rsidR="00E50E96" w:rsidRDefault="00E50E96" w:rsidP="00E50E96">
      <w:pPr>
        <w:pStyle w:val="P1-N1Paragraph1-Number1"/>
      </w:pPr>
      <w:r>
        <w:t>In this statement, we intend to focus on those arguments India developed further in its second written submission.</w:t>
      </w:r>
      <w:r w:rsidR="00552092">
        <w:t xml:space="preserve"> </w:t>
      </w:r>
      <w:r w:rsidR="00ED1828" w:rsidRPr="00ED1828">
        <w:t xml:space="preserve"> </w:t>
      </w:r>
      <w:r w:rsidR="00ED1828">
        <w:t xml:space="preserve">For the sake of efficiency, we will not </w:t>
      </w:r>
      <w:r w:rsidR="003B18AF">
        <w:t>repeat</w:t>
      </w:r>
      <w:r w:rsidR="00ED1828">
        <w:t xml:space="preserve"> the arguments made in Australia's second written submission, which we continue to stand by.</w:t>
      </w:r>
    </w:p>
    <w:p w14:paraId="597E275D" w14:textId="190D7422" w:rsidR="001C5F27" w:rsidRDefault="003104D8" w:rsidP="001C5F27">
      <w:pPr>
        <w:pStyle w:val="HL1HeadingLevel1"/>
      </w:pPr>
      <w:bookmarkStart w:id="5" w:name="_Toc67475491"/>
      <w:r>
        <w:t xml:space="preserve">india'S </w:t>
      </w:r>
      <w:r w:rsidR="001C5F27">
        <w:t>DOMESTIC SUPPORT</w:t>
      </w:r>
      <w:r>
        <w:t xml:space="preserve"> IN FAVOUR OF SUGARCANE PRODUCERS VIOLATES ITS OBLIGATIONS UNDER THE AGREEMENT ON AGRICULTURE</w:t>
      </w:r>
      <w:bookmarkEnd w:id="5"/>
    </w:p>
    <w:p w14:paraId="34FF9605" w14:textId="6CB0DD63" w:rsidR="00F81D68" w:rsidRDefault="00605383" w:rsidP="004C74E1">
      <w:pPr>
        <w:pStyle w:val="P1-N1Paragraph1-Number1"/>
      </w:pPr>
      <w:r>
        <w:t>T</w:t>
      </w:r>
      <w:r w:rsidR="005B563B">
        <w:t xml:space="preserve">he central question for the Panel to determine in order to resolve </w:t>
      </w:r>
      <w:r>
        <w:t>the complainants' domestic support claims</w:t>
      </w:r>
      <w:r w:rsidR="005B563B">
        <w:t xml:space="preserve"> is whether or not India's FRP and SAP measures constitute "market price support" within the meaning of the Agreement on Agriculture.  </w:t>
      </w:r>
    </w:p>
    <w:p w14:paraId="4C251722" w14:textId="64301934" w:rsidR="005B563B" w:rsidRDefault="005B563B" w:rsidP="004C74E1">
      <w:pPr>
        <w:pStyle w:val="P1-N1Paragraph1-Number1"/>
      </w:pPr>
      <w:r>
        <w:t xml:space="preserve">Australia, Brazil and Guatemala contend that </w:t>
      </w:r>
      <w:r w:rsidR="00F81D68">
        <w:t xml:space="preserve">those measures </w:t>
      </w:r>
      <w:r w:rsidR="00F81D68" w:rsidRPr="00A33880">
        <w:rPr>
          <w:u w:val="single"/>
        </w:rPr>
        <w:t>are</w:t>
      </w:r>
      <w:r w:rsidR="00F81D68">
        <w:t xml:space="preserve"> market price support</w:t>
      </w:r>
      <w:r>
        <w:t>.</w:t>
      </w:r>
      <w:r w:rsidR="00F81D68">
        <w:t xml:space="preserve">  India disagrees </w:t>
      </w:r>
      <w:r w:rsidR="00E23F72">
        <w:t>on the basis that</w:t>
      </w:r>
      <w:r w:rsidR="00445D9D">
        <w:t xml:space="preserve"> its</w:t>
      </w:r>
      <w:r w:rsidR="007A4E9A" w:rsidRPr="006F236E">
        <w:t xml:space="preserve"> Central </w:t>
      </w:r>
      <w:r w:rsidR="00445D9D">
        <w:t>and</w:t>
      </w:r>
      <w:r w:rsidR="007A4E9A" w:rsidRPr="006F236E">
        <w:t xml:space="preserve"> St</w:t>
      </w:r>
      <w:r w:rsidR="007A4E9A" w:rsidRPr="009A7DFF">
        <w:t>ate-level governments</w:t>
      </w:r>
      <w:r w:rsidR="007A4E9A">
        <w:t xml:space="preserve"> do not procure, and have no obligation</w:t>
      </w:r>
      <w:r w:rsidR="007A4E9A" w:rsidRPr="009A7DFF">
        <w:t xml:space="preserve"> to procure</w:t>
      </w:r>
      <w:r w:rsidR="007A4E9A">
        <w:t>,</w:t>
      </w:r>
      <w:r w:rsidR="007A4E9A" w:rsidRPr="009A7DFF">
        <w:t xml:space="preserve"> the </w:t>
      </w:r>
      <w:r w:rsidR="007A4E9A" w:rsidRPr="00ED4B5A">
        <w:t>sugarcane</w:t>
      </w:r>
      <w:r w:rsidR="00BE0A63">
        <w:t>,</w:t>
      </w:r>
      <w:r w:rsidR="007A4E9A" w:rsidRPr="00ED4B5A">
        <w:t xml:space="preserve"> </w:t>
      </w:r>
      <w:r w:rsidR="007A4E9A">
        <w:t>by paying the applicable</w:t>
      </w:r>
      <w:r w:rsidR="007A4E9A" w:rsidRPr="00ED4B5A">
        <w:t xml:space="preserve"> FRP </w:t>
      </w:r>
      <w:r w:rsidR="004F1360">
        <w:t>and</w:t>
      </w:r>
      <w:r w:rsidR="007A4E9A" w:rsidRPr="00ED4B5A">
        <w:t xml:space="preserve"> SAP</w:t>
      </w:r>
      <w:r w:rsidR="007A4E9A">
        <w:t xml:space="preserve"> to the sugarcane farmers</w:t>
      </w:r>
      <w:r w:rsidR="007A4E9A" w:rsidRPr="00ED4B5A">
        <w:t>.</w:t>
      </w:r>
      <w:r w:rsidR="007A4E9A">
        <w:rPr>
          <w:rStyle w:val="FootnoteReference"/>
        </w:rPr>
        <w:footnoteReference w:id="1"/>
      </w:r>
      <w:r w:rsidR="00F81D68">
        <w:t xml:space="preserve"> </w:t>
      </w:r>
      <w:r>
        <w:t xml:space="preserve"> </w:t>
      </w:r>
    </w:p>
    <w:p w14:paraId="379E2AD6" w14:textId="28A3C52E" w:rsidR="00270ACA" w:rsidRDefault="00270ACA" w:rsidP="00270ACA">
      <w:pPr>
        <w:pStyle w:val="HL2HeadingLevel2"/>
      </w:pPr>
      <w:bookmarkStart w:id="6" w:name="_Toc67475492"/>
      <w:r>
        <w:t>Adopting India's interpret</w:t>
      </w:r>
      <w:r w:rsidR="00C23D57">
        <w:t>ation of</w:t>
      </w:r>
      <w:r>
        <w:t xml:space="preserve"> "market price support" would have </w:t>
      </w:r>
      <w:r w:rsidR="00C23D57">
        <w:t>negative</w:t>
      </w:r>
      <w:r>
        <w:t xml:space="preserve"> systemic consequences</w:t>
      </w:r>
      <w:bookmarkEnd w:id="6"/>
    </w:p>
    <w:p w14:paraId="3F75F3A8" w14:textId="286CE4F6" w:rsidR="00ED4E3A" w:rsidRDefault="00035963" w:rsidP="004C74E1">
      <w:pPr>
        <w:pStyle w:val="P1-N1Paragraph1-Number1"/>
      </w:pPr>
      <w:r>
        <w:t xml:space="preserve">Before exploring </w:t>
      </w:r>
      <w:r w:rsidR="00202C05">
        <w:t xml:space="preserve">in </w:t>
      </w:r>
      <w:r>
        <w:t xml:space="preserve">detail the </w:t>
      </w:r>
      <w:r w:rsidR="00F26844">
        <w:t xml:space="preserve">reasoning </w:t>
      </w:r>
      <w:r>
        <w:t xml:space="preserve">advanced by India in its second written submission, I would like to </w:t>
      </w:r>
      <w:r w:rsidR="00202C05">
        <w:t>highlight</w:t>
      </w:r>
      <w:r>
        <w:t xml:space="preserve"> the significance of India's argument and the systemic </w:t>
      </w:r>
      <w:r>
        <w:lastRenderedPageBreak/>
        <w:t xml:space="preserve">consequences </w:t>
      </w:r>
      <w:r w:rsidR="00967CDE">
        <w:t>it</w:t>
      </w:r>
      <w:r>
        <w:t xml:space="preserve"> </w:t>
      </w:r>
      <w:r w:rsidR="00F575CA">
        <w:t>w</w:t>
      </w:r>
      <w:r>
        <w:t xml:space="preserve">ould have, if accepted by the Panel. </w:t>
      </w:r>
      <w:r w:rsidR="00967CDE">
        <w:t xml:space="preserve"> Those consequences are of great concern to Australia. </w:t>
      </w:r>
    </w:p>
    <w:p w14:paraId="547A7330" w14:textId="50D9347B" w:rsidR="00321BD8" w:rsidRDefault="00D43F73" w:rsidP="004C74E1">
      <w:pPr>
        <w:pStyle w:val="P1-N1Paragraph1-Number1"/>
      </w:pPr>
      <w:r>
        <w:t xml:space="preserve">If the Panel </w:t>
      </w:r>
      <w:r w:rsidR="00EA68A6">
        <w:t xml:space="preserve">accepts </w:t>
      </w:r>
      <w:r>
        <w:t xml:space="preserve">India's defence of the FRP and SAP measures, the Panel's decision </w:t>
      </w:r>
      <w:r w:rsidR="003D1383">
        <w:t xml:space="preserve">would </w:t>
      </w:r>
      <w:r w:rsidR="004F1360">
        <w:t xml:space="preserve">send a </w:t>
      </w:r>
      <w:r w:rsidR="003D1383">
        <w:t>signal</w:t>
      </w:r>
      <w:r w:rsidR="00321BD8">
        <w:t xml:space="preserve"> to the WTO Membership</w:t>
      </w:r>
      <w:r w:rsidR="003D1383">
        <w:t xml:space="preserve"> that </w:t>
      </w:r>
      <w:r w:rsidR="00CB1C2F">
        <w:t>a</w:t>
      </w:r>
      <w:r w:rsidR="00EA68A6">
        <w:t>ny</w:t>
      </w:r>
      <w:r w:rsidR="00CB1C2F">
        <w:t xml:space="preserve"> </w:t>
      </w:r>
      <w:r w:rsidR="003D1383">
        <w:t>Member may provide trade</w:t>
      </w:r>
      <w:r w:rsidR="00E23F72">
        <w:t xml:space="preserve"> and production-</w:t>
      </w:r>
      <w:r w:rsidR="003D1383">
        <w:t xml:space="preserve">distorting </w:t>
      </w:r>
      <w:r w:rsidR="00E23F72">
        <w:t xml:space="preserve">domestic </w:t>
      </w:r>
      <w:r w:rsidR="003D1383">
        <w:t xml:space="preserve">support to </w:t>
      </w:r>
      <w:r w:rsidR="00CB1C2F">
        <w:t xml:space="preserve">its </w:t>
      </w:r>
      <w:r w:rsidR="003D1383">
        <w:t>agricultural producers through legislated floor prices</w:t>
      </w:r>
      <w:r w:rsidR="00F43E15">
        <w:t>,</w:t>
      </w:r>
      <w:r w:rsidR="003D1383">
        <w:t xml:space="preserve"> </w:t>
      </w:r>
      <w:r w:rsidR="00944F2A">
        <w:t>as long as</w:t>
      </w:r>
      <w:r w:rsidR="00321BD8">
        <w:t xml:space="preserve"> </w:t>
      </w:r>
      <w:r w:rsidR="00370C44">
        <w:t>the</w:t>
      </w:r>
      <w:r w:rsidR="003D1383" w:rsidRPr="003D1383">
        <w:t xml:space="preserve"> government d</w:t>
      </w:r>
      <w:r w:rsidR="00321BD8">
        <w:t>o</w:t>
      </w:r>
      <w:r w:rsidR="0020062A">
        <w:t>es</w:t>
      </w:r>
      <w:r w:rsidR="003D1383" w:rsidRPr="003D1383">
        <w:t xml:space="preserve"> not </w:t>
      </w:r>
      <w:r w:rsidR="0020062A">
        <w:t xml:space="preserve">directly or indirectly </w:t>
      </w:r>
      <w:r w:rsidR="003D1383" w:rsidRPr="003D1383">
        <w:t>purchase the agricultural product</w:t>
      </w:r>
      <w:r w:rsidR="003F5ADB">
        <w:t xml:space="preserve"> receiving that support</w:t>
      </w:r>
      <w:r w:rsidR="003D1383" w:rsidRPr="003D1383">
        <w:t xml:space="preserve">.  </w:t>
      </w:r>
    </w:p>
    <w:p w14:paraId="5F7E4CD5" w14:textId="5544F39C" w:rsidR="00321BD8" w:rsidRDefault="00370C44" w:rsidP="004C74E1">
      <w:pPr>
        <w:pStyle w:val="P1-N1Paragraph1-Number1"/>
      </w:pPr>
      <w:r>
        <w:t xml:space="preserve">Australia agrees with Brazil that </w:t>
      </w:r>
      <w:r w:rsidR="00A06A1C">
        <w:t>accepting India's interpretation</w:t>
      </w:r>
      <w:r>
        <w:t xml:space="preserve"> would </w:t>
      </w:r>
      <w:r w:rsidR="004A182E">
        <w:t>mean that there is</w:t>
      </w:r>
      <w:r>
        <w:t xml:space="preserve"> "a wide and easily-abused loophole"</w:t>
      </w:r>
      <w:r w:rsidR="00A46453">
        <w:rPr>
          <w:rStyle w:val="FootnoteReference"/>
        </w:rPr>
        <w:footnoteReference w:id="2"/>
      </w:r>
      <w:r w:rsidR="00CB1C2F">
        <w:t xml:space="preserve"> in the Agreement on Agriculture's domestic support disciplines</w:t>
      </w:r>
      <w:r>
        <w:t>.</w:t>
      </w:r>
      <w:r w:rsidR="00A46453">
        <w:t xml:space="preserve">  </w:t>
      </w:r>
      <w:bookmarkStart w:id="7" w:name="_Hlk66621855"/>
      <w:r w:rsidR="00A056D2">
        <w:t xml:space="preserve">Opening </w:t>
      </w:r>
      <w:r w:rsidR="00F575CA">
        <w:t>this</w:t>
      </w:r>
      <w:r w:rsidR="004A182E">
        <w:t xml:space="preserve"> avenue for circumvention would unquestionably weaken Members' domestic support commitments and undermine the </w:t>
      </w:r>
      <w:r w:rsidR="00445D9D">
        <w:t xml:space="preserve">realisation of the </w:t>
      </w:r>
      <w:r w:rsidR="004A182E">
        <w:t>Agreement's object and purpose.</w:t>
      </w:r>
      <w:r w:rsidR="00E5106D">
        <w:rPr>
          <w:rStyle w:val="FootnoteReference"/>
        </w:rPr>
        <w:footnoteReference w:id="3"/>
      </w:r>
    </w:p>
    <w:bookmarkEnd w:id="7"/>
    <w:p w14:paraId="4B5AF737" w14:textId="410DA055" w:rsidR="00A46453" w:rsidRDefault="00A46453" w:rsidP="004C74E1">
      <w:pPr>
        <w:pStyle w:val="P1-N1Paragraph1-Number1"/>
      </w:pPr>
      <w:r>
        <w:t>Thus, the potential ramifications of such a decision by the Panel go far beyond India</w:t>
      </w:r>
      <w:r w:rsidR="00EA68A6">
        <w:t>’s</w:t>
      </w:r>
      <w:r>
        <w:t xml:space="preserve"> support </w:t>
      </w:r>
      <w:r w:rsidR="0023642F">
        <w:t>for</w:t>
      </w:r>
      <w:r>
        <w:t xml:space="preserve"> its sugarcane farmers. </w:t>
      </w:r>
    </w:p>
    <w:p w14:paraId="7AB77CA5" w14:textId="2A9BEF1B" w:rsidR="006F4EC9" w:rsidRDefault="006F4EC9" w:rsidP="004C74E1">
      <w:pPr>
        <w:pStyle w:val="P1-N1Paragraph1-Number1"/>
      </w:pPr>
      <w:r>
        <w:t xml:space="preserve">Further, accepting India's misinterpretation of market price support would </w:t>
      </w:r>
      <w:r w:rsidR="00F575CA">
        <w:t xml:space="preserve">have the practical effect of </w:t>
      </w:r>
      <w:r w:rsidR="00F575CA" w:rsidRPr="00F575CA">
        <w:rPr>
          <w:u w:val="single"/>
        </w:rPr>
        <w:t>undermining</w:t>
      </w:r>
      <w:r w:rsidR="00F575CA">
        <w:t xml:space="preserve"> </w:t>
      </w:r>
      <w:r w:rsidR="00DA1474">
        <w:t xml:space="preserve">the </w:t>
      </w:r>
      <w:r>
        <w:t xml:space="preserve">structure </w:t>
      </w:r>
      <w:r w:rsidR="00F575CA">
        <w:t>of</w:t>
      </w:r>
      <w:r w:rsidR="00D43F73">
        <w:t xml:space="preserve"> </w:t>
      </w:r>
      <w:r>
        <w:t>the domestic support disciplines</w:t>
      </w:r>
      <w:r w:rsidR="00B6665D">
        <w:t xml:space="preserve">. </w:t>
      </w:r>
      <w:r w:rsidR="0046194E">
        <w:t xml:space="preserve"> Article 6.1 of</w:t>
      </w:r>
      <w:r w:rsidR="00B6665D">
        <w:t xml:space="preserve"> the Agreement on Agriculture </w:t>
      </w:r>
      <w:r w:rsidR="0046194E">
        <w:t xml:space="preserve">stipulates that </w:t>
      </w:r>
      <w:r w:rsidR="00F73C28">
        <w:t>these</w:t>
      </w:r>
      <w:r w:rsidR="00B6665D">
        <w:t xml:space="preserve"> disciplines apply to </w:t>
      </w:r>
      <w:r w:rsidR="00B6665D" w:rsidRPr="00275FEB">
        <w:rPr>
          <w:u w:val="single"/>
        </w:rPr>
        <w:t>all</w:t>
      </w:r>
      <w:r w:rsidR="00B6665D">
        <w:t xml:space="preserve"> measure</w:t>
      </w:r>
      <w:r w:rsidR="00FD478B">
        <w:t>s</w:t>
      </w:r>
      <w:r w:rsidR="00B6665D">
        <w:t xml:space="preserve"> in favour of agricultural producers</w:t>
      </w:r>
      <w:r w:rsidR="00EA68A6">
        <w:t>,</w:t>
      </w:r>
      <w:r w:rsidR="00B6665D">
        <w:t xml:space="preserve"> unless </w:t>
      </w:r>
      <w:r w:rsidR="00163120">
        <w:t>a</w:t>
      </w:r>
      <w:r w:rsidR="00B6665D">
        <w:t xml:space="preserve"> measure is</w:t>
      </w:r>
      <w:r w:rsidR="00163120">
        <w:t xml:space="preserve"> </w:t>
      </w:r>
      <w:r w:rsidR="00FD478B">
        <w:t>expressly</w:t>
      </w:r>
      <w:r w:rsidR="00B6665D">
        <w:t xml:space="preserve"> exempted.</w:t>
      </w:r>
      <w:r w:rsidR="00DE0EA7">
        <w:rPr>
          <w:rStyle w:val="FootnoteReference"/>
        </w:rPr>
        <w:footnoteReference w:id="4"/>
      </w:r>
      <w:r>
        <w:t xml:space="preserve">  </w:t>
      </w:r>
      <w:r w:rsidR="00EE5566">
        <w:t>This Article reflects a deliberate decision by the Agreement's negotiators to define the exempt measures, leaving the "residual" subject to discipline</w:t>
      </w:r>
      <w:r>
        <w:t>.</w:t>
      </w:r>
      <w:r w:rsidR="00725D3A">
        <w:rPr>
          <w:rStyle w:val="FootnoteReference"/>
        </w:rPr>
        <w:footnoteReference w:id="5"/>
      </w:r>
      <w:r>
        <w:t xml:space="preserve"> </w:t>
      </w:r>
    </w:p>
    <w:p w14:paraId="69EE565B" w14:textId="2931820D" w:rsidR="00A42450" w:rsidRDefault="00EC5D11" w:rsidP="004C74E1">
      <w:pPr>
        <w:pStyle w:val="P1-N1Paragraph1-Number1"/>
      </w:pPr>
      <w:r w:rsidRPr="00AB3BCB">
        <w:t xml:space="preserve">India </w:t>
      </w:r>
      <w:r w:rsidRPr="00F62CEE">
        <w:t>has not argued</w:t>
      </w:r>
      <w:r>
        <w:t xml:space="preserve"> that its FRP and SAP measures are exempt, nor could it credibly do so.</w:t>
      </w:r>
      <w:r w:rsidR="00952518">
        <w:rPr>
          <w:rStyle w:val="FootnoteReference"/>
        </w:rPr>
        <w:footnoteReference w:id="6"/>
      </w:r>
      <w:r w:rsidR="00754411">
        <w:t xml:space="preserve">  But the effect of India's argument</w:t>
      </w:r>
      <w:r w:rsidR="00EA68A6">
        <w:t>,</w:t>
      </w:r>
      <w:r w:rsidR="00754411">
        <w:t xml:space="preserve"> that market price support only exists if the government (or its agents) procure the product at the A</w:t>
      </w:r>
      <w:r w:rsidR="005537EE">
        <w:t xml:space="preserve">pplied </w:t>
      </w:r>
      <w:r w:rsidR="00754411">
        <w:t>A</w:t>
      </w:r>
      <w:r w:rsidR="005537EE">
        <w:t xml:space="preserve">dministered </w:t>
      </w:r>
      <w:r w:rsidR="00754411">
        <w:t>P</w:t>
      </w:r>
      <w:r w:rsidR="005537EE">
        <w:t>rice (AAP)</w:t>
      </w:r>
      <w:r w:rsidR="00754411">
        <w:t>, if accepted by th</w:t>
      </w:r>
      <w:r w:rsidR="00F70BC2">
        <w:t>e</w:t>
      </w:r>
      <w:r w:rsidR="00754411">
        <w:t xml:space="preserve"> Panel, would be to </w:t>
      </w:r>
      <w:r w:rsidR="00754411" w:rsidRPr="007216EA">
        <w:rPr>
          <w:u w:val="single"/>
        </w:rPr>
        <w:t>create a new category of measures exempt from India's domestic support reduction commitments</w:t>
      </w:r>
      <w:r w:rsidR="00754411">
        <w:t>.</w:t>
      </w:r>
      <w:r w:rsidR="00F70BC2">
        <w:t xml:space="preserve">  </w:t>
      </w:r>
      <w:r w:rsidR="00EA68A6">
        <w:t>This outcome would be</w:t>
      </w:r>
      <w:r w:rsidR="008D36A0">
        <w:t xml:space="preserve"> incompatible with the text</w:t>
      </w:r>
      <w:r w:rsidR="00240F4D">
        <w:t xml:space="preserve"> </w:t>
      </w:r>
      <w:r w:rsidR="00240F4D">
        <w:lastRenderedPageBreak/>
        <w:t xml:space="preserve">– and may embolden other Members to consider that they also benefit from the same "exemption". </w:t>
      </w:r>
    </w:p>
    <w:p w14:paraId="1D6791AD" w14:textId="219E71C6" w:rsidR="00D27777" w:rsidRDefault="00770CF2" w:rsidP="004C74E1">
      <w:pPr>
        <w:pStyle w:val="P1-N1Paragraph1-Number1"/>
      </w:pPr>
      <w:r>
        <w:t>T</w:t>
      </w:r>
      <w:r w:rsidR="00D27777">
        <w:t xml:space="preserve">hese </w:t>
      </w:r>
      <w:r>
        <w:t>serious</w:t>
      </w:r>
      <w:r w:rsidR="00D27777">
        <w:t xml:space="preserve"> systemic implications are</w:t>
      </w:r>
      <w:r w:rsidR="00037C8F" w:rsidRPr="00037C8F">
        <w:t xml:space="preserve"> </w:t>
      </w:r>
      <w:r w:rsidR="00037C8F">
        <w:t>not the only reason</w:t>
      </w:r>
      <w:r>
        <w:t xml:space="preserve">, however, </w:t>
      </w:r>
      <w:r w:rsidR="00D27777">
        <w:t xml:space="preserve">why Australia urges the Panel to reject India's </w:t>
      </w:r>
      <w:r w:rsidR="00C86934">
        <w:t>defence</w:t>
      </w:r>
      <w:r w:rsidR="00D27777">
        <w:t xml:space="preserve">.  Far from it. </w:t>
      </w:r>
    </w:p>
    <w:p w14:paraId="4EC76821" w14:textId="78229FF9" w:rsidR="00D27777" w:rsidRDefault="00D27777" w:rsidP="004C74E1">
      <w:pPr>
        <w:pStyle w:val="P1-N1Paragraph1-Number1"/>
      </w:pPr>
      <w:r>
        <w:t xml:space="preserve">Australia respectfully asks the Panel to find that the FRP and SAP measures </w:t>
      </w:r>
      <w:r w:rsidRPr="00F26844">
        <w:rPr>
          <w:u w:val="single"/>
        </w:rPr>
        <w:t>are</w:t>
      </w:r>
      <w:r>
        <w:t xml:space="preserve"> market price support</w:t>
      </w:r>
      <w:r w:rsidR="00EA68A6">
        <w:t>,</w:t>
      </w:r>
      <w:r>
        <w:t xml:space="preserve"> because India's interpretation </w:t>
      </w:r>
      <w:r w:rsidR="00C928D7">
        <w:t xml:space="preserve">of the Agreement on Agriculture </w:t>
      </w:r>
      <w:r w:rsidR="00EA68A6">
        <w:t>is</w:t>
      </w:r>
      <w:r>
        <w:t xml:space="preserve"> without merit. </w:t>
      </w:r>
    </w:p>
    <w:p w14:paraId="41669E18" w14:textId="0F355691" w:rsidR="00CA027B" w:rsidRDefault="0066504B" w:rsidP="001C5F27">
      <w:pPr>
        <w:pStyle w:val="P1-N1Paragraph1-Number1"/>
      </w:pPr>
      <w:r>
        <w:t xml:space="preserve">I will </w:t>
      </w:r>
      <w:r w:rsidR="00F575CA">
        <w:t xml:space="preserve">now </w:t>
      </w:r>
      <w:r>
        <w:t xml:space="preserve">turn to </w:t>
      </w:r>
      <w:r w:rsidR="009D3641">
        <w:t>the</w:t>
      </w:r>
      <w:r w:rsidR="001E4A99">
        <w:t xml:space="preserve"> </w:t>
      </w:r>
      <w:r w:rsidR="00BF3CF7">
        <w:t>reasoning</w:t>
      </w:r>
      <w:r w:rsidR="009D3641">
        <w:t xml:space="preserve"> advanced by India in its second written submission</w:t>
      </w:r>
      <w:r w:rsidR="001E4A99">
        <w:t xml:space="preserve">. </w:t>
      </w:r>
      <w:r w:rsidR="00CA027B">
        <w:t xml:space="preserve"> </w:t>
      </w:r>
    </w:p>
    <w:p w14:paraId="7DDDE366" w14:textId="26A7A9B1" w:rsidR="00157B3D" w:rsidRDefault="00CA027B" w:rsidP="001C5F27">
      <w:pPr>
        <w:pStyle w:val="P1-N1Paragraph1-Number1"/>
      </w:pPr>
      <w:r w:rsidRPr="00CA027B">
        <w:t>India</w:t>
      </w:r>
      <w:r>
        <w:t xml:space="preserve"> </w:t>
      </w:r>
      <w:r w:rsidR="006D625D">
        <w:t>has mischaracterized Australia's arguments</w:t>
      </w:r>
      <w:r w:rsidR="00B21105">
        <w:t>,</w:t>
      </w:r>
      <w:r w:rsidR="006D625D">
        <w:t xml:space="preserve"> and </w:t>
      </w:r>
      <w:r w:rsidR="006A6809">
        <w:t xml:space="preserve">falsely </w:t>
      </w:r>
      <w:r>
        <w:t>claim</w:t>
      </w:r>
      <w:r w:rsidR="006D625D">
        <w:t>ed</w:t>
      </w:r>
      <w:r w:rsidRPr="00CA027B">
        <w:t xml:space="preserve"> Australia's position </w:t>
      </w:r>
      <w:r>
        <w:t xml:space="preserve">is unclear </w:t>
      </w:r>
      <w:r w:rsidR="005179AB">
        <w:t>or</w:t>
      </w:r>
      <w:r w:rsidRPr="00CA027B">
        <w:t xml:space="preserve"> "incongruous".</w:t>
      </w:r>
      <w:r>
        <w:rPr>
          <w:rStyle w:val="FootnoteReference"/>
        </w:rPr>
        <w:footnoteReference w:id="7"/>
      </w:r>
      <w:r w:rsidRPr="00CA027B">
        <w:t xml:space="preserve">  </w:t>
      </w:r>
      <w:r w:rsidR="006D625D" w:rsidRPr="006D625D">
        <w:t xml:space="preserve">  </w:t>
      </w:r>
    </w:p>
    <w:p w14:paraId="5DC58F10" w14:textId="7A84855E" w:rsidR="007D5BBD" w:rsidRDefault="007D5BBD" w:rsidP="007D5BBD">
      <w:pPr>
        <w:pStyle w:val="HL2HeadingLevel2"/>
      </w:pPr>
      <w:bookmarkStart w:id="8" w:name="_Toc67475493"/>
      <w:r>
        <w:t>Article 6.1</w:t>
      </w:r>
      <w:bookmarkEnd w:id="8"/>
    </w:p>
    <w:p w14:paraId="01682A60" w14:textId="4FE19E79" w:rsidR="00CC7746" w:rsidRDefault="007A4E9A" w:rsidP="001C5F27">
      <w:pPr>
        <w:pStyle w:val="P1-N1Paragraph1-Number1"/>
      </w:pPr>
      <w:r>
        <w:t>I will begin with Article 6.1</w:t>
      </w:r>
      <w:r w:rsidR="00D84F8A">
        <w:t>,</w:t>
      </w:r>
      <w:r w:rsidR="00E87FE7">
        <w:t xml:space="preserve"> </w:t>
      </w:r>
      <w:r w:rsidR="00D84F8A">
        <w:t>which provides relevant context for interpreting "market price support"</w:t>
      </w:r>
      <w:r w:rsidR="00E87FE7">
        <w:t>.</w:t>
      </w:r>
      <w:r w:rsidR="00D84F8A">
        <w:rPr>
          <w:rStyle w:val="FootnoteReference"/>
        </w:rPr>
        <w:footnoteReference w:id="8"/>
      </w:r>
      <w:r w:rsidR="00E87FE7">
        <w:t xml:space="preserve">  India agrees that Article 6 is relevant.</w:t>
      </w:r>
      <w:r w:rsidR="00E87FE7">
        <w:rPr>
          <w:rStyle w:val="FootnoteReference"/>
        </w:rPr>
        <w:footnoteReference w:id="9"/>
      </w:r>
      <w:r w:rsidR="00E87FE7">
        <w:t xml:space="preserve">  </w:t>
      </w:r>
    </w:p>
    <w:p w14:paraId="3465C248" w14:textId="26925C13" w:rsidR="00F460F6" w:rsidRDefault="004C1016" w:rsidP="001C5F27">
      <w:pPr>
        <w:pStyle w:val="P1-N1Paragraph1-Number1"/>
      </w:pPr>
      <w:r>
        <w:t xml:space="preserve">To recall, </w:t>
      </w:r>
      <w:r w:rsidR="00A55C90">
        <w:t>Article 6.1 provides that each Member's domestic support reduction commitments "apply to all of its domestic support measures in favour of agricultural producers with the exception of [measures exempt under Article 6 or Annex 2]".</w:t>
      </w:r>
      <w:r w:rsidR="00213AA7">
        <w:rPr>
          <w:rStyle w:val="FootnoteReference"/>
        </w:rPr>
        <w:footnoteReference w:id="10"/>
      </w:r>
    </w:p>
    <w:p w14:paraId="708B5392" w14:textId="7ED30CFD" w:rsidR="004C1016" w:rsidRDefault="006538D4" w:rsidP="001C5F27">
      <w:pPr>
        <w:pStyle w:val="P1-N1Paragraph1-Number1"/>
      </w:pPr>
      <w:r>
        <w:t xml:space="preserve">India argues that "the phrase 'in favour of agricultural producers' </w:t>
      </w:r>
      <w:r w:rsidR="00AE5EA0">
        <w:t xml:space="preserve">[in Article 6.1] </w:t>
      </w:r>
      <w:r>
        <w:t>and the scope of paragraph 2 of Annex 3 are distinct."</w:t>
      </w:r>
      <w:r>
        <w:rPr>
          <w:rStyle w:val="FootnoteReference"/>
        </w:rPr>
        <w:footnoteReference w:id="11"/>
      </w:r>
      <w:r>
        <w:t xml:space="preserve">  According to India, "[t]he former identifies the </w:t>
      </w:r>
      <w:r w:rsidRPr="00213AA7">
        <w:rPr>
          <w:u w:val="single"/>
        </w:rPr>
        <w:t>recipient</w:t>
      </w:r>
      <w:r>
        <w:t xml:space="preserve"> of a domestic support and the latter sets out the </w:t>
      </w:r>
      <w:r w:rsidRPr="00C66ABE">
        <w:rPr>
          <w:u w:val="single"/>
        </w:rPr>
        <w:t>nature of governmental assistance</w:t>
      </w:r>
      <w:r>
        <w:t xml:space="preserve"> to such agricultur</w:t>
      </w:r>
      <w:r w:rsidR="003C37A5">
        <w:t>al</w:t>
      </w:r>
      <w:r>
        <w:t xml:space="preserve"> producers that the [Agreement on Agriculture] intends to discipline."</w:t>
      </w:r>
      <w:r>
        <w:rPr>
          <w:rStyle w:val="FootnoteReference"/>
        </w:rPr>
        <w:footnoteReference w:id="12"/>
      </w:r>
      <w:r w:rsidR="00AE5EA0">
        <w:t xml:space="preserve">  </w:t>
      </w:r>
      <w:r w:rsidR="00B214A4">
        <w:t>There is no reason, India</w:t>
      </w:r>
      <w:r w:rsidR="00335D24">
        <w:t xml:space="preserve"> asserts</w:t>
      </w:r>
      <w:r w:rsidR="00445D9D">
        <w:t>,</w:t>
      </w:r>
      <w:r w:rsidR="00335D24">
        <w:t xml:space="preserve"> </w:t>
      </w:r>
      <w:r w:rsidR="00B214A4">
        <w:t>why t</w:t>
      </w:r>
      <w:r w:rsidR="00571BB7">
        <w:t>he</w:t>
      </w:r>
      <w:r w:rsidR="00B214A4">
        <w:t xml:space="preserve"> phrase</w:t>
      </w:r>
      <w:r w:rsidR="00AB3BCB">
        <w:t xml:space="preserve"> in Article 6.1</w:t>
      </w:r>
      <w:r w:rsidR="00B214A4">
        <w:t xml:space="preserve"> "is the defining element and why it overrides the provisions of paragraph 2 of Annex 3</w:t>
      </w:r>
      <w:r w:rsidR="00AD1AA0">
        <w:t>…</w:t>
      </w:r>
      <w:r w:rsidR="00B214A4">
        <w:t>".</w:t>
      </w:r>
      <w:r w:rsidR="00AD1AA0">
        <w:rPr>
          <w:rStyle w:val="FootnoteReference"/>
        </w:rPr>
        <w:footnoteReference w:id="13"/>
      </w:r>
      <w:r w:rsidR="00922408">
        <w:t xml:space="preserve">  </w:t>
      </w:r>
    </w:p>
    <w:p w14:paraId="61820FA4" w14:textId="3F61C0F9" w:rsidR="00661BF3" w:rsidRDefault="00FC0979" w:rsidP="001C5F27">
      <w:pPr>
        <w:pStyle w:val="P1-N1Paragraph1-Number1"/>
      </w:pPr>
      <w:r>
        <w:lastRenderedPageBreak/>
        <w:t xml:space="preserve">Australia disagrees with </w:t>
      </w:r>
      <w:r w:rsidR="006A39DE">
        <w:t>India's</w:t>
      </w:r>
      <w:r>
        <w:t xml:space="preserve"> arguments regarding Article 6.1</w:t>
      </w:r>
      <w:r w:rsidR="00661BF3">
        <w:t xml:space="preserve"> for </w:t>
      </w:r>
      <w:r w:rsidR="00D84825">
        <w:t>the following</w:t>
      </w:r>
      <w:r w:rsidR="00661BF3">
        <w:t xml:space="preserve"> reasons</w:t>
      </w:r>
      <w:r>
        <w:t xml:space="preserve">.  </w:t>
      </w:r>
    </w:p>
    <w:p w14:paraId="0973676B" w14:textId="1C3FC8EF" w:rsidR="004C4F1A" w:rsidRDefault="007150AF" w:rsidP="00C66ABE">
      <w:pPr>
        <w:pStyle w:val="P1-N1Paragraph1-Number1"/>
      </w:pPr>
      <w:r>
        <w:t>First</w:t>
      </w:r>
      <w:r w:rsidR="00552FF0">
        <w:t xml:space="preserve">, </w:t>
      </w:r>
      <w:r w:rsidR="00782A77">
        <w:t xml:space="preserve">India seeks to draw the Panel's focus to the words "in favour of agricultural producers" – the "recipient" </w:t>
      </w:r>
      <w:r w:rsidR="00445D9D">
        <w:t xml:space="preserve">of the support </w:t>
      </w:r>
      <w:r w:rsidR="00782A77">
        <w:t xml:space="preserve">as India puts it – while ignoring the words that confirm the </w:t>
      </w:r>
      <w:r w:rsidR="00782A77" w:rsidRPr="00C66ABE">
        <w:t>reduction commitments "apply to all of [a Member's] domestic support measures</w:t>
      </w:r>
      <w:r w:rsidR="00BF74BD" w:rsidRPr="00C66ABE">
        <w:t>…</w:t>
      </w:r>
      <w:r w:rsidR="00782A77" w:rsidRPr="00C66ABE">
        <w:t>"</w:t>
      </w:r>
      <w:r w:rsidR="00BF74BD" w:rsidRPr="00C66ABE">
        <w:t>, excluding exempt measures</w:t>
      </w:r>
      <w:r w:rsidR="00782A77" w:rsidRPr="00C66ABE">
        <w:t xml:space="preserve">. </w:t>
      </w:r>
      <w:r w:rsidR="00884A82" w:rsidRPr="00C66ABE">
        <w:t xml:space="preserve"> As Australia has already </w:t>
      </w:r>
      <w:r w:rsidR="00941EAB">
        <w:t>outlined</w:t>
      </w:r>
      <w:r w:rsidR="00884A82" w:rsidRPr="00C66ABE">
        <w:t>,</w:t>
      </w:r>
      <w:r w:rsidR="004C4F1A">
        <w:t xml:space="preserve"> the Agreement on Agriculture expressly defines the domestic support that is exempt</w:t>
      </w:r>
      <w:r w:rsidR="00F610B5">
        <w:t xml:space="preserve">.  </w:t>
      </w:r>
      <w:r w:rsidR="00F610B5" w:rsidRPr="00F610B5">
        <w:rPr>
          <w:u w:val="single"/>
        </w:rPr>
        <w:t>A</w:t>
      </w:r>
      <w:r w:rsidR="004C4F1A" w:rsidRPr="00F610B5">
        <w:rPr>
          <w:u w:val="single"/>
        </w:rPr>
        <w:t>ll other support</w:t>
      </w:r>
      <w:r w:rsidR="004C4F1A">
        <w:t xml:space="preserve"> is subject to Members</w:t>
      </w:r>
      <w:r w:rsidR="00947847">
        <w:t>'</w:t>
      </w:r>
      <w:r w:rsidR="004C4F1A">
        <w:t xml:space="preserve"> reduction commitments.</w:t>
      </w:r>
      <w:r w:rsidR="00F610B5">
        <w:rPr>
          <w:rStyle w:val="FootnoteReference"/>
        </w:rPr>
        <w:footnoteReference w:id="14"/>
      </w:r>
      <w:r w:rsidR="004C4F1A">
        <w:t xml:space="preserve">  </w:t>
      </w:r>
      <w:r w:rsidR="00F610B5" w:rsidRPr="00F610B5">
        <w:t xml:space="preserve">India's narrow interpretation of "market price support" would undermine this fundamental feature of the </w:t>
      </w:r>
      <w:r w:rsidR="00F610B5">
        <w:t xml:space="preserve">domestic support </w:t>
      </w:r>
      <w:r w:rsidR="00F610B5" w:rsidRPr="00F610B5">
        <w:t>disciplines.</w:t>
      </w:r>
    </w:p>
    <w:p w14:paraId="2DD3DBB2" w14:textId="1372A66C" w:rsidR="006A39DE" w:rsidRDefault="007150AF" w:rsidP="001C5F27">
      <w:pPr>
        <w:pStyle w:val="P1-N1Paragraph1-Number1"/>
      </w:pPr>
      <w:r>
        <w:t>Second</w:t>
      </w:r>
      <w:r w:rsidR="008635DD">
        <w:t>, contrary to India's claims, Australia does not argue that Article 6 "overrides" paragraph 2 of Annex 3.  We argue that Article 6 and Annex 3 – indeed</w:t>
      </w:r>
      <w:r w:rsidR="00F009EE">
        <w:t>,</w:t>
      </w:r>
      <w:r w:rsidR="008635DD">
        <w:t xml:space="preserve"> all </w:t>
      </w:r>
      <w:r w:rsidR="00535440">
        <w:t xml:space="preserve">of </w:t>
      </w:r>
      <w:r w:rsidR="008635DD">
        <w:t>the provisions regarding domestic support – may</w:t>
      </w:r>
      <w:r w:rsidR="00D84825">
        <w:t>,</w:t>
      </w:r>
      <w:r w:rsidR="008635DD">
        <w:t xml:space="preserve"> and should</w:t>
      </w:r>
      <w:r w:rsidR="00D84825">
        <w:t>,</w:t>
      </w:r>
      <w:r w:rsidR="008635DD">
        <w:t xml:space="preserve"> be read harmoniously.</w:t>
      </w:r>
    </w:p>
    <w:p w14:paraId="6E9F9D49" w14:textId="3E7CEE65" w:rsidR="00941EAB" w:rsidRDefault="00535440" w:rsidP="00F52A46">
      <w:pPr>
        <w:pStyle w:val="P1-N1Paragraph1-Number1"/>
      </w:pPr>
      <w:r w:rsidRPr="00941EAB">
        <w:t xml:space="preserve">Finally, the principal flaw </w:t>
      </w:r>
      <w:r w:rsidR="00D84825">
        <w:t>in</w:t>
      </w:r>
      <w:r w:rsidR="00D84825" w:rsidRPr="00941EAB">
        <w:t xml:space="preserve"> </w:t>
      </w:r>
      <w:r w:rsidRPr="00941EAB">
        <w:t xml:space="preserve">India's arguments with respect to Article 6.1 is that they are premised on India's </w:t>
      </w:r>
      <w:r w:rsidRPr="007150AF">
        <w:rPr>
          <w:u w:val="single"/>
        </w:rPr>
        <w:t>mis</w:t>
      </w:r>
      <w:r w:rsidRPr="00941EAB">
        <w:t>interpretation of paragraphs 1 and 2 of Annex 3.</w:t>
      </w:r>
      <w:r w:rsidR="00941EAB" w:rsidRPr="00941EAB">
        <w:t xml:space="preserve">  </w:t>
      </w:r>
    </w:p>
    <w:p w14:paraId="200FD584" w14:textId="2A49DC92" w:rsidR="00F52A46" w:rsidRPr="00941EAB" w:rsidRDefault="00941EAB" w:rsidP="00F52A46">
      <w:pPr>
        <w:pStyle w:val="P1-N1Paragraph1-Number1"/>
      </w:pPr>
      <w:r w:rsidRPr="00941EAB">
        <w:t xml:space="preserve">Paragraph 1 does </w:t>
      </w:r>
      <w:r w:rsidRPr="00941EAB">
        <w:rPr>
          <w:u w:val="single"/>
        </w:rPr>
        <w:t>not</w:t>
      </w:r>
      <w:r w:rsidRPr="00941EAB">
        <w:t xml:space="preserve"> limit market price support to subsidies.  And paragraph 2 does </w:t>
      </w:r>
      <w:r w:rsidRPr="00941EAB">
        <w:rPr>
          <w:u w:val="single"/>
        </w:rPr>
        <w:t>not</w:t>
      </w:r>
      <w:r w:rsidRPr="00941EAB">
        <w:t xml:space="preserve"> "delineate the scope of [those] subsidies".</w:t>
      </w:r>
      <w:r w:rsidRPr="00941EAB">
        <w:rPr>
          <w:rStyle w:val="FootnoteReference"/>
        </w:rPr>
        <w:footnoteReference w:id="15"/>
      </w:r>
    </w:p>
    <w:p w14:paraId="2B45FA32" w14:textId="15770FBA" w:rsidR="00BD4A3F" w:rsidRDefault="00535440" w:rsidP="00535440">
      <w:pPr>
        <w:pStyle w:val="P1-N1Paragraph1-Number1"/>
      </w:pPr>
      <w:r w:rsidRPr="008C4CE1">
        <w:t>India contends that the complainants have not addressed the ordinary meaning of paragraphs 1 and 2.</w:t>
      </w:r>
      <w:r w:rsidRPr="008C4CE1">
        <w:rPr>
          <w:vertAlign w:val="superscript"/>
        </w:rPr>
        <w:footnoteReference w:id="16"/>
      </w:r>
      <w:r>
        <w:t xml:space="preserve">  </w:t>
      </w:r>
      <w:r w:rsidR="002726D8">
        <w:t xml:space="preserve">Australia disagrees.  </w:t>
      </w:r>
      <w:r>
        <w:t xml:space="preserve">On the contrary, </w:t>
      </w:r>
      <w:r w:rsidR="00BD4A3F">
        <w:t xml:space="preserve">it is India that </w:t>
      </w:r>
      <w:r w:rsidR="00245041">
        <w:t>tries</w:t>
      </w:r>
      <w:r w:rsidR="00BD4A3F">
        <w:t xml:space="preserve"> to </w:t>
      </w:r>
      <w:r w:rsidR="002726D8">
        <w:t>interpret</w:t>
      </w:r>
      <w:r w:rsidR="000027BA">
        <w:t xml:space="preserve"> those paragraph</w:t>
      </w:r>
      <w:r w:rsidR="003C37A5">
        <w:t>s</w:t>
      </w:r>
      <w:r w:rsidR="000027BA">
        <w:t xml:space="preserve"> </w:t>
      </w:r>
      <w:r w:rsidR="00816DFD">
        <w:t>in</w:t>
      </w:r>
      <w:r w:rsidR="00D84825">
        <w:t xml:space="preserve"> a</w:t>
      </w:r>
      <w:r w:rsidR="00816DFD">
        <w:t xml:space="preserve"> </w:t>
      </w:r>
      <w:r w:rsidR="002726D8">
        <w:t xml:space="preserve">way </w:t>
      </w:r>
      <w:r w:rsidR="00245041">
        <w:t>that</w:t>
      </w:r>
      <w:r w:rsidR="002726D8">
        <w:t xml:space="preserve"> is not supported by the text, in </w:t>
      </w:r>
      <w:r w:rsidR="00816DFD">
        <w:t xml:space="preserve">an attempt to </w:t>
      </w:r>
      <w:r w:rsidR="00423723">
        <w:t>prop up</w:t>
      </w:r>
      <w:r w:rsidR="00816DFD">
        <w:t xml:space="preserve"> its tenuous </w:t>
      </w:r>
      <w:r w:rsidR="00BD4A3F" w:rsidRPr="00BD4A3F">
        <w:t xml:space="preserve">arguments in this dispute.  </w:t>
      </w:r>
      <w:r w:rsidR="00BD4A3F">
        <w:t xml:space="preserve">Moreover, </w:t>
      </w:r>
      <w:r w:rsidR="00205B04">
        <w:t>Australia has explained in great</w:t>
      </w:r>
      <w:r w:rsidR="00335D24">
        <w:t xml:space="preserve"> </w:t>
      </w:r>
      <w:r w:rsidR="00205B04">
        <w:t>detail how paragraphs</w:t>
      </w:r>
      <w:r w:rsidR="000027BA">
        <w:t xml:space="preserve"> 1 and 2</w:t>
      </w:r>
      <w:r w:rsidR="00205B04">
        <w:t xml:space="preserve"> </w:t>
      </w:r>
      <w:r w:rsidR="00205B04" w:rsidRPr="00445D9D">
        <w:rPr>
          <w:u w:val="single"/>
        </w:rPr>
        <w:t>should</w:t>
      </w:r>
      <w:r w:rsidR="00205B04">
        <w:t xml:space="preserve"> be interpreted.</w:t>
      </w:r>
      <w:r w:rsidR="00205B04">
        <w:rPr>
          <w:rStyle w:val="FootnoteReference"/>
        </w:rPr>
        <w:footnoteReference w:id="17"/>
      </w:r>
      <w:r w:rsidR="00205B04">
        <w:t xml:space="preserve">  </w:t>
      </w:r>
    </w:p>
    <w:p w14:paraId="0491FF17" w14:textId="66B85822" w:rsidR="007D5BBD" w:rsidRDefault="007D5BBD" w:rsidP="007D5BBD">
      <w:pPr>
        <w:pStyle w:val="HL2HeadingLevel2"/>
      </w:pPr>
      <w:bookmarkStart w:id="9" w:name="_Toc67475494"/>
      <w:r>
        <w:t>Paragraph 1 of Annex 3</w:t>
      </w:r>
      <w:bookmarkEnd w:id="9"/>
    </w:p>
    <w:p w14:paraId="10288F0E" w14:textId="64442C61" w:rsidR="00BA1B35" w:rsidRDefault="00E03FD5" w:rsidP="00F20425">
      <w:pPr>
        <w:pStyle w:val="P1-N1Paragraph1-Number1"/>
      </w:pPr>
      <w:r>
        <w:t xml:space="preserve">Turning first to paragraph 1 of Annex 3, </w:t>
      </w:r>
      <w:r w:rsidR="00BA1B35">
        <w:t xml:space="preserve">India continues to argue that the phrase "or any other subsidy" </w:t>
      </w:r>
      <w:r w:rsidR="007F738B">
        <w:t xml:space="preserve">affects </w:t>
      </w:r>
      <w:r w:rsidR="005834FA">
        <w:t xml:space="preserve">the </w:t>
      </w:r>
      <w:r w:rsidR="00E64110">
        <w:t xml:space="preserve">terms which precede it, </w:t>
      </w:r>
      <w:r w:rsidR="005834FA">
        <w:t>such</w:t>
      </w:r>
      <w:r w:rsidR="00BA1B35">
        <w:t xml:space="preserve"> that "market price support" is a subsidy.</w:t>
      </w:r>
      <w:r w:rsidR="00BA1B35">
        <w:rPr>
          <w:rStyle w:val="FootnoteReference"/>
        </w:rPr>
        <w:footnoteReference w:id="18"/>
      </w:r>
      <w:r w:rsidR="00410BF0">
        <w:t xml:space="preserve">  Australia disagree</w:t>
      </w:r>
      <w:r w:rsidR="005834FA">
        <w:t>s with this interpretation</w:t>
      </w:r>
      <w:r w:rsidR="00410BF0">
        <w:t xml:space="preserve">. </w:t>
      </w:r>
    </w:p>
    <w:p w14:paraId="3139AD26" w14:textId="5429D11B" w:rsidR="00034CDA" w:rsidRDefault="00F20425" w:rsidP="00034CDA">
      <w:pPr>
        <w:pStyle w:val="P1-N1Paragraph1-Number1"/>
      </w:pPr>
      <w:r>
        <w:lastRenderedPageBreak/>
        <w:t>The phrase "any other</w:t>
      </w:r>
      <w:r w:rsidR="00816339">
        <w:t xml:space="preserve"> subsidy</w:t>
      </w:r>
      <w:r>
        <w:t xml:space="preserve">" </w:t>
      </w:r>
      <w:r w:rsidRPr="00816339">
        <w:rPr>
          <w:u w:val="single"/>
        </w:rPr>
        <w:t>does not have</w:t>
      </w:r>
      <w:r>
        <w:t xml:space="preserve"> the limiting effect</w:t>
      </w:r>
      <w:r w:rsidR="00EA68A6">
        <w:t xml:space="preserve"> that</w:t>
      </w:r>
      <w:r>
        <w:t xml:space="preserve"> India </w:t>
      </w:r>
      <w:r w:rsidR="00A0616D">
        <w:t>attributes</w:t>
      </w:r>
      <w:r>
        <w:t xml:space="preserve"> to it.  </w:t>
      </w:r>
      <w:r w:rsidR="00816339">
        <w:t>In Australia's view, th</w:t>
      </w:r>
      <w:r w:rsidR="00475A45">
        <w:t>e</w:t>
      </w:r>
      <w:r w:rsidR="00816339">
        <w:t xml:space="preserve"> phrase reflects </w:t>
      </w:r>
      <w:r w:rsidR="0077461A">
        <w:t xml:space="preserve">an intent to ensure </w:t>
      </w:r>
      <w:r w:rsidR="0077461A" w:rsidRPr="00475A45">
        <w:rPr>
          <w:u w:val="single"/>
        </w:rPr>
        <w:t>all</w:t>
      </w:r>
      <w:r w:rsidR="0077461A">
        <w:t xml:space="preserve"> non-exempt product-specific domestic support is included in the A</w:t>
      </w:r>
      <w:r w:rsidR="00980F78">
        <w:t xml:space="preserve">ggregate </w:t>
      </w:r>
      <w:r w:rsidR="0077461A">
        <w:t>M</w:t>
      </w:r>
      <w:r w:rsidR="00980F78">
        <w:t xml:space="preserve">easurement of </w:t>
      </w:r>
      <w:r w:rsidR="0077461A">
        <w:t>S</w:t>
      </w:r>
      <w:r w:rsidR="00980F78">
        <w:t>upport</w:t>
      </w:r>
      <w:r w:rsidR="006702D7">
        <w:t>.</w:t>
      </w:r>
      <w:r w:rsidR="006702D7">
        <w:rPr>
          <w:rStyle w:val="FootnoteReference"/>
        </w:rPr>
        <w:footnoteReference w:id="19"/>
      </w:r>
      <w:r w:rsidR="006702D7">
        <w:t xml:space="preserve">  </w:t>
      </w:r>
      <w:r w:rsidR="00EA68A6">
        <w:t>This</w:t>
      </w:r>
      <w:r w:rsidR="006702D7">
        <w:t xml:space="preserve"> is consistent with </w:t>
      </w:r>
      <w:r w:rsidR="00475A45">
        <w:t xml:space="preserve">the </w:t>
      </w:r>
      <w:r w:rsidR="006702D7">
        <w:t>structure of the domestic support disciplines</w:t>
      </w:r>
      <w:r w:rsidR="00D2195F">
        <w:t xml:space="preserve">, under which only exempt support is defined and </w:t>
      </w:r>
      <w:r w:rsidR="00D2195F" w:rsidRPr="00B82F01">
        <w:rPr>
          <w:u w:val="single"/>
        </w:rPr>
        <w:t>a</w:t>
      </w:r>
      <w:r w:rsidR="00163120">
        <w:rPr>
          <w:u w:val="single"/>
        </w:rPr>
        <w:t>ny</w:t>
      </w:r>
      <w:r w:rsidR="00D2195F" w:rsidRPr="00B82F01">
        <w:rPr>
          <w:u w:val="single"/>
        </w:rPr>
        <w:t xml:space="preserve"> other support</w:t>
      </w:r>
      <w:r w:rsidR="00D2195F">
        <w:t xml:space="preserve"> is </w:t>
      </w:r>
      <w:r w:rsidR="00B82F01">
        <w:t>disciplined.</w:t>
      </w:r>
      <w:r w:rsidR="005834FA">
        <w:t xml:space="preserve">   There is no basis in the text of paragraph</w:t>
      </w:r>
      <w:r w:rsidR="00034CDA">
        <w:t xml:space="preserve"> </w:t>
      </w:r>
      <w:r w:rsidR="005834FA">
        <w:t xml:space="preserve">1 of Annex 3 to </w:t>
      </w:r>
      <w:r w:rsidR="00034CDA">
        <w:t>confine the product-specific domestic support measures to subsidies</w:t>
      </w:r>
      <w:r w:rsidR="00EA68A6">
        <w:t>,</w:t>
      </w:r>
      <w:r w:rsidR="00034CDA">
        <w:t xml:space="preserve"> as India argues.</w:t>
      </w:r>
    </w:p>
    <w:p w14:paraId="554BBD44" w14:textId="55860092" w:rsidR="00A15547" w:rsidRDefault="00CD0D8B" w:rsidP="00CD0D8B">
      <w:pPr>
        <w:pStyle w:val="P1-N1Paragraph1-Number1"/>
      </w:pPr>
      <w:r w:rsidRPr="007C6EA2">
        <w:t xml:space="preserve">Further, </w:t>
      </w:r>
      <w:r w:rsidR="00163120" w:rsidRPr="007C6EA2">
        <w:t>under India's</w:t>
      </w:r>
      <w:r w:rsidR="00163120">
        <w:t xml:space="preserve"> interpretation of paragraph 1, "domestic support" means only "subsidies". </w:t>
      </w:r>
      <w:r w:rsidR="00571BB7">
        <w:t xml:space="preserve"> Now</w:t>
      </w:r>
      <w:r w:rsidR="00E027C9">
        <w:t>,</w:t>
      </w:r>
      <w:r w:rsidR="00163120">
        <w:t xml:space="preserve"> </w:t>
      </w:r>
      <w:r w:rsidR="00571BB7">
        <w:t>i</w:t>
      </w:r>
      <w:r w:rsidR="00163120">
        <w:t xml:space="preserve">f that were correct, </w:t>
      </w:r>
      <w:r>
        <w:t>why</w:t>
      </w:r>
      <w:r w:rsidR="00B04A97">
        <w:t xml:space="preserve"> then</w:t>
      </w:r>
      <w:r>
        <w:t xml:space="preserve"> would the drafters of the Agreement on Agriculture have</w:t>
      </w:r>
      <w:r w:rsidR="00A15547">
        <w:t xml:space="preserve"> use</w:t>
      </w:r>
      <w:r w:rsidR="00163120">
        <w:t>d</w:t>
      </w:r>
      <w:r w:rsidR="00A15547">
        <w:t xml:space="preserve"> the </w:t>
      </w:r>
      <w:r w:rsidR="00163120">
        <w:t>term</w:t>
      </w:r>
      <w:r w:rsidR="00A15547">
        <w:t xml:space="preserve"> "domestic support" when they could </w:t>
      </w:r>
      <w:r w:rsidR="007C6EA2">
        <w:t xml:space="preserve">simply </w:t>
      </w:r>
      <w:r w:rsidR="00A15547">
        <w:t>have referred to "subsidies"?</w:t>
      </w:r>
      <w:r w:rsidR="00D82394">
        <w:rPr>
          <w:rStyle w:val="FootnoteReference"/>
        </w:rPr>
        <w:footnoteReference w:id="20"/>
      </w:r>
      <w:r w:rsidR="00A15547">
        <w:t xml:space="preserve"> </w:t>
      </w:r>
      <w:r w:rsidR="00163120">
        <w:t xml:space="preserve"> India offers no answer to this question. </w:t>
      </w:r>
    </w:p>
    <w:p w14:paraId="55A8C3A7" w14:textId="6460BFF5" w:rsidR="00A15547" w:rsidRDefault="00A15547" w:rsidP="00A15547">
      <w:pPr>
        <w:pStyle w:val="P1-N1Paragraph1-Number1"/>
      </w:pPr>
      <w:r>
        <w:t xml:space="preserve">As Guatemala </w:t>
      </w:r>
      <w:r w:rsidR="00163120">
        <w:t xml:space="preserve">has </w:t>
      </w:r>
      <w:r>
        <w:t>observed, the Agreement on Agriculture "applies to domestic support 'measures', not only to 'subsidies'."</w:t>
      </w:r>
      <w:r>
        <w:rPr>
          <w:rStyle w:val="FootnoteReference"/>
        </w:rPr>
        <w:footnoteReference w:id="21"/>
      </w:r>
      <w:r w:rsidR="00552092">
        <w:t xml:space="preserve"> </w:t>
      </w:r>
      <w:r>
        <w:t xml:space="preserve"> </w:t>
      </w:r>
      <w:r w:rsidR="00335D24">
        <w:t>T</w:t>
      </w:r>
      <w:r>
        <w:t xml:space="preserve">he </w:t>
      </w:r>
      <w:r w:rsidR="00245041">
        <w:t xml:space="preserve">many </w:t>
      </w:r>
      <w:r>
        <w:t>references to such measures in</w:t>
      </w:r>
      <w:r w:rsidR="00245041">
        <w:t xml:space="preserve"> the Agreement</w:t>
      </w:r>
      <w:r w:rsidR="00335D24">
        <w:t xml:space="preserve"> reinforce this</w:t>
      </w:r>
      <w:r>
        <w:t>.</w:t>
      </w:r>
      <w:r>
        <w:rPr>
          <w:rStyle w:val="FootnoteReference"/>
        </w:rPr>
        <w:footnoteReference w:id="22"/>
      </w:r>
      <w:r>
        <w:t xml:space="preserve">  Australia agrees with Guatemala that India's interpretation would render the term "domestic support" </w:t>
      </w:r>
      <w:r w:rsidR="00163120">
        <w:t xml:space="preserve">throughout the Agreement on Agriculture </w:t>
      </w:r>
      <w:r>
        <w:t>redundant or inutile</w:t>
      </w:r>
      <w:r w:rsidR="00EA68A6">
        <w:t>,</w:t>
      </w:r>
      <w:r>
        <w:t xml:space="preserve"> contrary to the accepted rules of treaty interpretation.</w:t>
      </w:r>
      <w:r>
        <w:rPr>
          <w:rStyle w:val="FootnoteReference"/>
        </w:rPr>
        <w:footnoteReference w:id="23"/>
      </w:r>
    </w:p>
    <w:p w14:paraId="070F73B3" w14:textId="770874D1" w:rsidR="007D5BBD" w:rsidRDefault="007D5BBD" w:rsidP="007D5BBD">
      <w:pPr>
        <w:pStyle w:val="HL2HeadingLevel2"/>
      </w:pPr>
      <w:bookmarkStart w:id="10" w:name="_Toc67475495"/>
      <w:r>
        <w:t>Paragraph 2 of Annex 3</w:t>
      </w:r>
      <w:bookmarkEnd w:id="10"/>
    </w:p>
    <w:p w14:paraId="15520DD0" w14:textId="3EDA0B22" w:rsidR="00332036" w:rsidRDefault="00163120" w:rsidP="001C5F27">
      <w:pPr>
        <w:pStyle w:val="P1-N1Paragraph1-Number1"/>
      </w:pPr>
      <w:r>
        <w:t xml:space="preserve">India's interpretation of paragraph 2 of Annex 3 is similarly flawed.  </w:t>
      </w:r>
      <w:r w:rsidR="00F20425">
        <w:t>E</w:t>
      </w:r>
      <w:r w:rsidR="00116DF6">
        <w:t xml:space="preserve">ven if paragraph 1 did limit domestic support to subsidies (which it does not), </w:t>
      </w:r>
      <w:r w:rsidR="00332036">
        <w:t xml:space="preserve">paragraph 2 does </w:t>
      </w:r>
      <w:r w:rsidR="00332036" w:rsidRPr="00332036">
        <w:rPr>
          <w:u w:val="single"/>
        </w:rPr>
        <w:t>not</w:t>
      </w:r>
      <w:r w:rsidR="00332036">
        <w:t xml:space="preserve"> </w:t>
      </w:r>
      <w:r w:rsidR="00121186">
        <w:t xml:space="preserve">delineate the scope of </w:t>
      </w:r>
      <w:r w:rsidR="00332036">
        <w:t>subsidies</w:t>
      </w:r>
      <w:r>
        <w:t xml:space="preserve"> as India argues</w:t>
      </w:r>
      <w:r w:rsidR="00332036">
        <w:t xml:space="preserve">.  </w:t>
      </w:r>
      <w:r>
        <w:t>According to India, based on the words "shall include both", paragraph 2 provides an exhaustive definition of "subsidies".</w:t>
      </w:r>
      <w:r w:rsidR="007E090D">
        <w:rPr>
          <w:rStyle w:val="FootnoteReference"/>
        </w:rPr>
        <w:footnoteReference w:id="24"/>
      </w:r>
      <w:r>
        <w:t xml:space="preserve">  </w:t>
      </w:r>
    </w:p>
    <w:p w14:paraId="2E449BCC" w14:textId="4A3CD7D7" w:rsidR="00F52A46" w:rsidRDefault="00A871E3" w:rsidP="00F52A46">
      <w:pPr>
        <w:pStyle w:val="P1-N1Paragraph1-Number1"/>
      </w:pPr>
      <w:r>
        <w:t xml:space="preserve">As Australia explained in its </w:t>
      </w:r>
      <w:r w:rsidR="00F52A46">
        <w:t>second written submission</w:t>
      </w:r>
      <w:r>
        <w:t>,</w:t>
      </w:r>
      <w:r w:rsidR="00F52A46">
        <w:t xml:space="preserve"> "both" is not a word of limitation, nor </w:t>
      </w:r>
      <w:r w:rsidR="00A407CA">
        <w:t xml:space="preserve">does </w:t>
      </w:r>
      <w:r w:rsidR="00F52A46">
        <w:t xml:space="preserve">Australia's interpretation </w:t>
      </w:r>
      <w:r>
        <w:t xml:space="preserve">of </w:t>
      </w:r>
      <w:r w:rsidRPr="00A871E3">
        <w:t>paragraph</w:t>
      </w:r>
      <w:r>
        <w:t xml:space="preserve"> 2 </w:t>
      </w:r>
      <w:r w:rsidR="00F52A46" w:rsidRPr="00A871E3">
        <w:t>render</w:t>
      </w:r>
      <w:r w:rsidR="00F52A46">
        <w:t xml:space="preserve"> </w:t>
      </w:r>
      <w:r>
        <w:t>th</w:t>
      </w:r>
      <w:r w:rsidR="00571BB7">
        <w:t>e</w:t>
      </w:r>
      <w:r>
        <w:t xml:space="preserve"> word</w:t>
      </w:r>
      <w:r w:rsidR="00F52A46">
        <w:t xml:space="preserve"> "redundant" as India argues.</w:t>
      </w:r>
      <w:r w:rsidR="00F52A46">
        <w:rPr>
          <w:rStyle w:val="FootnoteReference"/>
        </w:rPr>
        <w:footnoteReference w:id="25"/>
      </w:r>
      <w:r w:rsidR="00F52A46">
        <w:t xml:space="preserve"> </w:t>
      </w:r>
    </w:p>
    <w:p w14:paraId="7CD43DF0" w14:textId="4D98BE95" w:rsidR="00FA4352" w:rsidRDefault="00FA4352" w:rsidP="00F52A46">
      <w:pPr>
        <w:pStyle w:val="P1-N1Paragraph1-Number1"/>
      </w:pPr>
      <w:r>
        <w:lastRenderedPageBreak/>
        <w:t xml:space="preserve">In its second written submission, India </w:t>
      </w:r>
      <w:r w:rsidR="00331C5B">
        <w:t>contends</w:t>
      </w:r>
      <w:r>
        <w:t xml:space="preserve"> that "[s]ince the term 'both' has been used, it must be given a legal effect."</w:t>
      </w:r>
      <w:r>
        <w:rPr>
          <w:rStyle w:val="FootnoteReference"/>
        </w:rPr>
        <w:footnoteReference w:id="26"/>
      </w:r>
      <w:r>
        <w:t xml:space="preserve">  It </w:t>
      </w:r>
      <w:r w:rsidRPr="00C64170">
        <w:rPr>
          <w:u w:val="single"/>
        </w:rPr>
        <w:t>does</w:t>
      </w:r>
      <w:r>
        <w:t xml:space="preserve"> have an effect – it emphasizes that, in addition to </w:t>
      </w:r>
      <w:r w:rsidR="00E027C9">
        <w:t xml:space="preserve">the </w:t>
      </w:r>
      <w:r>
        <w:t xml:space="preserve">other types of subsidies that fall within paragraph 1, </w:t>
      </w:r>
      <w:r w:rsidRPr="00387A39">
        <w:rPr>
          <w:u w:val="single"/>
        </w:rPr>
        <w:t>both</w:t>
      </w:r>
      <w:r>
        <w:t xml:space="preserve"> budgetary outlays and revenue foregone are </w:t>
      </w:r>
      <w:r w:rsidRPr="00387A39">
        <w:rPr>
          <w:u w:val="single"/>
        </w:rPr>
        <w:t>also</w:t>
      </w:r>
      <w:r>
        <w:t xml:space="preserve"> included. </w:t>
      </w:r>
    </w:p>
    <w:p w14:paraId="1919BEEC" w14:textId="41246107" w:rsidR="00F52A46" w:rsidRDefault="00F52A46" w:rsidP="00F52A46">
      <w:pPr>
        <w:pStyle w:val="P1-N1Paragraph1-Number1"/>
      </w:pPr>
      <w:r>
        <w:t xml:space="preserve">India </w:t>
      </w:r>
      <w:r w:rsidR="00331C5B">
        <w:t>seeks</w:t>
      </w:r>
      <w:r>
        <w:t xml:space="preserve"> to further elaborate </w:t>
      </w:r>
      <w:r w:rsidR="00FA4352">
        <w:t>its</w:t>
      </w:r>
      <w:r>
        <w:t xml:space="preserve"> argument</w:t>
      </w:r>
      <w:r w:rsidR="00FA4352">
        <w:t xml:space="preserve"> by claiming that</w:t>
      </w:r>
      <w:r>
        <w:t xml:space="preserve"> "[t]he term 'both['] immediately following the 'term' include is used where a drafter aims to capture the whole universe of items that can be included."</w:t>
      </w:r>
      <w:r>
        <w:rPr>
          <w:rStyle w:val="FootnoteReference"/>
        </w:rPr>
        <w:footnoteReference w:id="27"/>
      </w:r>
      <w:r>
        <w:t xml:space="preserve">  India then proceeds to provide two wholly irrelevant examples that have no relationship to the correct interpretation of paragraph 2 of Annex 3 of the Agreement on Agriculture.</w:t>
      </w:r>
      <w:r w:rsidR="007E090D">
        <w:rPr>
          <w:rStyle w:val="FootnoteReference"/>
        </w:rPr>
        <w:footnoteReference w:id="28"/>
      </w:r>
      <w:r>
        <w:t xml:space="preserve"> </w:t>
      </w:r>
      <w:r w:rsidR="009D37ED">
        <w:t xml:space="preserve"> In those hypothetical examples, there are only two possible choices: singular or plural, and elected and nominated members.  </w:t>
      </w:r>
    </w:p>
    <w:p w14:paraId="60A17E09" w14:textId="29DEE8A4" w:rsidR="00F52A46" w:rsidRDefault="00B60E2E" w:rsidP="00F52A46">
      <w:pPr>
        <w:pStyle w:val="P1-N1Paragraph1-Number1"/>
      </w:pPr>
      <w:bookmarkStart w:id="11" w:name="_Hlk67218337"/>
      <w:r>
        <w:t>Finally, i</w:t>
      </w:r>
      <w:r w:rsidR="00F52A46">
        <w:t xml:space="preserve">n its second written submission, India has advanced a new argument that subsidies under paragraph 2 </w:t>
      </w:r>
      <w:r w:rsidR="00FD0090">
        <w:t>"can only be in the nature of governmental expenditure"</w:t>
      </w:r>
      <w:r w:rsidR="00FD0090">
        <w:rPr>
          <w:rStyle w:val="FootnoteReference"/>
        </w:rPr>
        <w:footnoteReference w:id="29"/>
      </w:r>
      <w:r w:rsidR="00FD0090">
        <w:t xml:space="preserve"> and </w:t>
      </w:r>
      <w:r w:rsidR="00335D24">
        <w:t xml:space="preserve">that </w:t>
      </w:r>
      <w:r w:rsidR="00FD0090">
        <w:t>only governments or their agents</w:t>
      </w:r>
      <w:r w:rsidR="00335D24">
        <w:t xml:space="preserve"> can provide them</w:t>
      </w:r>
      <w:r w:rsidR="00FD0090">
        <w:t>.</w:t>
      </w:r>
      <w:r w:rsidR="00FD0090">
        <w:rPr>
          <w:rStyle w:val="FootnoteReference"/>
        </w:rPr>
        <w:footnoteReference w:id="30"/>
      </w:r>
      <w:r w:rsidR="00FD0090">
        <w:t xml:space="preserve"> </w:t>
      </w:r>
    </w:p>
    <w:bookmarkEnd w:id="11"/>
    <w:p w14:paraId="2E6D13EF" w14:textId="32A9FBA7" w:rsidR="00F52A46" w:rsidRDefault="00B60E2E" w:rsidP="00F52A46">
      <w:pPr>
        <w:pStyle w:val="P1-N1Paragraph1-Number1"/>
      </w:pPr>
      <w:r>
        <w:t xml:space="preserve">India's argument is beside the point.  The application and scope of paragraph 2 is irrelevant because market price support under the Agreement on Agriculture is </w:t>
      </w:r>
      <w:r w:rsidRPr="00621F69">
        <w:rPr>
          <w:u w:val="single"/>
        </w:rPr>
        <w:t>not</w:t>
      </w:r>
      <w:r>
        <w:t xml:space="preserve"> limited to subsidies.  </w:t>
      </w:r>
      <w:r w:rsidR="00F52A46">
        <w:t xml:space="preserve">Accordingly, in order to resolve these disputes, the Panel need not determine what other kinds of measures may fall within paragraph 2.  </w:t>
      </w:r>
    </w:p>
    <w:p w14:paraId="2ABB13E4" w14:textId="4824D73E" w:rsidR="008C4CE1" w:rsidRDefault="008C4CE1" w:rsidP="008C4CE1">
      <w:pPr>
        <w:pStyle w:val="HL2HeadingLevel2"/>
      </w:pPr>
      <w:bookmarkStart w:id="12" w:name="_Toc67228982"/>
      <w:bookmarkStart w:id="13" w:name="_Toc67475496"/>
      <w:bookmarkEnd w:id="12"/>
      <w:r>
        <w:t>Paragraph 8 of Annex 3</w:t>
      </w:r>
      <w:bookmarkEnd w:id="13"/>
    </w:p>
    <w:p w14:paraId="18192035" w14:textId="1CE8E319" w:rsidR="00F52A46" w:rsidRDefault="00855308" w:rsidP="00F52A46">
      <w:pPr>
        <w:pStyle w:val="P1-N1Paragraph1-Number1"/>
      </w:pPr>
      <w:r>
        <w:t xml:space="preserve">As I have explained, India's </w:t>
      </w:r>
      <w:r w:rsidR="0065488F">
        <w:t>approach to defining</w:t>
      </w:r>
      <w:r>
        <w:t xml:space="preserve"> "market price support" rests on </w:t>
      </w:r>
      <w:r w:rsidR="0065488F">
        <w:t>a</w:t>
      </w:r>
      <w:r>
        <w:t xml:space="preserve"> </w:t>
      </w:r>
      <w:r w:rsidR="0065488F">
        <w:t xml:space="preserve">flawed interpretation of the text </w:t>
      </w:r>
      <w:r>
        <w:t>of paragraphs 1 and 2 of Annex 3</w:t>
      </w:r>
      <w:r w:rsidR="00875D97">
        <w:t>,</w:t>
      </w:r>
      <w:r w:rsidR="0065488F">
        <w:t xml:space="preserve"> read in context with Article</w:t>
      </w:r>
      <w:r w:rsidR="00ED016D">
        <w:t> </w:t>
      </w:r>
      <w:r w:rsidR="0065488F">
        <w:t>6.1</w:t>
      </w:r>
      <w:r>
        <w:t xml:space="preserve">.  </w:t>
      </w:r>
      <w:r w:rsidR="00A407CA">
        <w:t xml:space="preserve">As a result of </w:t>
      </w:r>
      <w:r w:rsidR="00F52A46">
        <w:t xml:space="preserve">India's </w:t>
      </w:r>
      <w:r w:rsidR="00621F69">
        <w:t>undue</w:t>
      </w:r>
      <w:r w:rsidR="00F52A46">
        <w:t xml:space="preserve"> focus on paragraphs 1 and 2</w:t>
      </w:r>
      <w:r w:rsidR="00A407CA">
        <w:t>,</w:t>
      </w:r>
      <w:r w:rsidR="00F52A46">
        <w:t xml:space="preserve"> it ignor</w:t>
      </w:r>
      <w:r w:rsidR="00A407CA">
        <w:t>es</w:t>
      </w:r>
      <w:r w:rsidR="00F52A46">
        <w:t xml:space="preserve"> the ordinary meaning of the only other paragraph in Annex 3 that refers to "market price support": paragraph 8. </w:t>
      </w:r>
    </w:p>
    <w:p w14:paraId="4BD1F843" w14:textId="19D93574" w:rsidR="008C4CE1" w:rsidRDefault="00855308" w:rsidP="008C4CE1">
      <w:pPr>
        <w:pStyle w:val="P1-N1Paragraph1-Number1"/>
      </w:pPr>
      <w:r>
        <w:t>M</w:t>
      </w:r>
      <w:r w:rsidR="008C4CE1">
        <w:t>uch like its arguments regarding the alleged distinctiveness of Article 6.1 and paragraph 2 of Annex</w:t>
      </w:r>
      <w:r w:rsidR="00A407CA">
        <w:t xml:space="preserve"> 3</w:t>
      </w:r>
      <w:r w:rsidR="008C4CE1">
        <w:t xml:space="preserve">, India </w:t>
      </w:r>
      <w:r w:rsidR="00ED016D">
        <w:t>seeks to create an artificial</w:t>
      </w:r>
      <w:r w:rsidR="008C4CE1">
        <w:t xml:space="preserve"> distinction between paragraphs 1 and 2, and paragraph 8.  It seems that whe</w:t>
      </w:r>
      <w:r w:rsidR="00571BB7">
        <w:t>rever</w:t>
      </w:r>
      <w:r w:rsidR="008C4CE1">
        <w:t xml:space="preserve"> </w:t>
      </w:r>
      <w:r w:rsidR="00422179">
        <w:t xml:space="preserve">a </w:t>
      </w:r>
      <w:r w:rsidR="008C4CE1">
        <w:t xml:space="preserve">provision contradicts India's argument – </w:t>
      </w:r>
      <w:r w:rsidR="008C4CE1">
        <w:lastRenderedPageBreak/>
        <w:t xml:space="preserve">whether it be Article 6.1 or paragraph 8 – India </w:t>
      </w:r>
      <w:r w:rsidR="0065488F">
        <w:t xml:space="preserve">finds a </w:t>
      </w:r>
      <w:r w:rsidR="00422179">
        <w:t>way to claim that</w:t>
      </w:r>
      <w:r w:rsidR="00F9238C">
        <w:t xml:space="preserve"> the</w:t>
      </w:r>
      <w:r w:rsidR="00422179">
        <w:t xml:space="preserve"> provision is</w:t>
      </w:r>
      <w:r w:rsidR="0065488F">
        <w:t xml:space="preserve"> "distinct".</w:t>
      </w:r>
    </w:p>
    <w:p w14:paraId="09FE776D" w14:textId="1B7362D1" w:rsidR="009E061E" w:rsidRDefault="009E061E" w:rsidP="001C5F27">
      <w:pPr>
        <w:pStyle w:val="P1-N1Paragraph1-Number1"/>
      </w:pPr>
      <w:r>
        <w:t>India</w:t>
      </w:r>
      <w:r w:rsidR="00ED016D">
        <w:t xml:space="preserve"> contends that </w:t>
      </w:r>
      <w:r w:rsidR="00682A09">
        <w:t xml:space="preserve">paragraphs 1 and 2 of Annex 3 </w:t>
      </w:r>
      <w:r>
        <w:t>address "when a market price support can be said to exist within the meaning of Annex 3",</w:t>
      </w:r>
      <w:r>
        <w:rPr>
          <w:rStyle w:val="FootnoteReference"/>
        </w:rPr>
        <w:footnoteReference w:id="31"/>
      </w:r>
      <w:r>
        <w:t xml:space="preserve"> while </w:t>
      </w:r>
      <w:r w:rsidR="00682A09">
        <w:t xml:space="preserve">paragraph 8 of Annex 3 </w:t>
      </w:r>
      <w:r w:rsidR="00422179">
        <w:t>deal</w:t>
      </w:r>
      <w:r w:rsidR="00682A09">
        <w:t>s</w:t>
      </w:r>
      <w:r w:rsidR="00422179">
        <w:t xml:space="preserve"> only with</w:t>
      </w:r>
      <w:r>
        <w:t xml:space="preserve"> "how to calculate or measure a market price support".</w:t>
      </w:r>
      <w:r>
        <w:rPr>
          <w:rStyle w:val="FootnoteReference"/>
        </w:rPr>
        <w:footnoteReference w:id="32"/>
      </w:r>
    </w:p>
    <w:p w14:paraId="51903446" w14:textId="64995105" w:rsidR="001B3489" w:rsidRDefault="001B3489" w:rsidP="00AA7E49">
      <w:pPr>
        <w:pStyle w:val="P1-N1Paragraph1-Number1"/>
      </w:pPr>
      <w:r>
        <w:t>As Australia has explained in its second written submission, India's argument find</w:t>
      </w:r>
      <w:r w:rsidR="00CD3214">
        <w:t>s</w:t>
      </w:r>
      <w:r>
        <w:t xml:space="preserve"> no support in the text of Annex 3</w:t>
      </w:r>
      <w:r w:rsidR="00EF2F49">
        <w:t>.</w:t>
      </w:r>
      <w:r w:rsidR="00A871E3">
        <w:rPr>
          <w:rStyle w:val="FootnoteReference"/>
        </w:rPr>
        <w:footnoteReference w:id="33"/>
      </w:r>
      <w:r w:rsidR="00EF2F49">
        <w:t xml:space="preserve">  </w:t>
      </w:r>
      <w:r w:rsidR="00C34EA9">
        <w:t xml:space="preserve">  India makes an </w:t>
      </w:r>
      <w:r w:rsidR="00EF2F49">
        <w:t>artificial distinction</w:t>
      </w:r>
      <w:r w:rsidR="00AA7E49">
        <w:t xml:space="preserve"> </w:t>
      </w:r>
      <w:r w:rsidR="00C34EA9">
        <w:t xml:space="preserve">that </w:t>
      </w:r>
      <w:r w:rsidR="00FD2584">
        <w:t>attempts</w:t>
      </w:r>
      <w:r w:rsidR="00C34EA9">
        <w:t xml:space="preserve"> to sidestep </w:t>
      </w:r>
      <w:r w:rsidR="00AA7E49">
        <w:t>conveniently</w:t>
      </w:r>
      <w:r w:rsidR="00EF2F49">
        <w:t xml:space="preserve"> </w:t>
      </w:r>
      <w:r w:rsidR="00AA7E49">
        <w:t xml:space="preserve">the </w:t>
      </w:r>
      <w:r w:rsidR="00C34EA9">
        <w:t>plain meaning of</w:t>
      </w:r>
      <w:r w:rsidR="00AA7E49">
        <w:t xml:space="preserve"> paragraph 8 of Annex 3</w:t>
      </w:r>
      <w:r w:rsidR="00C34EA9">
        <w:t xml:space="preserve"> because that meaning undermines its defence</w:t>
      </w:r>
      <w:r>
        <w:t>.</w:t>
      </w:r>
      <w:r>
        <w:rPr>
          <w:rStyle w:val="FootnoteReference"/>
        </w:rPr>
        <w:footnoteReference w:id="34"/>
      </w:r>
      <w:r w:rsidR="003E518C">
        <w:t xml:space="preserve"> </w:t>
      </w:r>
      <w:r>
        <w:t xml:space="preserve"> </w:t>
      </w:r>
    </w:p>
    <w:p w14:paraId="05F68DDA" w14:textId="4760BBA2" w:rsidR="004E3944" w:rsidRDefault="00AA7E49" w:rsidP="00B11880">
      <w:pPr>
        <w:pStyle w:val="P1-N1Paragraph1-Number1"/>
      </w:pPr>
      <w:r>
        <w:t xml:space="preserve">It </w:t>
      </w:r>
      <w:r w:rsidR="00E9318F">
        <w:t>is</w:t>
      </w:r>
      <w:r w:rsidR="009C4BE8">
        <w:t xml:space="preserve"> worth noting that</w:t>
      </w:r>
      <w:r w:rsidR="004E3944">
        <w:t xml:space="preserve"> India</w:t>
      </w:r>
      <w:r w:rsidR="009C4BE8">
        <w:t>'s</w:t>
      </w:r>
      <w:r w:rsidR="004E3944">
        <w:t xml:space="preserve"> </w:t>
      </w:r>
      <w:r w:rsidR="009C4BE8">
        <w:t xml:space="preserve">interpretation of Annex 3 </w:t>
      </w:r>
      <w:r w:rsidR="004E3944">
        <w:t>is</w:t>
      </w:r>
      <w:r w:rsidR="00855308">
        <w:t xml:space="preserve"> </w:t>
      </w:r>
      <w:r w:rsidR="004E3944">
        <w:t>inconsistent</w:t>
      </w:r>
      <w:r w:rsidR="009C4BE8">
        <w:t xml:space="preserve"> and contradictory</w:t>
      </w:r>
      <w:r w:rsidR="004E3944">
        <w:t xml:space="preserve">.  On the one hand, </w:t>
      </w:r>
      <w:r w:rsidR="00C34EA9">
        <w:t xml:space="preserve">India </w:t>
      </w:r>
      <w:r w:rsidR="004E3944">
        <w:t>argues that every word in paragraph 2 of Annex 3 must have "legal effect</w:t>
      </w:r>
      <w:r w:rsidR="00C34EA9">
        <w:t>.</w:t>
      </w:r>
      <w:r w:rsidR="004E3944">
        <w:t>"</w:t>
      </w:r>
      <w:r w:rsidR="00621F69">
        <w:rPr>
          <w:rStyle w:val="FootnoteReference"/>
        </w:rPr>
        <w:footnoteReference w:id="35"/>
      </w:r>
      <w:r w:rsidR="00C34EA9">
        <w:t xml:space="preserve">  O</w:t>
      </w:r>
      <w:r w:rsidR="004E3944">
        <w:t xml:space="preserve">n the other, </w:t>
      </w:r>
      <w:r w:rsidR="00FD2584">
        <w:t>India</w:t>
      </w:r>
      <w:r w:rsidR="00C34EA9">
        <w:t xml:space="preserve"> </w:t>
      </w:r>
      <w:r w:rsidR="004E3944">
        <w:t>seeks to reduce the legal effect of the entirety of paragraph 8 of Annex 3</w:t>
      </w:r>
      <w:r w:rsidR="00095D03">
        <w:t xml:space="preserve">, </w:t>
      </w:r>
      <w:r w:rsidR="009C4BE8">
        <w:t>in the context of the measures challenged by the complainants.</w:t>
      </w:r>
    </w:p>
    <w:p w14:paraId="10828171" w14:textId="0DA60FFF" w:rsidR="001E3EF3" w:rsidRPr="001F338B" w:rsidRDefault="001E3EF3" w:rsidP="001E3EF3">
      <w:pPr>
        <w:pStyle w:val="HL2HeadingLevel2"/>
      </w:pPr>
      <w:bookmarkStart w:id="14" w:name="_Toc67475497"/>
      <w:r w:rsidRPr="001F338B">
        <w:t>Conclusion</w:t>
      </w:r>
      <w:bookmarkEnd w:id="14"/>
    </w:p>
    <w:p w14:paraId="0DE833C6" w14:textId="43715686" w:rsidR="00C0542C" w:rsidRPr="001F338B" w:rsidRDefault="00B265CC" w:rsidP="00522639">
      <w:pPr>
        <w:pStyle w:val="P1-N1Paragraph1-Number1"/>
      </w:pPr>
      <w:r w:rsidRPr="001F338B">
        <w:t xml:space="preserve">For the reasons I have outlined, Australia respectfully requests the Panel to find that India's FRP and SAP measures constitute market price support.  </w:t>
      </w:r>
      <w:r w:rsidR="00C1663A" w:rsidRPr="001F338B">
        <w:t>India's arguments in its defence have no legal merit</w:t>
      </w:r>
      <w:r w:rsidR="001F338B" w:rsidRPr="001F338B">
        <w:t xml:space="preserve">. </w:t>
      </w:r>
      <w:r w:rsidR="00C1663A" w:rsidRPr="001F338B">
        <w:t xml:space="preserve"> </w:t>
      </w:r>
      <w:r w:rsidRPr="001F338B">
        <w:t xml:space="preserve">Accepting </w:t>
      </w:r>
      <w:r w:rsidR="001F338B" w:rsidRPr="001F338B">
        <w:t>them</w:t>
      </w:r>
      <w:r w:rsidRPr="001F338B">
        <w:t xml:space="preserve"> would have serious, negative systemic consequences.  </w:t>
      </w:r>
    </w:p>
    <w:p w14:paraId="5599D870" w14:textId="0AB17734" w:rsidR="001C3A79" w:rsidRDefault="004C1016" w:rsidP="00B11880">
      <w:pPr>
        <w:pStyle w:val="P1-N1Paragraph1-Number1"/>
      </w:pPr>
      <w:bookmarkStart w:id="15" w:name="_Hlk66989908"/>
      <w:r>
        <w:t xml:space="preserve">Before I conclude on the topic of domestic support, </w:t>
      </w:r>
      <w:bookmarkEnd w:id="15"/>
      <w:r w:rsidR="002960F5" w:rsidRPr="002960F5">
        <w:t xml:space="preserve">I would like to </w:t>
      </w:r>
      <w:r w:rsidR="00D63B32">
        <w:t>note that Australia has circulated</w:t>
      </w:r>
      <w:r w:rsidR="002960F5" w:rsidRPr="002960F5">
        <w:t xml:space="preserve"> revised domestic support calculations with</w:t>
      </w:r>
      <w:r w:rsidR="00C0542C">
        <w:t xml:space="preserve"> the provisional version of</w:t>
      </w:r>
      <w:r w:rsidR="002960F5" w:rsidRPr="002960F5">
        <w:t xml:space="preserve"> this statement.</w:t>
      </w:r>
      <w:r w:rsidR="001C3A79">
        <w:rPr>
          <w:rStyle w:val="FootnoteReference"/>
        </w:rPr>
        <w:footnoteReference w:id="36"/>
      </w:r>
      <w:r w:rsidR="002960F5" w:rsidRPr="002960F5">
        <w:t xml:space="preserve">  </w:t>
      </w:r>
    </w:p>
    <w:p w14:paraId="15BAC685" w14:textId="53D6C919" w:rsidR="002960F5" w:rsidRDefault="0022753D" w:rsidP="00B11880">
      <w:pPr>
        <w:pStyle w:val="P1-N1Paragraph1-Number1"/>
      </w:pPr>
      <w:r>
        <w:t>W</w:t>
      </w:r>
      <w:r w:rsidR="002960F5" w:rsidRPr="002960F5">
        <w:t>e will provide a detailed explanation</w:t>
      </w:r>
      <w:r>
        <w:t xml:space="preserve"> of</w:t>
      </w:r>
      <w:r w:rsidR="001F338B">
        <w:t xml:space="preserve"> </w:t>
      </w:r>
      <w:r w:rsidR="00D63B32">
        <w:t>the</w:t>
      </w:r>
      <w:r w:rsidR="00EA68A6">
        <w:t>se</w:t>
      </w:r>
      <w:r w:rsidR="00D63B32">
        <w:t xml:space="preserve"> updates </w:t>
      </w:r>
      <w:r w:rsidR="002960F5" w:rsidRPr="002960F5">
        <w:t>in our responses</w:t>
      </w:r>
      <w:r>
        <w:t xml:space="preserve"> to the Panel's questions</w:t>
      </w:r>
      <w:r w:rsidR="00454F79">
        <w:t xml:space="preserve"> 1, 4 and 11</w:t>
      </w:r>
      <w:r w:rsidR="002960F5" w:rsidRPr="002960F5">
        <w:t>.</w:t>
      </w:r>
    </w:p>
    <w:p w14:paraId="21C00DC6" w14:textId="51FFE10B" w:rsidR="0022753D" w:rsidRDefault="00946D8E" w:rsidP="00B11880">
      <w:pPr>
        <w:pStyle w:val="P1-N1Paragraph1-Number1"/>
      </w:pPr>
      <w:r>
        <w:lastRenderedPageBreak/>
        <w:t>Importantly, n</w:t>
      </w:r>
      <w:r w:rsidR="0022753D">
        <w:t xml:space="preserve">one of the adjustments to the calculations change the fact that India's domestic support in favour of its sugarcane producers </w:t>
      </w:r>
      <w:r w:rsidR="0022753D" w:rsidRPr="0022753D">
        <w:rPr>
          <w:u w:val="single"/>
        </w:rPr>
        <w:t>vastly exceeds</w:t>
      </w:r>
      <w:r w:rsidR="0022753D">
        <w:t xml:space="preserve"> its permissible level, in breach of India's obligation</w:t>
      </w:r>
      <w:r w:rsidR="00947847">
        <w:t>s</w:t>
      </w:r>
      <w:r w:rsidR="0022753D">
        <w:t xml:space="preserve"> pursuant to Article 7.2(b) of the Agreement on Agriculture. </w:t>
      </w:r>
    </w:p>
    <w:p w14:paraId="02AAF363" w14:textId="0CCB3B46" w:rsidR="008A23B5" w:rsidRDefault="003104D8" w:rsidP="008A23B5">
      <w:pPr>
        <w:pStyle w:val="HL1HeadingLevel1"/>
      </w:pPr>
      <w:bookmarkStart w:id="16" w:name="_Toc67475498"/>
      <w:r>
        <w:t xml:space="preserve">INDIA'S </w:t>
      </w:r>
      <w:r w:rsidR="008A23B5">
        <w:t>export subsidies</w:t>
      </w:r>
      <w:r>
        <w:t xml:space="preserve"> FOR SUGAR ARE INCONSISTENT WITH ITS OBLIGATIONS UNDER THE AGREEMENT ON AGRICULTURE AND THE SCM AGREEMENT</w:t>
      </w:r>
      <w:bookmarkEnd w:id="16"/>
    </w:p>
    <w:p w14:paraId="472E96D9" w14:textId="0A49B629" w:rsidR="00621F69" w:rsidRDefault="00621F69" w:rsidP="005D07CC">
      <w:pPr>
        <w:pStyle w:val="P1-N1Paragraph1-Number1"/>
      </w:pPr>
      <w:r>
        <w:t>I now turn to Australia's export subsidies claims.</w:t>
      </w:r>
    </w:p>
    <w:p w14:paraId="2ED4856C" w14:textId="15AFEA16" w:rsidR="005D07CC" w:rsidRDefault="00BB48ED" w:rsidP="005D07CC">
      <w:pPr>
        <w:pStyle w:val="P1-N1Paragraph1-Number1"/>
      </w:pPr>
      <w:r>
        <w:t>By means of its</w:t>
      </w:r>
      <w:r w:rsidR="004D302C" w:rsidRPr="002C0F57">
        <w:t xml:space="preserve"> production </w:t>
      </w:r>
      <w:r>
        <w:t>and</w:t>
      </w:r>
      <w:r w:rsidR="004D302C" w:rsidRPr="002C0F57">
        <w:t xml:space="preserve"> buffer stock subsidies</w:t>
      </w:r>
      <w:r w:rsidR="001F338B">
        <w:t>,</w:t>
      </w:r>
      <w:r w:rsidR="004D302C" w:rsidRPr="002C0F57">
        <w:t xml:space="preserve"> </w:t>
      </w:r>
      <w:r>
        <w:t xml:space="preserve">and its </w:t>
      </w:r>
      <w:r w:rsidR="004D302C" w:rsidRPr="002C0F57">
        <w:t xml:space="preserve">MAEQ </w:t>
      </w:r>
      <w:r w:rsidR="001F338B">
        <w:t>and DFIA scheme</w:t>
      </w:r>
      <w:r>
        <w:t xml:space="preserve">s, India provides prohibited </w:t>
      </w:r>
      <w:r w:rsidR="005D07CC" w:rsidRPr="002C0F57">
        <w:t>export subsidies for sugar</w:t>
      </w:r>
      <w:r>
        <w:t>.</w:t>
      </w:r>
      <w:r w:rsidR="005D07CC" w:rsidRPr="002C0F57">
        <w:t xml:space="preserve"> </w:t>
      </w:r>
      <w:r>
        <w:t xml:space="preserve">These measures are </w:t>
      </w:r>
      <w:r w:rsidR="005D07CC" w:rsidRPr="002C0F57">
        <w:t xml:space="preserve">inconsistent with India's obligations under Articles 3.3 and 8 of the Agreement on Agriculture and Articles 3.1(a) and 3.2 of the </w:t>
      </w:r>
      <w:r w:rsidR="001F338B">
        <w:t>SCM Agreement</w:t>
      </w:r>
      <w:r w:rsidR="005D07CC" w:rsidRPr="002C0F57">
        <w:t xml:space="preserve">. </w:t>
      </w:r>
    </w:p>
    <w:p w14:paraId="724E253D" w14:textId="1240DAF4" w:rsidR="004D302C" w:rsidRPr="002C0F57" w:rsidRDefault="00BB48ED" w:rsidP="004D302C">
      <w:pPr>
        <w:pStyle w:val="P1-N1Paragraph1-Number1"/>
      </w:pPr>
      <w:r>
        <w:t>F</w:t>
      </w:r>
      <w:r w:rsidR="005D07CC" w:rsidRPr="002C0F57">
        <w:t>ace</w:t>
      </w:r>
      <w:r w:rsidR="009E0E75">
        <w:t>d with</w:t>
      </w:r>
      <w:r w:rsidR="005D07CC" w:rsidRPr="002C0F57">
        <w:t xml:space="preserve"> unambiguous evidence</w:t>
      </w:r>
      <w:r w:rsidR="009E0E75">
        <w:t xml:space="preserve"> of </w:t>
      </w:r>
      <w:r w:rsidR="00621F69">
        <w:t xml:space="preserve">its </w:t>
      </w:r>
      <w:r w:rsidR="009E0E75">
        <w:t>WTO-inconsistent export subsidies</w:t>
      </w:r>
      <w:r w:rsidR="005D07CC" w:rsidRPr="002C0F57">
        <w:t>, I</w:t>
      </w:r>
      <w:r w:rsidR="00A51D91" w:rsidRPr="002C0F57">
        <w:t>ndia</w:t>
      </w:r>
      <w:r w:rsidR="005D07CC" w:rsidRPr="002C0F57">
        <w:t xml:space="preserve"> has opted to </w:t>
      </w:r>
      <w:r w:rsidR="00A51D91" w:rsidRPr="002C0F57">
        <w:t>dispute the facts underpinning the export contingency of each measure</w:t>
      </w:r>
      <w:r>
        <w:t xml:space="preserve">, to </w:t>
      </w:r>
      <w:r w:rsidR="009E0E75">
        <w:t xml:space="preserve">develop </w:t>
      </w:r>
      <w:r w:rsidR="00F032A8">
        <w:t xml:space="preserve">flawed </w:t>
      </w:r>
      <w:r w:rsidR="009E0E75">
        <w:t>interpretations</w:t>
      </w:r>
      <w:r>
        <w:t xml:space="preserve"> of </w:t>
      </w:r>
      <w:r w:rsidR="00F032A8">
        <w:t xml:space="preserve">relevant </w:t>
      </w:r>
      <w:r>
        <w:t xml:space="preserve">legal standards, and to </w:t>
      </w:r>
      <w:r w:rsidR="00F032A8">
        <w:t>claim</w:t>
      </w:r>
      <w:r>
        <w:t xml:space="preserve"> exemptions that are unavailable.</w:t>
      </w:r>
    </w:p>
    <w:p w14:paraId="6F086E0D" w14:textId="448314D5" w:rsidR="00FC78C1" w:rsidRDefault="001F338B" w:rsidP="00632E74">
      <w:pPr>
        <w:pStyle w:val="HL2HeadingLevel2"/>
      </w:pPr>
      <w:bookmarkStart w:id="17" w:name="_Toc67475499"/>
      <w:r>
        <w:t>E</w:t>
      </w:r>
      <w:r w:rsidR="008A23B5">
        <w:t>vidence of actual disbursements is not required to demonstrate the existence of a subsidy</w:t>
      </w:r>
      <w:bookmarkEnd w:id="17"/>
    </w:p>
    <w:p w14:paraId="7EB5D40C" w14:textId="34B91382" w:rsidR="00DD5215" w:rsidRDefault="00FC78C1" w:rsidP="00DD5215">
      <w:pPr>
        <w:pStyle w:val="P1-N1Paragraph1-Number1"/>
      </w:pPr>
      <w:r>
        <w:t>Australia has demonstrated comprehensively that the challenged schemes are direct subsidies contingent on export performance within the meaning of Article 9.1(a) of the Agreement on Agriculture.  We have shown that the Indian government makes funds available to sugar mills for less than full consideration, that this leaves sugar mills better off than they would otherwise be, and that to claim or access funds, sugar mills must satisfy export obligations.</w:t>
      </w:r>
      <w:r>
        <w:rPr>
          <w:rStyle w:val="FootnoteReference"/>
        </w:rPr>
        <w:footnoteReference w:id="37"/>
      </w:r>
    </w:p>
    <w:p w14:paraId="245D2F17" w14:textId="091ADCEF" w:rsidR="00DD5215" w:rsidRDefault="00DD5215">
      <w:pPr>
        <w:pStyle w:val="P1-N1Paragraph1-Number1"/>
      </w:pPr>
      <w:r>
        <w:t>In its second</w:t>
      </w:r>
      <w:r w:rsidRPr="00DD5215">
        <w:t xml:space="preserve"> </w:t>
      </w:r>
      <w:r>
        <w:t xml:space="preserve">written submission, India has persevered with its flawed interpretation of the legal standard for determining whether a measure qualifies as a "subsidy" within the </w:t>
      </w:r>
      <w:r>
        <w:lastRenderedPageBreak/>
        <w:t>meaning</w:t>
      </w:r>
      <w:r w:rsidRPr="00DD5215">
        <w:t xml:space="preserve"> </w:t>
      </w:r>
      <w:r>
        <w:t>of Article 9.1(a).  India continues to insist, in particular,</w:t>
      </w:r>
      <w:r w:rsidR="00C64170">
        <w:t xml:space="preserve"> that</w:t>
      </w:r>
      <w:r>
        <w:t xml:space="preserve"> evidence of actual funds transfers is required to demonstrate the existence of a direct subsidy.</w:t>
      </w:r>
      <w:r>
        <w:rPr>
          <w:rStyle w:val="FootnoteReference"/>
        </w:rPr>
        <w:footnoteReference w:id="38"/>
      </w:r>
      <w:r>
        <w:t xml:space="preserve"> </w:t>
      </w:r>
    </w:p>
    <w:p w14:paraId="702B4923" w14:textId="0AD97F3E" w:rsidR="007A6A24" w:rsidRPr="00BA3DEB" w:rsidRDefault="00C50FB4" w:rsidP="007A6A24">
      <w:pPr>
        <w:pStyle w:val="P1-N1Paragraph1-Number1"/>
      </w:pPr>
      <w:r>
        <w:rPr>
          <w:rFonts w:cs="Verdana"/>
          <w:szCs w:val="18"/>
        </w:rPr>
        <w:t xml:space="preserve">India </w:t>
      </w:r>
      <w:r w:rsidR="00DD5215">
        <w:rPr>
          <w:rFonts w:cs="Verdana"/>
          <w:szCs w:val="18"/>
        </w:rPr>
        <w:t xml:space="preserve">argues that the reference in Article 9.1(a) to "direct subsidies including </w:t>
      </w:r>
      <w:r w:rsidR="00DD5215" w:rsidRPr="00C64170">
        <w:rPr>
          <w:rFonts w:cs="Verdana"/>
          <w:szCs w:val="18"/>
          <w:u w:val="single"/>
        </w:rPr>
        <w:t>payments-in-kind</w:t>
      </w:r>
      <w:r w:rsidR="00DD5215">
        <w:rPr>
          <w:rFonts w:cs="Verdana"/>
          <w:szCs w:val="18"/>
        </w:rPr>
        <w:t>" is</w:t>
      </w:r>
      <w:r>
        <w:rPr>
          <w:rFonts w:cs="Verdana"/>
          <w:szCs w:val="18"/>
        </w:rPr>
        <w:t xml:space="preserve"> evidence </w:t>
      </w:r>
      <w:r w:rsidR="00DD5215">
        <w:rPr>
          <w:rFonts w:cs="Verdana"/>
          <w:szCs w:val="18"/>
        </w:rPr>
        <w:t>of this requirement</w:t>
      </w:r>
      <w:r w:rsidR="007A6A24">
        <w:rPr>
          <w:rFonts w:cs="Verdana"/>
          <w:szCs w:val="18"/>
        </w:rPr>
        <w:t>.</w:t>
      </w:r>
      <w:r w:rsidR="007A6A24">
        <w:rPr>
          <w:rStyle w:val="FootnoteReference"/>
          <w:rFonts w:cs="Verdana"/>
          <w:szCs w:val="18"/>
        </w:rPr>
        <w:footnoteReference w:id="39"/>
      </w:r>
      <w:r w:rsidR="007A6A24">
        <w:rPr>
          <w:rFonts w:cs="Verdana"/>
          <w:szCs w:val="18"/>
        </w:rPr>
        <w:t xml:space="preserve">  </w:t>
      </w:r>
    </w:p>
    <w:p w14:paraId="47A1B41C" w14:textId="16678983" w:rsidR="007A6A24" w:rsidRPr="0012252E" w:rsidRDefault="007A6A24" w:rsidP="007A6A24">
      <w:pPr>
        <w:pStyle w:val="P1-N1Paragraph1-Number1"/>
      </w:pPr>
      <w:r>
        <w:rPr>
          <w:rFonts w:cs="Verdana"/>
          <w:szCs w:val="18"/>
        </w:rPr>
        <w:t>India's focus on this phrase</w:t>
      </w:r>
      <w:r w:rsidR="002D387E">
        <w:rPr>
          <w:rFonts w:cs="Verdana"/>
          <w:szCs w:val="18"/>
        </w:rPr>
        <w:t xml:space="preserve"> is selective</w:t>
      </w:r>
      <w:r w:rsidR="00DD5215">
        <w:rPr>
          <w:rFonts w:cs="Verdana"/>
          <w:szCs w:val="18"/>
        </w:rPr>
        <w:t xml:space="preserve"> and fails to acknowledge</w:t>
      </w:r>
      <w:r w:rsidR="002D387E">
        <w:rPr>
          <w:rFonts w:cs="Verdana"/>
          <w:szCs w:val="18"/>
        </w:rPr>
        <w:t xml:space="preserve"> that </w:t>
      </w:r>
      <w:r>
        <w:rPr>
          <w:rFonts w:cs="Verdana"/>
          <w:szCs w:val="18"/>
        </w:rPr>
        <w:t xml:space="preserve">Article 9.1(a) identifies "payments-in-kind" as </w:t>
      </w:r>
      <w:r w:rsidRPr="002D387E">
        <w:rPr>
          <w:rFonts w:cs="Verdana"/>
          <w:szCs w:val="18"/>
          <w:u w:val="single"/>
        </w:rPr>
        <w:t>one example</w:t>
      </w:r>
      <w:r>
        <w:rPr>
          <w:rFonts w:cs="Verdana"/>
          <w:szCs w:val="18"/>
        </w:rPr>
        <w:t xml:space="preserve"> of a direct subsidy.  The preposition "including" makes this clear. </w:t>
      </w:r>
      <w:r w:rsidR="00C64170">
        <w:rPr>
          <w:rFonts w:cs="Verdana"/>
          <w:szCs w:val="18"/>
        </w:rPr>
        <w:t xml:space="preserve"> </w:t>
      </w:r>
      <w:r>
        <w:rPr>
          <w:rFonts w:cs="Verdana"/>
          <w:szCs w:val="18"/>
        </w:rPr>
        <w:t xml:space="preserve">As the challenged measures do not involve payments-in-kind, </w:t>
      </w:r>
      <w:r w:rsidR="00DD5215">
        <w:rPr>
          <w:rFonts w:cs="Verdana"/>
          <w:szCs w:val="18"/>
        </w:rPr>
        <w:t xml:space="preserve">Australia urges the Panel to disregard </w:t>
      </w:r>
      <w:r>
        <w:rPr>
          <w:rFonts w:cs="Verdana"/>
          <w:szCs w:val="18"/>
        </w:rPr>
        <w:t xml:space="preserve">India's argument. </w:t>
      </w:r>
    </w:p>
    <w:p w14:paraId="21877269" w14:textId="0A2665B8" w:rsidR="007A6A24" w:rsidRPr="00A90070" w:rsidRDefault="007A6A24" w:rsidP="007A6A24">
      <w:pPr>
        <w:pStyle w:val="P1-N1Paragraph1-Number1"/>
      </w:pPr>
      <w:r>
        <w:rPr>
          <w:rFonts w:cs="Verdana"/>
          <w:szCs w:val="18"/>
        </w:rPr>
        <w:t>India has also tried to discredit the complainants'</w:t>
      </w:r>
      <w:r w:rsidR="00DD5215">
        <w:rPr>
          <w:rFonts w:cs="Verdana"/>
          <w:szCs w:val="18"/>
        </w:rPr>
        <w:t xml:space="preserve"> </w:t>
      </w:r>
      <w:r w:rsidR="002D387E">
        <w:rPr>
          <w:rFonts w:cs="Verdana"/>
          <w:szCs w:val="18"/>
        </w:rPr>
        <w:t xml:space="preserve">arguments </w:t>
      </w:r>
      <w:r w:rsidR="00DD5215">
        <w:rPr>
          <w:rFonts w:cs="Verdana"/>
          <w:szCs w:val="18"/>
        </w:rPr>
        <w:t>regarding</w:t>
      </w:r>
      <w:r w:rsidR="002D387E">
        <w:rPr>
          <w:rFonts w:cs="Verdana"/>
          <w:szCs w:val="18"/>
        </w:rPr>
        <w:t xml:space="preserve"> the</w:t>
      </w:r>
      <w:r>
        <w:rPr>
          <w:rFonts w:cs="Verdana"/>
          <w:szCs w:val="18"/>
        </w:rPr>
        <w:t xml:space="preserve"> immediate context </w:t>
      </w:r>
      <w:r w:rsidR="00C64170">
        <w:rPr>
          <w:rFonts w:cs="Verdana"/>
          <w:szCs w:val="18"/>
        </w:rPr>
        <w:t xml:space="preserve">of </w:t>
      </w:r>
      <w:r>
        <w:rPr>
          <w:rFonts w:cs="Verdana"/>
          <w:szCs w:val="18"/>
        </w:rPr>
        <w:t>Article 9.1(a).</w:t>
      </w:r>
      <w:r>
        <w:rPr>
          <w:rStyle w:val="FootnoteReference"/>
          <w:rFonts w:cs="Verdana"/>
          <w:szCs w:val="18"/>
        </w:rPr>
        <w:footnoteReference w:id="40"/>
      </w:r>
      <w:r>
        <w:rPr>
          <w:rFonts w:cs="Verdana"/>
          <w:szCs w:val="18"/>
        </w:rPr>
        <w:t xml:space="preserve">  </w:t>
      </w:r>
    </w:p>
    <w:p w14:paraId="643CF09F" w14:textId="233977AB" w:rsidR="007A6A24" w:rsidRPr="00A90070" w:rsidRDefault="00590C36" w:rsidP="007A6A24">
      <w:pPr>
        <w:pStyle w:val="P1-N1Paragraph1-Number1"/>
      </w:pPr>
      <w:r>
        <w:rPr>
          <w:rFonts w:cs="Verdana"/>
          <w:szCs w:val="18"/>
        </w:rPr>
        <w:t>This context includes</w:t>
      </w:r>
      <w:r w:rsidR="007A6A24">
        <w:rPr>
          <w:rFonts w:cs="Verdana"/>
          <w:szCs w:val="18"/>
        </w:rPr>
        <w:t xml:space="preserve"> Article 9.2(a)(i), </w:t>
      </w:r>
      <w:r>
        <w:rPr>
          <w:rFonts w:cs="Verdana"/>
          <w:szCs w:val="18"/>
        </w:rPr>
        <w:t xml:space="preserve">which provides that where </w:t>
      </w:r>
      <w:r w:rsidR="007A6A24" w:rsidRPr="00A90070">
        <w:rPr>
          <w:rFonts w:cs="Verdana"/>
          <w:szCs w:val="18"/>
        </w:rPr>
        <w:t>export subsidy reduction commitments</w:t>
      </w:r>
      <w:r w:rsidR="007A6A24">
        <w:rPr>
          <w:rFonts w:cs="Verdana"/>
          <w:szCs w:val="18"/>
        </w:rPr>
        <w:t xml:space="preserve"> are expressed </w:t>
      </w:r>
      <w:r>
        <w:rPr>
          <w:rFonts w:cs="Verdana"/>
          <w:szCs w:val="18"/>
        </w:rPr>
        <w:t>as</w:t>
      </w:r>
      <w:r w:rsidR="007A6A24" w:rsidRPr="00A90070">
        <w:rPr>
          <w:rFonts w:cs="Verdana"/>
          <w:szCs w:val="18"/>
        </w:rPr>
        <w:t xml:space="preserve"> budgetary outlay</w:t>
      </w:r>
      <w:r w:rsidR="007A6A24">
        <w:rPr>
          <w:rFonts w:cs="Verdana"/>
          <w:szCs w:val="18"/>
        </w:rPr>
        <w:t>s</w:t>
      </w:r>
      <w:r w:rsidR="007A6A24" w:rsidRPr="00A90070">
        <w:rPr>
          <w:rFonts w:cs="Verdana"/>
          <w:szCs w:val="18"/>
        </w:rPr>
        <w:t xml:space="preserve">, </w:t>
      </w:r>
      <w:r>
        <w:rPr>
          <w:rFonts w:cs="Verdana"/>
          <w:szCs w:val="18"/>
        </w:rPr>
        <w:t xml:space="preserve">compliance </w:t>
      </w:r>
      <w:r w:rsidR="007A6A24" w:rsidRPr="00A90070">
        <w:rPr>
          <w:rFonts w:cs="Verdana"/>
          <w:szCs w:val="18"/>
        </w:rPr>
        <w:t xml:space="preserve">may be assessed on the basis of expenditure </w:t>
      </w:r>
      <w:r w:rsidR="004A11D3">
        <w:rPr>
          <w:rFonts w:cs="Verdana"/>
          <w:szCs w:val="18"/>
        </w:rPr>
        <w:t>to</w:t>
      </w:r>
      <w:r w:rsidR="007A6A24" w:rsidRPr="00A90070">
        <w:rPr>
          <w:rFonts w:cs="Verdana"/>
          <w:szCs w:val="18"/>
        </w:rPr>
        <w:t xml:space="preserve"> subsidies </w:t>
      </w:r>
      <w:r w:rsidR="007A6A24" w:rsidRPr="00590C36">
        <w:rPr>
          <w:rFonts w:cs="Verdana"/>
          <w:szCs w:val="18"/>
          <w:u w:val="single"/>
        </w:rPr>
        <w:t>allocated</w:t>
      </w:r>
      <w:r w:rsidR="007A6A24" w:rsidRPr="00A90070">
        <w:rPr>
          <w:rFonts w:cs="Verdana"/>
          <w:szCs w:val="18"/>
        </w:rPr>
        <w:t xml:space="preserve"> or incurred.</w:t>
      </w:r>
      <w:r w:rsidR="007A6A24">
        <w:rPr>
          <w:rFonts w:cs="Verdana"/>
          <w:szCs w:val="18"/>
        </w:rPr>
        <w:t xml:space="preserve">  As Australia and Brazil have pointed out, this means the Agreement on Agriculture</w:t>
      </w:r>
      <w:r w:rsidR="00611420">
        <w:rPr>
          <w:rFonts w:cs="Verdana"/>
          <w:szCs w:val="18"/>
        </w:rPr>
        <w:t xml:space="preserve"> recognises</w:t>
      </w:r>
      <w:r w:rsidR="007A6A24">
        <w:rPr>
          <w:rFonts w:cs="Verdana"/>
          <w:szCs w:val="18"/>
        </w:rPr>
        <w:t xml:space="preserve"> </w:t>
      </w:r>
      <w:r w:rsidR="00611420">
        <w:rPr>
          <w:rFonts w:cs="Verdana"/>
          <w:szCs w:val="18"/>
        </w:rPr>
        <w:t xml:space="preserve">that </w:t>
      </w:r>
      <w:r w:rsidR="007A6A24">
        <w:rPr>
          <w:rFonts w:cs="Verdana"/>
          <w:szCs w:val="18"/>
        </w:rPr>
        <w:t>a subsidy</w:t>
      </w:r>
      <w:r w:rsidR="007E7D07">
        <w:rPr>
          <w:rFonts w:cs="Verdana"/>
          <w:szCs w:val="18"/>
        </w:rPr>
        <w:t xml:space="preserve"> may exist in situations where a funds transfer is yet to take effect</w:t>
      </w:r>
      <w:r w:rsidR="007A6A24">
        <w:rPr>
          <w:rFonts w:cs="Verdana"/>
          <w:szCs w:val="18"/>
        </w:rPr>
        <w:t>.</w:t>
      </w:r>
      <w:r w:rsidR="007A6A24">
        <w:rPr>
          <w:rStyle w:val="FootnoteReference"/>
          <w:rFonts w:cs="Verdana"/>
          <w:szCs w:val="18"/>
        </w:rPr>
        <w:footnoteReference w:id="41"/>
      </w:r>
    </w:p>
    <w:p w14:paraId="077C9326" w14:textId="733DEC97" w:rsidR="002C3CDF" w:rsidRDefault="00245041" w:rsidP="00943369">
      <w:pPr>
        <w:pStyle w:val="P1-N1Paragraph1-Number1"/>
        <w:rPr>
          <w:rFonts w:cs="Verdana"/>
          <w:szCs w:val="18"/>
        </w:rPr>
      </w:pPr>
      <w:r>
        <w:rPr>
          <w:rFonts w:cs="Verdana"/>
          <w:szCs w:val="18"/>
        </w:rPr>
        <w:t>Further</w:t>
      </w:r>
      <w:r w:rsidR="00943369">
        <w:rPr>
          <w:rFonts w:cs="Verdana"/>
          <w:szCs w:val="18"/>
        </w:rPr>
        <w:t>,</w:t>
      </w:r>
      <w:r w:rsidR="00611420">
        <w:rPr>
          <w:rFonts w:cs="Verdana"/>
          <w:szCs w:val="18"/>
        </w:rPr>
        <w:t xml:space="preserve"> </w:t>
      </w:r>
      <w:r w:rsidR="007A6A24" w:rsidRPr="00A90070">
        <w:rPr>
          <w:rFonts w:cs="Verdana"/>
          <w:szCs w:val="18"/>
        </w:rPr>
        <w:t xml:space="preserve">Australia </w:t>
      </w:r>
      <w:r w:rsidR="00F9136A">
        <w:rPr>
          <w:rFonts w:cs="Verdana"/>
          <w:szCs w:val="18"/>
        </w:rPr>
        <w:t xml:space="preserve">does </w:t>
      </w:r>
      <w:r w:rsidR="00F9136A" w:rsidRPr="0026308F">
        <w:rPr>
          <w:rFonts w:cs="Verdana"/>
          <w:szCs w:val="18"/>
          <w:u w:val="single"/>
        </w:rPr>
        <w:t>not</w:t>
      </w:r>
      <w:r w:rsidR="00F9136A">
        <w:rPr>
          <w:rFonts w:cs="Verdana"/>
          <w:szCs w:val="18"/>
        </w:rPr>
        <w:t xml:space="preserve"> accept India's argument</w:t>
      </w:r>
      <w:r w:rsidR="007A6A24">
        <w:rPr>
          <w:rFonts w:cs="Verdana"/>
          <w:szCs w:val="18"/>
        </w:rPr>
        <w:t xml:space="preserve"> </w:t>
      </w:r>
      <w:r w:rsidR="00F9136A">
        <w:rPr>
          <w:rFonts w:cs="Verdana"/>
          <w:szCs w:val="18"/>
        </w:rPr>
        <w:t>that we have</w:t>
      </w:r>
      <w:r w:rsidR="007A6A24" w:rsidRPr="00A90070">
        <w:rPr>
          <w:rFonts w:cs="Verdana"/>
          <w:szCs w:val="18"/>
        </w:rPr>
        <w:t xml:space="preserve"> treated Article</w:t>
      </w:r>
      <w:r w:rsidR="007A6A24">
        <w:rPr>
          <w:rFonts w:cs="Verdana"/>
          <w:szCs w:val="18"/>
        </w:rPr>
        <w:t> </w:t>
      </w:r>
      <w:r w:rsidR="007A6A24" w:rsidRPr="00A90070">
        <w:rPr>
          <w:rFonts w:cs="Verdana"/>
          <w:szCs w:val="18"/>
        </w:rPr>
        <w:t xml:space="preserve">9.2(a)(i) as overriding Article 9.1(a).  </w:t>
      </w:r>
      <w:r w:rsidR="007A6A24">
        <w:rPr>
          <w:rFonts w:cs="Verdana"/>
          <w:szCs w:val="18"/>
        </w:rPr>
        <w:t>We have</w:t>
      </w:r>
      <w:r w:rsidR="007A6A24" w:rsidRPr="00A90070">
        <w:rPr>
          <w:rFonts w:cs="Verdana"/>
          <w:szCs w:val="18"/>
        </w:rPr>
        <w:t xml:space="preserve"> simply </w:t>
      </w:r>
      <w:r w:rsidR="00611420">
        <w:rPr>
          <w:rFonts w:cs="Verdana"/>
          <w:szCs w:val="18"/>
        </w:rPr>
        <w:t>considered</w:t>
      </w:r>
      <w:r w:rsidR="00F9136A">
        <w:rPr>
          <w:rFonts w:cs="Verdana"/>
          <w:szCs w:val="18"/>
        </w:rPr>
        <w:t xml:space="preserve"> the Article as </w:t>
      </w:r>
      <w:r w:rsidR="007A6A24" w:rsidRPr="00A90070">
        <w:rPr>
          <w:rFonts w:cs="Verdana"/>
          <w:szCs w:val="18"/>
        </w:rPr>
        <w:t xml:space="preserve">context </w:t>
      </w:r>
      <w:r w:rsidR="007A6A24">
        <w:rPr>
          <w:rFonts w:cs="Verdana"/>
          <w:szCs w:val="18"/>
        </w:rPr>
        <w:t>relevant to the interpretation of</w:t>
      </w:r>
      <w:r w:rsidR="007A6A24" w:rsidRPr="00A90070">
        <w:rPr>
          <w:rFonts w:cs="Verdana"/>
          <w:szCs w:val="18"/>
        </w:rPr>
        <w:t xml:space="preserve"> </w:t>
      </w:r>
      <w:r w:rsidR="007A6A24">
        <w:rPr>
          <w:rFonts w:cs="Verdana"/>
          <w:szCs w:val="18"/>
        </w:rPr>
        <w:t>Article 9.1(a)</w:t>
      </w:r>
      <w:r w:rsidR="00F9136A">
        <w:rPr>
          <w:rFonts w:cs="Verdana"/>
          <w:szCs w:val="18"/>
        </w:rPr>
        <w:t xml:space="preserve">, </w:t>
      </w:r>
      <w:r w:rsidR="00F032A8">
        <w:rPr>
          <w:rFonts w:cs="Verdana"/>
          <w:szCs w:val="18"/>
        </w:rPr>
        <w:t>which is</w:t>
      </w:r>
      <w:r w:rsidR="00F9136A">
        <w:rPr>
          <w:rFonts w:cs="Verdana"/>
          <w:szCs w:val="18"/>
        </w:rPr>
        <w:t xml:space="preserve"> </w:t>
      </w:r>
      <w:r w:rsidR="00F9136A" w:rsidRPr="00A90070">
        <w:rPr>
          <w:rFonts w:cs="Verdana"/>
          <w:szCs w:val="18"/>
        </w:rPr>
        <w:t>entirely consistent with</w:t>
      </w:r>
      <w:r w:rsidR="00571BB7">
        <w:rPr>
          <w:rFonts w:cs="Verdana"/>
          <w:szCs w:val="18"/>
        </w:rPr>
        <w:t xml:space="preserve"> the</w:t>
      </w:r>
      <w:r w:rsidR="00F9136A" w:rsidRPr="00A90070">
        <w:rPr>
          <w:rFonts w:cs="Verdana"/>
          <w:szCs w:val="18"/>
        </w:rPr>
        <w:t xml:space="preserve"> customary principle</w:t>
      </w:r>
      <w:r w:rsidR="00F9136A">
        <w:rPr>
          <w:rFonts w:cs="Verdana"/>
          <w:szCs w:val="18"/>
        </w:rPr>
        <w:t>s</w:t>
      </w:r>
      <w:r w:rsidR="00F9136A" w:rsidRPr="00A90070">
        <w:rPr>
          <w:rFonts w:cs="Verdana"/>
          <w:szCs w:val="18"/>
        </w:rPr>
        <w:t xml:space="preserve"> of treaty interpretation.</w:t>
      </w:r>
    </w:p>
    <w:p w14:paraId="6815893E" w14:textId="70444B3B" w:rsidR="002C3CDF" w:rsidRPr="00881F6F" w:rsidRDefault="00611420" w:rsidP="002C3CDF">
      <w:pPr>
        <w:pStyle w:val="P1-N1Paragraph1-Number1"/>
      </w:pPr>
      <w:r>
        <w:rPr>
          <w:rFonts w:cs="Verdana"/>
          <w:szCs w:val="18"/>
        </w:rPr>
        <w:t xml:space="preserve">India also challenges the complainants' </w:t>
      </w:r>
      <w:r w:rsidR="00E04613">
        <w:rPr>
          <w:rFonts w:cs="Verdana"/>
          <w:szCs w:val="18"/>
        </w:rPr>
        <w:t>understanding of what it means</w:t>
      </w:r>
      <w:r>
        <w:rPr>
          <w:rFonts w:cs="Verdana"/>
          <w:szCs w:val="18"/>
        </w:rPr>
        <w:t xml:space="preserve"> "to make </w:t>
      </w:r>
      <w:r w:rsidR="00E04613">
        <w:rPr>
          <w:rFonts w:cs="Verdana"/>
          <w:szCs w:val="18"/>
        </w:rPr>
        <w:t xml:space="preserve">funds </w:t>
      </w:r>
      <w:r>
        <w:rPr>
          <w:rFonts w:cs="Verdana"/>
          <w:szCs w:val="18"/>
        </w:rPr>
        <w:t>available"</w:t>
      </w:r>
      <w:r w:rsidR="00E04613">
        <w:rPr>
          <w:rFonts w:cs="Verdana"/>
          <w:szCs w:val="18"/>
        </w:rPr>
        <w:t xml:space="preserve"> for the purposes of establishing </w:t>
      </w:r>
      <w:r w:rsidR="00FA3716">
        <w:rPr>
          <w:rFonts w:cs="Verdana"/>
          <w:szCs w:val="18"/>
        </w:rPr>
        <w:t>that a</w:t>
      </w:r>
      <w:r w:rsidR="00E04613">
        <w:rPr>
          <w:rFonts w:cs="Verdana"/>
          <w:szCs w:val="18"/>
        </w:rPr>
        <w:t xml:space="preserve"> </w:t>
      </w:r>
      <w:r w:rsidR="00FA3716">
        <w:rPr>
          <w:rFonts w:cs="Verdana"/>
          <w:szCs w:val="18"/>
        </w:rPr>
        <w:t>measure satisfies the subsidy definition in the SCM Agreement</w:t>
      </w:r>
      <w:r w:rsidR="005E0EFF">
        <w:rPr>
          <w:rStyle w:val="FootnoteReference"/>
          <w:rFonts w:cs="Verdana"/>
          <w:szCs w:val="18"/>
        </w:rPr>
        <w:footnoteReference w:id="42"/>
      </w:r>
      <w:r w:rsidR="00FA3716">
        <w:rPr>
          <w:rFonts w:cs="Verdana"/>
          <w:szCs w:val="18"/>
        </w:rPr>
        <w:t xml:space="preserve"> and, by virtue of </w:t>
      </w:r>
      <w:r w:rsidR="00F032A8">
        <w:rPr>
          <w:rFonts w:cs="Verdana"/>
          <w:szCs w:val="18"/>
        </w:rPr>
        <w:t xml:space="preserve">its </w:t>
      </w:r>
      <w:r w:rsidR="00FA3716">
        <w:rPr>
          <w:rFonts w:cs="Verdana"/>
          <w:szCs w:val="18"/>
        </w:rPr>
        <w:t>contextual relevance,</w:t>
      </w:r>
      <w:r w:rsidR="00FA3716">
        <w:rPr>
          <w:rStyle w:val="FootnoteReference"/>
          <w:rFonts w:cs="Verdana"/>
          <w:szCs w:val="18"/>
        </w:rPr>
        <w:footnoteReference w:id="43"/>
      </w:r>
      <w:r w:rsidR="00FA3716">
        <w:rPr>
          <w:rFonts w:cs="Verdana"/>
          <w:szCs w:val="18"/>
        </w:rPr>
        <w:t xml:space="preserve"> </w:t>
      </w:r>
      <w:r w:rsidR="00F032A8">
        <w:rPr>
          <w:rFonts w:cs="Verdana"/>
          <w:szCs w:val="18"/>
        </w:rPr>
        <w:t xml:space="preserve">the term "subsidy" in </w:t>
      </w:r>
      <w:r w:rsidR="00E04613">
        <w:rPr>
          <w:rFonts w:cs="Verdana"/>
          <w:szCs w:val="18"/>
        </w:rPr>
        <w:t>the Agreement on Agriculture.</w:t>
      </w:r>
      <w:r w:rsidR="00E04613">
        <w:rPr>
          <w:rStyle w:val="FootnoteReference"/>
          <w:rFonts w:cs="Verdana"/>
          <w:szCs w:val="18"/>
        </w:rPr>
        <w:footnoteReference w:id="44"/>
      </w:r>
      <w:r w:rsidR="00FA3716">
        <w:rPr>
          <w:rFonts w:cs="Verdana"/>
          <w:szCs w:val="18"/>
        </w:rPr>
        <w:t xml:space="preserve"> </w:t>
      </w:r>
    </w:p>
    <w:p w14:paraId="1D3EFF65" w14:textId="177424D3" w:rsidR="002C3CDF" w:rsidRPr="00060049" w:rsidRDefault="002C3CDF" w:rsidP="002C3CDF">
      <w:pPr>
        <w:pStyle w:val="P1-N1Paragraph1-Number1"/>
      </w:pPr>
      <w:r>
        <w:rPr>
          <w:rFonts w:cs="Verdana"/>
          <w:szCs w:val="18"/>
        </w:rPr>
        <w:lastRenderedPageBreak/>
        <w:t>Australia has</w:t>
      </w:r>
      <w:r w:rsidR="00FA3716">
        <w:rPr>
          <w:rFonts w:cs="Verdana"/>
          <w:szCs w:val="18"/>
        </w:rPr>
        <w:t xml:space="preserve"> </w:t>
      </w:r>
      <w:r>
        <w:rPr>
          <w:rFonts w:cs="Verdana"/>
          <w:szCs w:val="18"/>
        </w:rPr>
        <w:t xml:space="preserve">highlighted the Appellate Body's observation, </w:t>
      </w:r>
      <w:r w:rsidRPr="000841C8">
        <w:rPr>
          <w:rFonts w:cs="Verdana"/>
          <w:szCs w:val="18"/>
        </w:rPr>
        <w:t xml:space="preserve">in </w:t>
      </w:r>
      <w:r w:rsidRPr="000841C8">
        <w:rPr>
          <w:rFonts w:cs="Verdana"/>
          <w:i/>
          <w:szCs w:val="18"/>
        </w:rPr>
        <w:t>US – Large Civil Aircraft (2</w:t>
      </w:r>
      <w:r w:rsidRPr="000841C8">
        <w:rPr>
          <w:rFonts w:cs="Verdana"/>
          <w:i/>
          <w:szCs w:val="18"/>
          <w:vertAlign w:val="superscript"/>
        </w:rPr>
        <w:t>nd</w:t>
      </w:r>
      <w:r w:rsidRPr="000841C8">
        <w:rPr>
          <w:rFonts w:cs="Verdana"/>
          <w:i/>
          <w:szCs w:val="18"/>
        </w:rPr>
        <w:t xml:space="preserve"> complaint)</w:t>
      </w:r>
      <w:r>
        <w:rPr>
          <w:rFonts w:cs="Verdana"/>
          <w:szCs w:val="18"/>
        </w:rPr>
        <w:t>, that a</w:t>
      </w:r>
      <w:r w:rsidRPr="000841C8">
        <w:rPr>
          <w:rFonts w:cs="Verdana"/>
          <w:szCs w:val="18"/>
        </w:rPr>
        <w:t xml:space="preserve"> "direct transfer of funds captures conduct on the part of a government by which </w:t>
      </w:r>
      <w:r>
        <w:rPr>
          <w:rFonts w:cs="Verdana"/>
          <w:szCs w:val="18"/>
        </w:rPr>
        <w:t xml:space="preserve">money, financial resources, </w:t>
      </w:r>
      <w:r w:rsidRPr="000841C8">
        <w:rPr>
          <w:rFonts w:cs="Verdana"/>
          <w:szCs w:val="18"/>
        </w:rPr>
        <w:t xml:space="preserve">and/or financial claims are </w:t>
      </w:r>
      <w:r w:rsidRPr="000841C8">
        <w:rPr>
          <w:rFonts w:cs="Verdana"/>
          <w:szCs w:val="18"/>
          <w:u w:val="single"/>
        </w:rPr>
        <w:t>made available</w:t>
      </w:r>
      <w:r w:rsidRPr="000841C8">
        <w:rPr>
          <w:rFonts w:cs="Verdana"/>
          <w:szCs w:val="18"/>
        </w:rPr>
        <w:t xml:space="preserve"> to a recipient."</w:t>
      </w:r>
      <w:r>
        <w:rPr>
          <w:rStyle w:val="FootnoteReference"/>
          <w:rFonts w:cs="Verdana"/>
          <w:szCs w:val="18"/>
        </w:rPr>
        <w:footnoteReference w:id="45"/>
      </w:r>
      <w:r w:rsidRPr="000841C8">
        <w:rPr>
          <w:rFonts w:cs="Verdana"/>
          <w:szCs w:val="18"/>
        </w:rPr>
        <w:t xml:space="preserve">  </w:t>
      </w:r>
    </w:p>
    <w:p w14:paraId="14D88070" w14:textId="06EC7F5D" w:rsidR="002C3CDF" w:rsidRPr="00326BC1" w:rsidRDefault="002C3CDF" w:rsidP="002C3CDF">
      <w:pPr>
        <w:pStyle w:val="P1-N1Paragraph1-Number1"/>
      </w:pPr>
      <w:r>
        <w:rPr>
          <w:rFonts w:cs="Verdana"/>
          <w:szCs w:val="18"/>
        </w:rPr>
        <w:t>T</w:t>
      </w:r>
      <w:r w:rsidRPr="000841C8">
        <w:rPr>
          <w:rFonts w:cs="Verdana"/>
          <w:szCs w:val="18"/>
        </w:rPr>
        <w:t>he Appellate Body</w:t>
      </w:r>
      <w:r>
        <w:rPr>
          <w:rFonts w:cs="Verdana"/>
          <w:szCs w:val="18"/>
        </w:rPr>
        <w:t xml:space="preserve"> also </w:t>
      </w:r>
      <w:r w:rsidR="001302DA">
        <w:rPr>
          <w:rFonts w:cs="Verdana"/>
          <w:szCs w:val="18"/>
        </w:rPr>
        <w:t>considered</w:t>
      </w:r>
      <w:r w:rsidRPr="000841C8">
        <w:rPr>
          <w:rFonts w:cs="Verdana"/>
          <w:szCs w:val="18"/>
        </w:rPr>
        <w:t xml:space="preserve"> a direct funds transfer</w:t>
      </w:r>
      <w:r w:rsidR="001302DA">
        <w:rPr>
          <w:rFonts w:cs="Verdana"/>
          <w:szCs w:val="18"/>
        </w:rPr>
        <w:t xml:space="preserve"> to</w:t>
      </w:r>
      <w:r w:rsidRPr="000841C8">
        <w:rPr>
          <w:rFonts w:cs="Verdana"/>
          <w:szCs w:val="18"/>
        </w:rPr>
        <w:t xml:space="preserve"> "</w:t>
      </w:r>
      <w:r w:rsidR="001302DA">
        <w:rPr>
          <w:rFonts w:cs="Verdana"/>
          <w:szCs w:val="18"/>
        </w:rPr>
        <w:t>[</w:t>
      </w:r>
      <w:r w:rsidRPr="000841C8">
        <w:rPr>
          <w:rFonts w:cs="Verdana"/>
          <w:szCs w:val="18"/>
        </w:rPr>
        <w:t>indicate</w:t>
      </w:r>
      <w:r w:rsidR="001302DA">
        <w:rPr>
          <w:rFonts w:cs="Verdana"/>
          <w:szCs w:val="18"/>
        </w:rPr>
        <w:t>]</w:t>
      </w:r>
      <w:r w:rsidRPr="000841C8">
        <w:rPr>
          <w:rFonts w:cs="Verdana"/>
          <w:szCs w:val="18"/>
        </w:rPr>
        <w:t xml:space="preserve"> action involving the </w:t>
      </w:r>
      <w:r w:rsidRPr="00FD2584">
        <w:rPr>
          <w:rFonts w:cs="Verdana"/>
          <w:szCs w:val="18"/>
          <w:u w:val="single"/>
        </w:rPr>
        <w:t>conveyance</w:t>
      </w:r>
      <w:r w:rsidRPr="000841C8">
        <w:rPr>
          <w:rFonts w:cs="Verdana"/>
          <w:szCs w:val="18"/>
        </w:rPr>
        <w:t xml:space="preserve"> of funds from the government to the recipient</w:t>
      </w:r>
      <w:r>
        <w:rPr>
          <w:rFonts w:cs="Verdana"/>
          <w:szCs w:val="18"/>
        </w:rPr>
        <w:t>."</w:t>
      </w:r>
      <w:r>
        <w:rPr>
          <w:rStyle w:val="FootnoteReference"/>
          <w:rFonts w:cs="Verdana"/>
          <w:szCs w:val="18"/>
        </w:rPr>
        <w:footnoteReference w:id="46"/>
      </w:r>
      <w:r>
        <w:rPr>
          <w:rFonts w:cs="Verdana"/>
          <w:szCs w:val="18"/>
        </w:rPr>
        <w:t xml:space="preserve">  This, India claims, is the Appellate Body's way of saying that to </w:t>
      </w:r>
      <w:r>
        <w:rPr>
          <w:rFonts w:cs="Verdana"/>
          <w:szCs w:val="18"/>
          <w:u w:val="single"/>
        </w:rPr>
        <w:t>make available</w:t>
      </w:r>
      <w:r>
        <w:rPr>
          <w:rFonts w:cs="Verdana"/>
          <w:szCs w:val="18"/>
        </w:rPr>
        <w:t xml:space="preserve"> a </w:t>
      </w:r>
      <w:r w:rsidRPr="00FD2584">
        <w:rPr>
          <w:rFonts w:cs="Verdana"/>
          <w:szCs w:val="18"/>
        </w:rPr>
        <w:t>direct</w:t>
      </w:r>
      <w:r>
        <w:rPr>
          <w:rFonts w:cs="Verdana"/>
          <w:szCs w:val="18"/>
        </w:rPr>
        <w:t xml:space="preserve"> funds transfer is</w:t>
      </w:r>
      <w:r w:rsidR="0026308F">
        <w:rPr>
          <w:rFonts w:cs="Verdana"/>
          <w:szCs w:val="18"/>
        </w:rPr>
        <w:t xml:space="preserve"> to</w:t>
      </w:r>
      <w:r>
        <w:rPr>
          <w:rFonts w:cs="Verdana"/>
          <w:szCs w:val="18"/>
        </w:rPr>
        <w:t xml:space="preserve"> </w:t>
      </w:r>
      <w:r w:rsidRPr="001E39C3">
        <w:rPr>
          <w:rFonts w:cs="Verdana"/>
          <w:szCs w:val="18"/>
          <w:u w:val="single"/>
        </w:rPr>
        <w:t>convey</w:t>
      </w:r>
      <w:r>
        <w:rPr>
          <w:rFonts w:cs="Verdana"/>
          <w:szCs w:val="18"/>
        </w:rPr>
        <w:t xml:space="preserve"> it, which only evidence of an actual </w:t>
      </w:r>
      <w:r w:rsidR="005E0EFF">
        <w:rPr>
          <w:rFonts w:cs="Verdana"/>
          <w:szCs w:val="18"/>
        </w:rPr>
        <w:t xml:space="preserve">payment </w:t>
      </w:r>
      <w:r>
        <w:rPr>
          <w:rFonts w:cs="Verdana"/>
          <w:szCs w:val="18"/>
        </w:rPr>
        <w:t>can</w:t>
      </w:r>
      <w:r w:rsidR="0026308F">
        <w:rPr>
          <w:rFonts w:cs="Verdana"/>
          <w:szCs w:val="18"/>
        </w:rPr>
        <w:t xml:space="preserve"> demonstrate</w:t>
      </w:r>
      <w:r>
        <w:rPr>
          <w:rFonts w:cs="Verdana"/>
          <w:szCs w:val="18"/>
        </w:rPr>
        <w:t>.</w:t>
      </w:r>
      <w:r>
        <w:rPr>
          <w:rStyle w:val="FootnoteReference"/>
          <w:rFonts w:cs="Verdana"/>
          <w:szCs w:val="18"/>
        </w:rPr>
        <w:footnoteReference w:id="47"/>
      </w:r>
      <w:r w:rsidRPr="000841C8">
        <w:rPr>
          <w:rFonts w:cs="Verdana"/>
          <w:szCs w:val="18"/>
        </w:rPr>
        <w:t xml:space="preserve"> </w:t>
      </w:r>
      <w:r>
        <w:rPr>
          <w:rFonts w:cs="Verdana"/>
          <w:szCs w:val="18"/>
        </w:rPr>
        <w:t xml:space="preserve"> </w:t>
      </w:r>
    </w:p>
    <w:p w14:paraId="60CB0FEC" w14:textId="1ACB1F4B" w:rsidR="002C3CDF" w:rsidRPr="005D3C24" w:rsidRDefault="002A7F83" w:rsidP="00E42375">
      <w:pPr>
        <w:pStyle w:val="P1-N1Paragraph1-Number1"/>
      </w:pPr>
      <w:r w:rsidRPr="00C64170">
        <w:rPr>
          <w:rFonts w:cs="Verdana"/>
          <w:szCs w:val="18"/>
        </w:rPr>
        <w:t xml:space="preserve">Australia disagrees.  </w:t>
      </w:r>
      <w:r w:rsidR="002C3CDF" w:rsidRPr="00C64170">
        <w:rPr>
          <w:rFonts w:cs="Verdana"/>
          <w:szCs w:val="18"/>
        </w:rPr>
        <w:t>P</w:t>
      </w:r>
      <w:r w:rsidR="00943369">
        <w:rPr>
          <w:rFonts w:cs="Verdana"/>
          <w:szCs w:val="18"/>
        </w:rPr>
        <w:t>rior p</w:t>
      </w:r>
      <w:r w:rsidR="002C3CDF" w:rsidRPr="00C64170">
        <w:rPr>
          <w:rFonts w:cs="Verdana"/>
          <w:szCs w:val="18"/>
        </w:rPr>
        <w:t>anel and Appellate Body de</w:t>
      </w:r>
      <w:r w:rsidR="00943369">
        <w:rPr>
          <w:rFonts w:cs="Verdana"/>
          <w:szCs w:val="18"/>
        </w:rPr>
        <w:t>cisions</w:t>
      </w:r>
      <w:r w:rsidR="002C3CDF" w:rsidRPr="00C64170">
        <w:rPr>
          <w:rFonts w:cs="Verdana"/>
          <w:szCs w:val="18"/>
        </w:rPr>
        <w:t xml:space="preserve"> support </w:t>
      </w:r>
      <w:r w:rsidR="00FA3716">
        <w:rPr>
          <w:rFonts w:cs="Verdana"/>
          <w:szCs w:val="18"/>
        </w:rPr>
        <w:t>our</w:t>
      </w:r>
      <w:r w:rsidR="002C3CDF" w:rsidRPr="00C64170">
        <w:rPr>
          <w:rFonts w:cs="Verdana"/>
          <w:szCs w:val="18"/>
        </w:rPr>
        <w:t xml:space="preserve"> understanding </w:t>
      </w:r>
      <w:r w:rsidR="00FA3716">
        <w:rPr>
          <w:rFonts w:cs="Verdana"/>
          <w:szCs w:val="18"/>
        </w:rPr>
        <w:t xml:space="preserve">that the </w:t>
      </w:r>
      <w:r w:rsidR="00FA3716">
        <w:rPr>
          <w:rFonts w:cs="Verdana"/>
          <w:szCs w:val="18"/>
          <w:u w:val="single"/>
        </w:rPr>
        <w:t>provision</w:t>
      </w:r>
      <w:r w:rsidR="00FA3716">
        <w:rPr>
          <w:rFonts w:cs="Verdana"/>
          <w:szCs w:val="18"/>
        </w:rPr>
        <w:t xml:space="preserve"> of a subsidy involves conduct whereby a government makes financial resources available.</w:t>
      </w:r>
      <w:r w:rsidR="00FA3716" w:rsidRPr="00BF54B1">
        <w:rPr>
          <w:rStyle w:val="FootnoteReference"/>
          <w:rFonts w:cs="Verdana"/>
          <w:szCs w:val="18"/>
        </w:rPr>
        <w:footnoteReference w:id="48"/>
      </w:r>
      <w:r w:rsidR="00FA3716">
        <w:rPr>
          <w:rFonts w:cs="Verdana"/>
          <w:szCs w:val="18"/>
        </w:rPr>
        <w:t xml:space="preserve">  This does </w:t>
      </w:r>
      <w:r w:rsidR="00FA3716" w:rsidRPr="00772E0C">
        <w:rPr>
          <w:rFonts w:cs="Verdana"/>
          <w:szCs w:val="18"/>
          <w:u w:val="single"/>
        </w:rPr>
        <w:t>not</w:t>
      </w:r>
      <w:r w:rsidR="00FA3716">
        <w:rPr>
          <w:rFonts w:cs="Verdana"/>
          <w:szCs w:val="18"/>
        </w:rPr>
        <w:t xml:space="preserve"> require evidence of actual payments</w:t>
      </w:r>
      <w:r w:rsidR="002C3CDF" w:rsidRPr="00C64170">
        <w:rPr>
          <w:rFonts w:cs="Verdana"/>
          <w:szCs w:val="18"/>
        </w:rPr>
        <w:t xml:space="preserve">.  </w:t>
      </w:r>
      <w:r w:rsidR="00FA3716">
        <w:rPr>
          <w:rFonts w:cs="Verdana"/>
          <w:szCs w:val="18"/>
        </w:rPr>
        <w:t>A government's provision of</w:t>
      </w:r>
      <w:r w:rsidRPr="00C64170">
        <w:rPr>
          <w:rFonts w:cs="Verdana"/>
          <w:szCs w:val="18"/>
        </w:rPr>
        <w:t xml:space="preserve"> legislative authority</w:t>
      </w:r>
      <w:r w:rsidR="00FA3716">
        <w:rPr>
          <w:rFonts w:cs="Verdana"/>
          <w:szCs w:val="18"/>
        </w:rPr>
        <w:t>, or evidence of relevant</w:t>
      </w:r>
      <w:r w:rsidRPr="00C64170">
        <w:rPr>
          <w:rFonts w:cs="Verdana"/>
          <w:szCs w:val="18"/>
        </w:rPr>
        <w:t xml:space="preserve"> budgetary allocations, </w:t>
      </w:r>
      <w:r w:rsidR="00FA3716">
        <w:rPr>
          <w:rFonts w:cs="Verdana"/>
          <w:szCs w:val="18"/>
        </w:rPr>
        <w:t>is sufficient</w:t>
      </w:r>
      <w:r w:rsidR="002C3CDF" w:rsidRPr="00C64170">
        <w:rPr>
          <w:rFonts w:cs="Verdana"/>
          <w:szCs w:val="18"/>
        </w:rPr>
        <w:t>.</w:t>
      </w:r>
      <w:r w:rsidR="00FA3716">
        <w:rPr>
          <w:rStyle w:val="FootnoteReference"/>
          <w:rFonts w:cs="Verdana"/>
          <w:szCs w:val="18"/>
        </w:rPr>
        <w:footnoteReference w:id="49"/>
      </w:r>
      <w:r w:rsidRPr="00C64170">
        <w:rPr>
          <w:rFonts w:cs="Verdana"/>
          <w:szCs w:val="18"/>
        </w:rPr>
        <w:t xml:space="preserve">  </w:t>
      </w:r>
    </w:p>
    <w:p w14:paraId="7F250386" w14:textId="3949F63F" w:rsidR="007A6A24" w:rsidRDefault="00EA68A6" w:rsidP="007E7D07">
      <w:pPr>
        <w:pStyle w:val="P1-N1Paragraph1-Number1"/>
      </w:pPr>
      <w:r>
        <w:rPr>
          <w:rFonts w:cs="Verdana"/>
          <w:szCs w:val="18"/>
        </w:rPr>
        <w:t>In</w:t>
      </w:r>
      <w:r w:rsidR="007E7D07">
        <w:rPr>
          <w:rFonts w:cs="Verdana"/>
          <w:szCs w:val="18"/>
        </w:rPr>
        <w:t xml:space="preserve"> its second written submission</w:t>
      </w:r>
      <w:r w:rsidR="00943369">
        <w:rPr>
          <w:rFonts w:cs="Verdana"/>
          <w:szCs w:val="18"/>
        </w:rPr>
        <w:t>,</w:t>
      </w:r>
      <w:r w:rsidR="007E7D07">
        <w:rPr>
          <w:rFonts w:cs="Verdana"/>
          <w:szCs w:val="18"/>
        </w:rPr>
        <w:t xml:space="preserve"> </w:t>
      </w:r>
      <w:r>
        <w:rPr>
          <w:rFonts w:cs="Verdana"/>
          <w:szCs w:val="18"/>
        </w:rPr>
        <w:t xml:space="preserve">India continues </w:t>
      </w:r>
      <w:r w:rsidR="007E7D07">
        <w:rPr>
          <w:rFonts w:cs="Verdana"/>
          <w:szCs w:val="18"/>
        </w:rPr>
        <w:t xml:space="preserve">to draw heavily on </w:t>
      </w:r>
      <w:r w:rsidR="007D639C">
        <w:rPr>
          <w:rFonts w:cs="Verdana"/>
          <w:szCs w:val="18"/>
        </w:rPr>
        <w:t xml:space="preserve">the </w:t>
      </w:r>
      <w:r w:rsidR="000B3ECA">
        <w:rPr>
          <w:rFonts w:cs="Verdana"/>
          <w:szCs w:val="18"/>
        </w:rPr>
        <w:t>subsidy definition in</w:t>
      </w:r>
      <w:r w:rsidR="007E7D07">
        <w:rPr>
          <w:rFonts w:cs="Verdana"/>
          <w:szCs w:val="18"/>
        </w:rPr>
        <w:t xml:space="preserve"> Article 1.1 of the SCM Agreement</w:t>
      </w:r>
      <w:r w:rsidR="00E9505F">
        <w:rPr>
          <w:rFonts w:cs="Verdana"/>
          <w:szCs w:val="18"/>
        </w:rPr>
        <w:t xml:space="preserve"> to defend its measures</w:t>
      </w:r>
      <w:r w:rsidR="007E7D07">
        <w:rPr>
          <w:rFonts w:cs="Verdana"/>
          <w:szCs w:val="18"/>
        </w:rPr>
        <w:t>.</w:t>
      </w:r>
      <w:r w:rsidR="002F2D2D">
        <w:rPr>
          <w:rStyle w:val="FootnoteReference"/>
          <w:rFonts w:cs="Verdana"/>
          <w:szCs w:val="18"/>
        </w:rPr>
        <w:footnoteReference w:id="50"/>
      </w:r>
      <w:r w:rsidR="007E7D07">
        <w:rPr>
          <w:rFonts w:cs="Verdana"/>
          <w:szCs w:val="18"/>
        </w:rPr>
        <w:t xml:space="preserve">  Australia </w:t>
      </w:r>
      <w:r w:rsidR="007D639C">
        <w:rPr>
          <w:rFonts w:cs="Verdana"/>
          <w:szCs w:val="18"/>
        </w:rPr>
        <w:t>agrees</w:t>
      </w:r>
      <w:r w:rsidR="007E7D07">
        <w:rPr>
          <w:rFonts w:cs="Verdana"/>
          <w:szCs w:val="18"/>
        </w:rPr>
        <w:t xml:space="preserve"> </w:t>
      </w:r>
      <w:r w:rsidR="000B3ECA">
        <w:rPr>
          <w:rFonts w:cs="Verdana"/>
          <w:szCs w:val="18"/>
        </w:rPr>
        <w:t xml:space="preserve">that </w:t>
      </w:r>
      <w:r w:rsidR="005E0EFF">
        <w:rPr>
          <w:rFonts w:cs="Verdana"/>
          <w:szCs w:val="18"/>
        </w:rPr>
        <w:t xml:space="preserve">this </w:t>
      </w:r>
      <w:r w:rsidR="000B3ECA">
        <w:rPr>
          <w:rFonts w:cs="Verdana"/>
          <w:szCs w:val="18"/>
        </w:rPr>
        <w:t xml:space="preserve">definition </w:t>
      </w:r>
      <w:r w:rsidR="007D639C">
        <w:rPr>
          <w:rFonts w:cs="Verdana"/>
          <w:szCs w:val="18"/>
        </w:rPr>
        <w:t>is</w:t>
      </w:r>
      <w:r w:rsidR="005E0EFF">
        <w:rPr>
          <w:rFonts w:cs="Verdana"/>
          <w:szCs w:val="18"/>
        </w:rPr>
        <w:t xml:space="preserve"> contextually</w:t>
      </w:r>
      <w:r w:rsidR="007D639C">
        <w:rPr>
          <w:rFonts w:cs="Verdana"/>
          <w:szCs w:val="18"/>
        </w:rPr>
        <w:t xml:space="preserve"> relevant </w:t>
      </w:r>
      <w:r w:rsidR="000B3ECA">
        <w:rPr>
          <w:rFonts w:cs="Verdana"/>
          <w:szCs w:val="18"/>
        </w:rPr>
        <w:t>to the</w:t>
      </w:r>
      <w:r w:rsidR="007E7D07">
        <w:rPr>
          <w:rFonts w:cs="Verdana"/>
          <w:szCs w:val="18"/>
        </w:rPr>
        <w:t xml:space="preserve"> meaning of "subsidy" in the Agreement on Agriculture.  However, we </w:t>
      </w:r>
      <w:r w:rsidR="00943369">
        <w:rPr>
          <w:rFonts w:cs="Verdana"/>
          <w:szCs w:val="18"/>
        </w:rPr>
        <w:t xml:space="preserve">do </w:t>
      </w:r>
      <w:r w:rsidR="007E7D07">
        <w:rPr>
          <w:rFonts w:cs="Verdana"/>
          <w:szCs w:val="18"/>
        </w:rPr>
        <w:t xml:space="preserve">not accept that any </w:t>
      </w:r>
      <w:r w:rsidR="009471F4">
        <w:rPr>
          <w:rFonts w:cs="Verdana"/>
          <w:szCs w:val="18"/>
        </w:rPr>
        <w:t xml:space="preserve">part </w:t>
      </w:r>
      <w:r w:rsidR="007E7D07">
        <w:rPr>
          <w:rFonts w:cs="Verdana"/>
          <w:szCs w:val="18"/>
        </w:rPr>
        <w:t>of Article 1.1 supports India's conclusion that its measures are not subsidies.</w:t>
      </w:r>
    </w:p>
    <w:p w14:paraId="3F5F2C1F" w14:textId="372C4285" w:rsidR="00876159" w:rsidRDefault="0041004D" w:rsidP="0034617A">
      <w:pPr>
        <w:pStyle w:val="P1-N1Paragraph1-Number1"/>
      </w:pPr>
      <w:r>
        <w:t xml:space="preserve">As </w:t>
      </w:r>
      <w:r w:rsidR="007E7D07">
        <w:t>Brazil has identified</w:t>
      </w:r>
      <w:r>
        <w:t>, India has</w:t>
      </w:r>
      <w:r w:rsidR="007E7D07">
        <w:t xml:space="preserve"> retreat</w:t>
      </w:r>
      <w:r>
        <w:t>ed</w:t>
      </w:r>
      <w:r w:rsidR="007E7D07">
        <w:t xml:space="preserve"> from its earlier </w:t>
      </w:r>
      <w:r>
        <w:t>position</w:t>
      </w:r>
      <w:r w:rsidR="007E7D07">
        <w:t xml:space="preserve"> that the </w:t>
      </w:r>
      <w:r w:rsidR="00E9505F">
        <w:t xml:space="preserve">phrase </w:t>
      </w:r>
      <w:r w:rsidR="007E7D07">
        <w:t xml:space="preserve">"there </w:t>
      </w:r>
      <w:r w:rsidR="007E7D07" w:rsidRPr="00C64170">
        <w:t>is</w:t>
      </w:r>
      <w:r w:rsidR="007E7D07">
        <w:t xml:space="preserve"> a financial contribution"</w:t>
      </w:r>
      <w:r>
        <w:t xml:space="preserve"> in Article 1.1(a)(1)</w:t>
      </w:r>
      <w:r w:rsidR="007E7D07">
        <w:t xml:space="preserve"> indicate</w:t>
      </w:r>
      <w:r w:rsidR="00E9505F">
        <w:t>s</w:t>
      </w:r>
      <w:r w:rsidR="007E7D07">
        <w:t xml:space="preserve"> that </w:t>
      </w:r>
      <w:r w:rsidR="005E0EFF">
        <w:t>demonstrating the existence of a</w:t>
      </w:r>
      <w:r w:rsidR="00876159">
        <w:t xml:space="preserve"> subsidy </w:t>
      </w:r>
      <w:r w:rsidR="00E9505F">
        <w:t>requires</w:t>
      </w:r>
      <w:r w:rsidR="005E0EFF">
        <w:t xml:space="preserve"> evidence of </w:t>
      </w:r>
      <w:r w:rsidR="00876159">
        <w:t>actual funds transfers</w:t>
      </w:r>
      <w:r>
        <w:t xml:space="preserve">.  Having conceded that </w:t>
      </w:r>
      <w:r w:rsidRPr="00876159">
        <w:rPr>
          <w:u w:val="single"/>
        </w:rPr>
        <w:t>potential</w:t>
      </w:r>
      <w:r>
        <w:t xml:space="preserve"> funds transfers </w:t>
      </w:r>
      <w:r w:rsidRPr="00C64170">
        <w:rPr>
          <w:u w:val="single"/>
        </w:rPr>
        <w:t>may</w:t>
      </w:r>
      <w:r>
        <w:t xml:space="preserve"> constitute financial contribution</w:t>
      </w:r>
      <w:r w:rsidR="00876159">
        <w:t>s</w:t>
      </w:r>
      <w:r>
        <w:t xml:space="preserve"> </w:t>
      </w:r>
      <w:r w:rsidR="00876159">
        <w:t>for the purposes of a subsidy</w:t>
      </w:r>
      <w:r>
        <w:t xml:space="preserve">, </w:t>
      </w:r>
      <w:r w:rsidRPr="0041004D">
        <w:t>India</w:t>
      </w:r>
      <w:r>
        <w:t xml:space="preserve"> has shifted its focus to the </w:t>
      </w:r>
      <w:r>
        <w:rPr>
          <w:u w:val="single"/>
        </w:rPr>
        <w:t>type</w:t>
      </w:r>
      <w:r>
        <w:t xml:space="preserve"> of contribution its measures involve. </w:t>
      </w:r>
      <w:r w:rsidR="0054061E">
        <w:t xml:space="preserve"> </w:t>
      </w:r>
    </w:p>
    <w:p w14:paraId="5407B9B1" w14:textId="28682726" w:rsidR="00614C61" w:rsidRDefault="00876159" w:rsidP="0034617A">
      <w:pPr>
        <w:pStyle w:val="P1-N1Paragraph1-Number1"/>
      </w:pPr>
      <w:r>
        <w:lastRenderedPageBreak/>
        <w:t xml:space="preserve">India underscores </w:t>
      </w:r>
      <w:r w:rsidR="00682A09">
        <w:t xml:space="preserve">the </w:t>
      </w:r>
      <w:r>
        <w:t>description</w:t>
      </w:r>
      <w:r w:rsidR="00682A09">
        <w:t xml:space="preserve"> by Australia, Brazil and Guatemala</w:t>
      </w:r>
      <w:r>
        <w:t xml:space="preserve"> of the challenged </w:t>
      </w:r>
      <w:r w:rsidR="000B712A">
        <w:t>measures as</w:t>
      </w:r>
      <w:r>
        <w:t xml:space="preserve"> </w:t>
      </w:r>
      <w:r w:rsidR="000B712A">
        <w:t>"</w:t>
      </w:r>
      <w:r w:rsidR="000B712A" w:rsidRPr="00225AA0">
        <w:rPr>
          <w:u w:val="single"/>
        </w:rPr>
        <w:t>grants</w:t>
      </w:r>
      <w:r w:rsidR="000B712A">
        <w:t>"</w:t>
      </w:r>
      <w:r w:rsidR="00045AE0">
        <w:rPr>
          <w:rStyle w:val="FootnoteReference"/>
        </w:rPr>
        <w:footnoteReference w:id="51"/>
      </w:r>
      <w:r>
        <w:t xml:space="preserve"> and argues that</w:t>
      </w:r>
      <w:r w:rsidR="007D639C">
        <w:t>,</w:t>
      </w:r>
      <w:r>
        <w:t xml:space="preserve"> b</w:t>
      </w:r>
      <w:r w:rsidR="00320776">
        <w:t>ecause</w:t>
      </w:r>
      <w:r>
        <w:t xml:space="preserve"> the SCM Agreement characterises</w:t>
      </w:r>
      <w:r w:rsidR="00320776">
        <w:t xml:space="preserve"> a "grant" </w:t>
      </w:r>
      <w:r>
        <w:t xml:space="preserve">as </w:t>
      </w:r>
      <w:r w:rsidR="00320776">
        <w:t xml:space="preserve">a </w:t>
      </w:r>
      <w:r w:rsidR="00320776" w:rsidRPr="00614C61">
        <w:rPr>
          <w:u w:val="single"/>
        </w:rPr>
        <w:t>direct</w:t>
      </w:r>
      <w:r w:rsidR="00320776">
        <w:t xml:space="preserve"> funds transfer,</w:t>
      </w:r>
      <w:r>
        <w:t xml:space="preserve"> </w:t>
      </w:r>
      <w:r w:rsidR="00320776">
        <w:t xml:space="preserve">its existence </w:t>
      </w:r>
      <w:r w:rsidR="00614C61">
        <w:t>depend</w:t>
      </w:r>
      <w:r w:rsidR="00315278">
        <w:t>s</w:t>
      </w:r>
      <w:r w:rsidR="00614C61">
        <w:t xml:space="preserve"> on the execution of </w:t>
      </w:r>
      <w:r w:rsidR="00320776">
        <w:t>an actual payment.</w:t>
      </w:r>
      <w:r>
        <w:rPr>
          <w:rStyle w:val="FootnoteReference"/>
        </w:rPr>
        <w:footnoteReference w:id="52"/>
      </w:r>
      <w:r w:rsidR="00320776">
        <w:t xml:space="preserve">  </w:t>
      </w:r>
    </w:p>
    <w:p w14:paraId="6BA442BB" w14:textId="5D4F6F8A" w:rsidR="002C18A3" w:rsidRDefault="00FD7476">
      <w:pPr>
        <w:pStyle w:val="P1-N1Paragraph1-Number1"/>
      </w:pPr>
      <w:r>
        <w:t xml:space="preserve">Australia disagrees. </w:t>
      </w:r>
      <w:r w:rsidR="00956140">
        <w:t xml:space="preserve">The examples of "financial contributions" </w:t>
      </w:r>
      <w:r w:rsidR="004320B7">
        <w:t>in Article 1.1(a)(</w:t>
      </w:r>
      <w:r w:rsidR="00C314CA">
        <w:t>1</w:t>
      </w:r>
      <w:r w:rsidR="004320B7">
        <w:t xml:space="preserve">) of </w:t>
      </w:r>
      <w:r w:rsidR="00956140">
        <w:t>the SCM Agreement</w:t>
      </w:r>
      <w:r>
        <w:t xml:space="preserve"> </w:t>
      </w:r>
      <w:r w:rsidR="00956140">
        <w:t>are</w:t>
      </w:r>
      <w:r w:rsidR="002A53BE">
        <w:t xml:space="preserve"> </w:t>
      </w:r>
      <w:r w:rsidR="00956140">
        <w:t>jus</w:t>
      </w:r>
      <w:r w:rsidR="00C3312B">
        <w:t>t that</w:t>
      </w:r>
      <w:r w:rsidR="004320B7">
        <w:t xml:space="preserve"> – examples</w:t>
      </w:r>
      <w:r w:rsidR="002A53BE">
        <w:t xml:space="preserve">. </w:t>
      </w:r>
      <w:r w:rsidR="00C3312B">
        <w:t>India</w:t>
      </w:r>
      <w:r w:rsidR="005E0EFF">
        <w:t>,</w:t>
      </w:r>
      <w:r w:rsidR="002A53BE">
        <w:t xml:space="preserve"> disproportionately</w:t>
      </w:r>
      <w:r w:rsidR="00C3312B">
        <w:t xml:space="preserve"> preoccupied </w:t>
      </w:r>
      <w:r w:rsidR="00956140">
        <w:t>with distinction</w:t>
      </w:r>
      <w:r w:rsidR="00C64170">
        <w:t>s</w:t>
      </w:r>
      <w:r w:rsidR="002A53BE">
        <w:t xml:space="preserve"> </w:t>
      </w:r>
      <w:r w:rsidR="00956140">
        <w:t>between direct and potential direct transfers</w:t>
      </w:r>
      <w:r w:rsidR="005E0EFF">
        <w:t>,</w:t>
      </w:r>
      <w:r w:rsidR="00C64170">
        <w:t xml:space="preserve"> </w:t>
      </w:r>
      <w:r w:rsidR="005E0EFF">
        <w:t xml:space="preserve">fails to appreciate </w:t>
      </w:r>
      <w:r w:rsidR="001A17C8">
        <w:t xml:space="preserve">the reference to "grants" in </w:t>
      </w:r>
      <w:r>
        <w:t xml:space="preserve">Article 1.1 </w:t>
      </w:r>
      <w:r w:rsidR="005E0EFF">
        <w:t>as</w:t>
      </w:r>
      <w:r w:rsidR="001A17C8">
        <w:t xml:space="preserve"> one </w:t>
      </w:r>
      <w:r w:rsidR="005E0EFF">
        <w:t>of</w:t>
      </w:r>
      <w:r w:rsidR="00571BB7">
        <w:t xml:space="preserve"> the</w:t>
      </w:r>
      <w:r w:rsidR="005E0EFF">
        <w:t xml:space="preserve"> many </w:t>
      </w:r>
      <w:r w:rsidR="001A17C8">
        <w:t>example</w:t>
      </w:r>
      <w:r w:rsidR="005E0EFF">
        <w:t>s</w:t>
      </w:r>
      <w:r w:rsidR="001A17C8">
        <w:t xml:space="preserve"> </w:t>
      </w:r>
      <w:r w:rsidR="005E0EFF">
        <w:t>that together illustrate</w:t>
      </w:r>
      <w:r w:rsidR="001A17C8">
        <w:t xml:space="preserve"> </w:t>
      </w:r>
      <w:r>
        <w:t xml:space="preserve">the </w:t>
      </w:r>
      <w:r w:rsidR="001A17C8">
        <w:t>variety of</w:t>
      </w:r>
      <w:r w:rsidR="00956140">
        <w:t xml:space="preserve"> government</w:t>
      </w:r>
      <w:r>
        <w:t xml:space="preserve"> </w:t>
      </w:r>
      <w:r w:rsidR="001A17C8">
        <w:t>practices that involve the transfer of financial resources</w:t>
      </w:r>
      <w:r w:rsidR="00956140">
        <w:t xml:space="preserve"> </w:t>
      </w:r>
      <w:r w:rsidR="00F06431">
        <w:t>to a recipient</w:t>
      </w:r>
      <w:r w:rsidR="00956140">
        <w:t>.</w:t>
      </w:r>
      <w:r w:rsidR="00F06431">
        <w:rPr>
          <w:rStyle w:val="FootnoteReference"/>
        </w:rPr>
        <w:footnoteReference w:id="53"/>
      </w:r>
      <w:r w:rsidR="00C314CA">
        <w:t xml:space="preserve"> </w:t>
      </w:r>
      <w:r w:rsidR="00956140">
        <w:t xml:space="preserve"> </w:t>
      </w:r>
      <w:r w:rsidR="008D583D">
        <w:t xml:space="preserve"> </w:t>
      </w:r>
    </w:p>
    <w:p w14:paraId="33F2C3E1" w14:textId="48137603" w:rsidR="00FA6FC4" w:rsidRDefault="00D07AB1" w:rsidP="003A3037">
      <w:pPr>
        <w:pStyle w:val="P1-N1Paragraph1-Number1"/>
      </w:pPr>
      <w:r>
        <w:t>India</w:t>
      </w:r>
      <w:r w:rsidR="00315278">
        <w:t xml:space="preserve"> </w:t>
      </w:r>
      <w:r w:rsidR="00632E74">
        <w:t xml:space="preserve">also </w:t>
      </w:r>
      <w:r w:rsidR="001A17C8">
        <w:t>suggests</w:t>
      </w:r>
      <w:r w:rsidR="003A3037">
        <w:t xml:space="preserve"> that Australia and Guatemala</w:t>
      </w:r>
      <w:r w:rsidR="00315278">
        <w:t xml:space="preserve">, in arguing evidence of actual payments is not required, </w:t>
      </w:r>
      <w:r w:rsidR="004C0F58">
        <w:t>are too selective in their consideration of</w:t>
      </w:r>
      <w:r w:rsidR="00315278">
        <w:t xml:space="preserve"> a</w:t>
      </w:r>
      <w:r w:rsidR="00E57538">
        <w:t xml:space="preserve"> </w:t>
      </w:r>
      <w:r w:rsidR="00315278">
        <w:t xml:space="preserve">compliance panel </w:t>
      </w:r>
      <w:r w:rsidR="001A17C8">
        <w:t>decision</w:t>
      </w:r>
      <w:r w:rsidR="00462897">
        <w:t xml:space="preserve"> i</w:t>
      </w:r>
      <w:r w:rsidR="00B51BA9">
        <w:t xml:space="preserve">n </w:t>
      </w:r>
      <w:r w:rsidR="00B51BA9">
        <w:rPr>
          <w:i/>
        </w:rPr>
        <w:t>EC and certain member States – Large Civil Aircraft</w:t>
      </w:r>
      <w:r w:rsidR="00462897">
        <w:rPr>
          <w:i/>
        </w:rPr>
        <w:t xml:space="preserve"> (Article 21.5 – United States)</w:t>
      </w:r>
      <w:r w:rsidR="001A17C8">
        <w:rPr>
          <w:iCs/>
        </w:rPr>
        <w:t>.</w:t>
      </w:r>
      <w:r w:rsidR="001A17C8">
        <w:t xml:space="preserve">  Australia and Guatemala highlight th</w:t>
      </w:r>
      <w:r w:rsidR="004C0F58">
        <w:t xml:space="preserve">at </w:t>
      </w:r>
      <w:r w:rsidR="001A17C8">
        <w:t xml:space="preserve">panel's </w:t>
      </w:r>
      <w:r w:rsidR="00A621DD">
        <w:t>consideration</w:t>
      </w:r>
      <w:r w:rsidR="001A17C8">
        <w:t xml:space="preserve"> of</w:t>
      </w:r>
      <w:r w:rsidR="00462897">
        <w:t xml:space="preserve"> </w:t>
      </w:r>
      <w:r w:rsidR="00B92BAD" w:rsidRPr="006A4B6D">
        <w:rPr>
          <w:u w:val="single"/>
        </w:rPr>
        <w:t>future</w:t>
      </w:r>
      <w:r w:rsidR="00B92BAD">
        <w:t xml:space="preserve"> </w:t>
      </w:r>
      <w:r w:rsidR="00FA6FC4">
        <w:t xml:space="preserve">funds </w:t>
      </w:r>
      <w:r w:rsidR="00B92BAD">
        <w:t>disbursement</w:t>
      </w:r>
      <w:r w:rsidR="00FA6FC4">
        <w:t>s</w:t>
      </w:r>
      <w:r>
        <w:t xml:space="preserve"> </w:t>
      </w:r>
      <w:r w:rsidR="00B51BA9">
        <w:t>as</w:t>
      </w:r>
      <w:r>
        <w:t xml:space="preserve"> </w:t>
      </w:r>
      <w:r w:rsidRPr="006A4B6D">
        <w:rPr>
          <w:u w:val="single"/>
        </w:rPr>
        <w:t>direct</w:t>
      </w:r>
      <w:r>
        <w:t xml:space="preserve"> </w:t>
      </w:r>
      <w:r w:rsidR="00FA6FC4">
        <w:t>f</w:t>
      </w:r>
      <w:r>
        <w:t>unds</w:t>
      </w:r>
      <w:r w:rsidR="00FA6FC4">
        <w:t xml:space="preserve"> transfers</w:t>
      </w:r>
      <w:r w:rsidR="004C0F58">
        <w:t>,</w:t>
      </w:r>
      <w:r w:rsidR="00462897">
        <w:rPr>
          <w:rStyle w:val="FootnoteReference"/>
        </w:rPr>
        <w:footnoteReference w:id="54"/>
      </w:r>
      <w:r w:rsidR="004C0F58">
        <w:t xml:space="preserve"> which, </w:t>
      </w:r>
      <w:r w:rsidR="00315278">
        <w:t xml:space="preserve">India claims, </w:t>
      </w:r>
      <w:r w:rsidR="003A3037">
        <w:t>is inconsistent with</w:t>
      </w:r>
      <w:r w:rsidR="00315278">
        <w:t xml:space="preserve"> </w:t>
      </w:r>
      <w:r w:rsidR="003A3037">
        <w:t>the</w:t>
      </w:r>
      <w:r>
        <w:t xml:space="preserve"> </w:t>
      </w:r>
      <w:r w:rsidR="009F4134" w:rsidRPr="003A3037">
        <w:rPr>
          <w:rFonts w:cs="Verdana"/>
          <w:szCs w:val="18"/>
        </w:rPr>
        <w:t xml:space="preserve">original </w:t>
      </w:r>
      <w:r w:rsidR="003A3037">
        <w:rPr>
          <w:rFonts w:cs="Verdana"/>
          <w:szCs w:val="18"/>
        </w:rPr>
        <w:t>panel</w:t>
      </w:r>
      <w:r w:rsidR="00315278">
        <w:rPr>
          <w:rFonts w:cs="Verdana"/>
          <w:szCs w:val="18"/>
        </w:rPr>
        <w:t>'s</w:t>
      </w:r>
      <w:r w:rsidR="003A3037">
        <w:rPr>
          <w:rFonts w:cs="Verdana"/>
          <w:szCs w:val="18"/>
        </w:rPr>
        <w:t xml:space="preserve"> </w:t>
      </w:r>
      <w:r w:rsidR="00315278">
        <w:rPr>
          <w:rFonts w:cs="Verdana"/>
          <w:szCs w:val="18"/>
        </w:rPr>
        <w:t xml:space="preserve">finding that </w:t>
      </w:r>
      <w:r w:rsidR="003A3037">
        <w:rPr>
          <w:rFonts w:cs="Verdana"/>
          <w:szCs w:val="18"/>
        </w:rPr>
        <w:t xml:space="preserve">funds </w:t>
      </w:r>
      <w:r w:rsidR="009F4134" w:rsidRPr="003A3037">
        <w:rPr>
          <w:rFonts w:cs="Verdana"/>
          <w:szCs w:val="18"/>
        </w:rPr>
        <w:t xml:space="preserve">yet </w:t>
      </w:r>
      <w:r w:rsidR="003A3037">
        <w:rPr>
          <w:rFonts w:cs="Verdana"/>
          <w:szCs w:val="18"/>
        </w:rPr>
        <w:t>to be</w:t>
      </w:r>
      <w:r w:rsidR="00632E74">
        <w:rPr>
          <w:rFonts w:cs="Verdana"/>
          <w:szCs w:val="18"/>
        </w:rPr>
        <w:t xml:space="preserve"> </w:t>
      </w:r>
      <w:r w:rsidR="00116142" w:rsidRPr="00E42375">
        <w:rPr>
          <w:rFonts w:cs="Verdana"/>
          <w:szCs w:val="18"/>
        </w:rPr>
        <w:t xml:space="preserve">disbursed </w:t>
      </w:r>
      <w:r w:rsidR="00315278">
        <w:rPr>
          <w:rFonts w:cs="Verdana"/>
          <w:szCs w:val="18"/>
        </w:rPr>
        <w:t>were</w:t>
      </w:r>
      <w:r w:rsidR="00116142" w:rsidRPr="003A3037">
        <w:rPr>
          <w:rFonts w:cs="Verdana"/>
          <w:szCs w:val="18"/>
        </w:rPr>
        <w:t xml:space="preserve"> </w:t>
      </w:r>
      <w:r w:rsidR="00C314CA" w:rsidRPr="003A3037">
        <w:rPr>
          <w:rFonts w:cs="Verdana"/>
          <w:szCs w:val="18"/>
        </w:rPr>
        <w:t>"</w:t>
      </w:r>
      <w:r w:rsidR="00116142" w:rsidRPr="003A3037">
        <w:rPr>
          <w:rFonts w:cs="Verdana"/>
          <w:szCs w:val="18"/>
          <w:u w:val="single"/>
        </w:rPr>
        <w:t>potential</w:t>
      </w:r>
      <w:r w:rsidR="00116142" w:rsidRPr="003A3037">
        <w:rPr>
          <w:rFonts w:cs="Verdana"/>
          <w:szCs w:val="18"/>
        </w:rPr>
        <w:t xml:space="preserve"> direct transfer</w:t>
      </w:r>
      <w:r w:rsidR="003A3037">
        <w:rPr>
          <w:rFonts w:cs="Verdana"/>
          <w:szCs w:val="18"/>
        </w:rPr>
        <w:t>s</w:t>
      </w:r>
      <w:r w:rsidR="009F4134" w:rsidRPr="00E42375">
        <w:rPr>
          <w:rFonts w:cs="Verdana"/>
          <w:szCs w:val="18"/>
        </w:rPr>
        <w:t>''.</w:t>
      </w:r>
      <w:r w:rsidR="009F4134">
        <w:rPr>
          <w:rStyle w:val="FootnoteReference"/>
          <w:rFonts w:cs="Verdana"/>
          <w:szCs w:val="18"/>
        </w:rPr>
        <w:footnoteReference w:id="55"/>
      </w:r>
      <w:r w:rsidR="009F4134" w:rsidRPr="003A3037">
        <w:rPr>
          <w:rFonts w:cs="Verdana"/>
          <w:szCs w:val="18"/>
        </w:rPr>
        <w:t xml:space="preserve">  </w:t>
      </w:r>
    </w:p>
    <w:p w14:paraId="75D4676C" w14:textId="0921CC4A" w:rsidR="00225AA0" w:rsidRPr="00924252" w:rsidRDefault="00116142" w:rsidP="00FA6FC4">
      <w:pPr>
        <w:pStyle w:val="P1-N1Paragraph1-Number1"/>
      </w:pPr>
      <w:r w:rsidRPr="00924252">
        <w:rPr>
          <w:rFonts w:cs="Verdana"/>
          <w:szCs w:val="18"/>
        </w:rPr>
        <w:t>Give</w:t>
      </w:r>
      <w:r w:rsidR="00E57538" w:rsidRPr="00924252">
        <w:rPr>
          <w:rFonts w:cs="Verdana"/>
          <w:szCs w:val="18"/>
        </w:rPr>
        <w:t>n th</w:t>
      </w:r>
      <w:r w:rsidR="00943369">
        <w:rPr>
          <w:rFonts w:cs="Verdana"/>
          <w:szCs w:val="18"/>
        </w:rPr>
        <w:t>e</w:t>
      </w:r>
      <w:r w:rsidR="00E57538" w:rsidRPr="00924252">
        <w:rPr>
          <w:rFonts w:cs="Verdana"/>
          <w:szCs w:val="18"/>
        </w:rPr>
        <w:t xml:space="preserve"> </w:t>
      </w:r>
      <w:r w:rsidR="00943369">
        <w:rPr>
          <w:rFonts w:cs="Verdana"/>
          <w:szCs w:val="18"/>
        </w:rPr>
        <w:t xml:space="preserve">factual </w:t>
      </w:r>
      <w:r w:rsidR="00E57538" w:rsidRPr="00924252">
        <w:rPr>
          <w:rFonts w:cs="Verdana"/>
          <w:szCs w:val="18"/>
        </w:rPr>
        <w:t>complexity</w:t>
      </w:r>
      <w:r w:rsidR="00943369">
        <w:rPr>
          <w:rFonts w:cs="Verdana"/>
          <w:szCs w:val="18"/>
        </w:rPr>
        <w:t xml:space="preserve"> of the </w:t>
      </w:r>
      <w:r w:rsidR="00943369" w:rsidRPr="00632E74">
        <w:rPr>
          <w:rFonts w:cs="Verdana"/>
          <w:i/>
          <w:szCs w:val="18"/>
        </w:rPr>
        <w:t>Large Civil Aircraft</w:t>
      </w:r>
      <w:r w:rsidR="00943369" w:rsidRPr="00924252">
        <w:rPr>
          <w:rFonts w:cs="Verdana"/>
          <w:szCs w:val="18"/>
        </w:rPr>
        <w:t xml:space="preserve"> disputes</w:t>
      </w:r>
      <w:r w:rsidR="00E57538" w:rsidRPr="00924252">
        <w:rPr>
          <w:rFonts w:cs="Verdana"/>
          <w:szCs w:val="18"/>
        </w:rPr>
        <w:t>,</w:t>
      </w:r>
      <w:r w:rsidR="00943369">
        <w:rPr>
          <w:rStyle w:val="FootnoteReference"/>
          <w:rFonts w:cs="Verdana"/>
          <w:szCs w:val="18"/>
        </w:rPr>
        <w:footnoteReference w:id="56"/>
      </w:r>
      <w:r w:rsidR="00E57538" w:rsidRPr="00924252">
        <w:rPr>
          <w:rFonts w:cs="Verdana"/>
          <w:szCs w:val="18"/>
        </w:rPr>
        <w:t xml:space="preserve"> what India perceives to be</w:t>
      </w:r>
      <w:r w:rsidR="00571BB7">
        <w:rPr>
          <w:rFonts w:cs="Verdana"/>
          <w:szCs w:val="18"/>
        </w:rPr>
        <w:t xml:space="preserve"> an</w:t>
      </w:r>
      <w:r w:rsidR="00E57538" w:rsidRPr="00924252">
        <w:rPr>
          <w:rFonts w:cs="Verdana"/>
          <w:szCs w:val="18"/>
        </w:rPr>
        <w:t xml:space="preserve"> </w:t>
      </w:r>
      <w:r w:rsidRPr="00924252">
        <w:rPr>
          <w:rFonts w:cs="Verdana"/>
          <w:szCs w:val="18"/>
        </w:rPr>
        <w:t xml:space="preserve">inconsistency </w:t>
      </w:r>
      <w:r w:rsidR="00E57538" w:rsidRPr="00924252">
        <w:rPr>
          <w:rFonts w:cs="Verdana"/>
          <w:szCs w:val="18"/>
        </w:rPr>
        <w:t>between its reading of the panel</w:t>
      </w:r>
      <w:r w:rsidR="005179AB">
        <w:rPr>
          <w:rFonts w:cs="Verdana"/>
          <w:szCs w:val="18"/>
        </w:rPr>
        <w:t>'s</w:t>
      </w:r>
      <w:r w:rsidR="00E57538" w:rsidRPr="00924252">
        <w:rPr>
          <w:rFonts w:cs="Verdana"/>
          <w:szCs w:val="18"/>
        </w:rPr>
        <w:t xml:space="preserve"> determinations and that of the complainants</w:t>
      </w:r>
      <w:r w:rsidRPr="00924252">
        <w:rPr>
          <w:rFonts w:cs="Verdana"/>
          <w:szCs w:val="18"/>
        </w:rPr>
        <w:t xml:space="preserve"> is</w:t>
      </w:r>
      <w:r w:rsidR="00FA6FC4" w:rsidRPr="00924252">
        <w:rPr>
          <w:rFonts w:cs="Verdana"/>
          <w:szCs w:val="18"/>
        </w:rPr>
        <w:t xml:space="preserve"> </w:t>
      </w:r>
      <w:r w:rsidR="00496817" w:rsidRPr="00924252">
        <w:rPr>
          <w:rFonts w:cs="Verdana"/>
          <w:szCs w:val="18"/>
        </w:rPr>
        <w:t>unsurprising</w:t>
      </w:r>
      <w:r w:rsidRPr="00924252">
        <w:rPr>
          <w:rFonts w:cs="Verdana"/>
          <w:szCs w:val="18"/>
        </w:rPr>
        <w:t xml:space="preserve">.  </w:t>
      </w:r>
    </w:p>
    <w:p w14:paraId="2C2DECE3" w14:textId="0B03EEA6" w:rsidR="000841C8" w:rsidRDefault="007D3BB2" w:rsidP="00E42375">
      <w:pPr>
        <w:pStyle w:val="P1-N1Paragraph1-Number1"/>
      </w:pPr>
      <w:r>
        <w:t>The</w:t>
      </w:r>
      <w:r w:rsidR="004C0F58">
        <w:t xml:space="preserve"> original</w:t>
      </w:r>
      <w:r>
        <w:t xml:space="preserve"> panel </w:t>
      </w:r>
      <w:r w:rsidR="00943369">
        <w:t xml:space="preserve">in that matter </w:t>
      </w:r>
      <w:r>
        <w:t>found</w:t>
      </w:r>
      <w:r w:rsidR="00571BB7">
        <w:t xml:space="preserve"> that</w:t>
      </w:r>
      <w:r>
        <w:t xml:space="preserve"> with respect to </w:t>
      </w:r>
      <w:r w:rsidR="0070403D">
        <w:t>one</w:t>
      </w:r>
      <w:r w:rsidR="003A3037">
        <w:t xml:space="preserve"> scheme that</w:t>
      </w:r>
      <w:r>
        <w:t xml:space="preserve"> </w:t>
      </w:r>
      <w:r w:rsidR="00B81250">
        <w:t xml:space="preserve">contractually agreed </w:t>
      </w:r>
      <w:r w:rsidR="00EF3C5F">
        <w:t>funding amounts</w:t>
      </w:r>
      <w:r w:rsidR="00E9505F">
        <w:t>,</w:t>
      </w:r>
      <w:r w:rsidR="00EF3C5F">
        <w:t xml:space="preserve"> </w:t>
      </w:r>
      <w:r w:rsidR="00B81250">
        <w:t>yet to be</w:t>
      </w:r>
      <w:r w:rsidR="00EF3C5F">
        <w:t xml:space="preserve"> transferred</w:t>
      </w:r>
      <w:r w:rsidR="00E9505F">
        <w:t>,</w:t>
      </w:r>
      <w:r w:rsidR="00EF3C5F">
        <w:t xml:space="preserve"> </w:t>
      </w:r>
      <w:r>
        <w:t>were</w:t>
      </w:r>
      <w:r w:rsidR="00B81250">
        <w:t xml:space="preserve"> </w:t>
      </w:r>
      <w:r w:rsidR="00B81250" w:rsidRPr="00FA6FC4">
        <w:rPr>
          <w:u w:val="single"/>
        </w:rPr>
        <w:t>direct transfers</w:t>
      </w:r>
      <w:r w:rsidR="00B81250">
        <w:t xml:space="preserve"> in the form</w:t>
      </w:r>
      <w:r w:rsidR="00571BB7">
        <w:t>s</w:t>
      </w:r>
      <w:r w:rsidR="00B81250">
        <w:t xml:space="preserve"> of </w:t>
      </w:r>
      <w:r w:rsidR="00B81250" w:rsidRPr="00FA6FC4">
        <w:rPr>
          <w:u w:val="single"/>
        </w:rPr>
        <w:t>loans</w:t>
      </w:r>
      <w:r w:rsidR="00B81250">
        <w:t xml:space="preserve"> within the meaning of Article 1.1(a)(1)(i) of the SCM Agreement</w:t>
      </w:r>
      <w:r w:rsidR="001C0F3F">
        <w:t>.</w:t>
      </w:r>
      <w:r w:rsidR="001C0F3F">
        <w:rPr>
          <w:rStyle w:val="FootnoteReference"/>
        </w:rPr>
        <w:footnoteReference w:id="57"/>
      </w:r>
      <w:r w:rsidR="001C0F3F">
        <w:t xml:space="preserve">  </w:t>
      </w:r>
      <w:r w:rsidR="004C0F58">
        <w:t>This scheme</w:t>
      </w:r>
      <w:r>
        <w:t xml:space="preserve"> involved a</w:t>
      </w:r>
      <w:r w:rsidR="00B81250">
        <w:t xml:space="preserve"> pre-determined commitment from a government to make funds available in the </w:t>
      </w:r>
      <w:r w:rsidR="00B81250">
        <w:lastRenderedPageBreak/>
        <w:t>future</w:t>
      </w:r>
      <w:r w:rsidR="001C0F3F">
        <w:t>.</w:t>
      </w:r>
      <w:r w:rsidR="001C0F3F">
        <w:rPr>
          <w:rStyle w:val="FootnoteReference"/>
        </w:rPr>
        <w:footnoteReference w:id="58"/>
      </w:r>
      <w:r w:rsidR="003A3037">
        <w:rPr>
          <w:rFonts w:cs="Verdana"/>
          <w:szCs w:val="18"/>
        </w:rPr>
        <w:t xml:space="preserve">  </w:t>
      </w:r>
      <w:r w:rsidR="004C0F58">
        <w:rPr>
          <w:rFonts w:cs="Verdana"/>
          <w:szCs w:val="18"/>
        </w:rPr>
        <w:t>The panel found a</w:t>
      </w:r>
      <w:r w:rsidR="003A3037">
        <w:rPr>
          <w:rFonts w:cs="Verdana"/>
          <w:szCs w:val="18"/>
        </w:rPr>
        <w:t xml:space="preserve"> separate set of </w:t>
      </w:r>
      <w:r w:rsidR="00D53F06" w:rsidRPr="00E42375">
        <w:rPr>
          <w:rFonts w:cs="Verdana"/>
          <w:szCs w:val="18"/>
        </w:rPr>
        <w:t xml:space="preserve">funding </w:t>
      </w:r>
      <w:r w:rsidRPr="003A3037">
        <w:rPr>
          <w:rFonts w:cs="Verdana"/>
          <w:szCs w:val="18"/>
        </w:rPr>
        <w:t>arrangements</w:t>
      </w:r>
      <w:r w:rsidR="003A3037">
        <w:rPr>
          <w:rFonts w:cs="Verdana"/>
          <w:szCs w:val="18"/>
        </w:rPr>
        <w:t>,</w:t>
      </w:r>
      <w:r w:rsidR="001C0F3F">
        <w:rPr>
          <w:rStyle w:val="FootnoteReference"/>
          <w:rFonts w:cs="Verdana"/>
          <w:szCs w:val="18"/>
        </w:rPr>
        <w:footnoteReference w:id="59"/>
      </w:r>
      <w:r w:rsidR="003A3037">
        <w:rPr>
          <w:rFonts w:cs="Verdana"/>
          <w:szCs w:val="18"/>
        </w:rPr>
        <w:t xml:space="preserve"> however, to involve</w:t>
      </w:r>
      <w:r w:rsidR="00E4795B" w:rsidRPr="00E42375">
        <w:rPr>
          <w:rFonts w:cs="Verdana"/>
          <w:szCs w:val="18"/>
        </w:rPr>
        <w:t xml:space="preserve"> </w:t>
      </w:r>
      <w:r w:rsidR="00E4795B" w:rsidRPr="003A3037">
        <w:rPr>
          <w:rFonts w:cs="Verdana"/>
          <w:szCs w:val="18"/>
          <w:u w:val="single"/>
        </w:rPr>
        <w:t>potential</w:t>
      </w:r>
      <w:r w:rsidR="00E4795B" w:rsidRPr="003A3037">
        <w:rPr>
          <w:rFonts w:cs="Verdana"/>
          <w:szCs w:val="18"/>
        </w:rPr>
        <w:t xml:space="preserve"> direct transfer</w:t>
      </w:r>
      <w:r w:rsidR="003A3037">
        <w:rPr>
          <w:rFonts w:cs="Verdana"/>
          <w:szCs w:val="18"/>
        </w:rPr>
        <w:t>s</w:t>
      </w:r>
      <w:r w:rsidR="001C0F3F" w:rsidRPr="00E42375">
        <w:rPr>
          <w:rFonts w:cs="Verdana"/>
          <w:szCs w:val="18"/>
        </w:rPr>
        <w:t>.</w:t>
      </w:r>
      <w:r w:rsidR="001C0F3F">
        <w:rPr>
          <w:rStyle w:val="FootnoteReference"/>
          <w:rFonts w:cs="Verdana"/>
          <w:szCs w:val="18"/>
        </w:rPr>
        <w:footnoteReference w:id="60"/>
      </w:r>
      <w:r w:rsidR="001C0F3F" w:rsidRPr="00E42375">
        <w:rPr>
          <w:rFonts w:cs="Verdana"/>
          <w:szCs w:val="18"/>
        </w:rPr>
        <w:t xml:space="preserve">  </w:t>
      </w:r>
    </w:p>
    <w:p w14:paraId="09CA9B62" w14:textId="083E0203" w:rsidR="00943369" w:rsidRPr="00943369" w:rsidRDefault="00943369" w:rsidP="00943369">
      <w:pPr>
        <w:pStyle w:val="P1-N1Paragraph1-Number1"/>
      </w:pPr>
      <w:r w:rsidRPr="00A973D6">
        <w:rPr>
          <w:rFonts w:cs="Verdana"/>
          <w:szCs w:val="18"/>
        </w:rPr>
        <w:t>Thus, w</w:t>
      </w:r>
      <w:r w:rsidR="00BE0C00" w:rsidRPr="00A973D6">
        <w:rPr>
          <w:rFonts w:cs="Verdana"/>
          <w:szCs w:val="18"/>
        </w:rPr>
        <w:t>hat</w:t>
      </w:r>
      <w:r w:rsidR="00BE0C00">
        <w:rPr>
          <w:rFonts w:cs="Verdana"/>
          <w:szCs w:val="18"/>
        </w:rPr>
        <w:t xml:space="preserve"> India believes to be</w:t>
      </w:r>
      <w:r w:rsidR="00450B82">
        <w:rPr>
          <w:rFonts w:cs="Verdana"/>
          <w:szCs w:val="18"/>
        </w:rPr>
        <w:t xml:space="preserve"> "conflicting" accounts of a single panel's </w:t>
      </w:r>
      <w:r w:rsidR="00BE0C00">
        <w:rPr>
          <w:rFonts w:cs="Verdana"/>
          <w:szCs w:val="18"/>
        </w:rPr>
        <w:t>reasoning</w:t>
      </w:r>
      <w:r w:rsidR="00450B82">
        <w:rPr>
          <w:rFonts w:cs="Verdana"/>
          <w:szCs w:val="18"/>
        </w:rPr>
        <w:t xml:space="preserve"> </w:t>
      </w:r>
      <w:r w:rsidR="00BE0C00">
        <w:rPr>
          <w:rFonts w:cs="Verdana"/>
          <w:szCs w:val="18"/>
        </w:rPr>
        <w:t>are simply two examples of the many forms a</w:t>
      </w:r>
      <w:r w:rsidR="00450B82">
        <w:rPr>
          <w:rFonts w:cs="Verdana"/>
          <w:szCs w:val="18"/>
        </w:rPr>
        <w:t xml:space="preserve"> "</w:t>
      </w:r>
      <w:r w:rsidR="001C000B" w:rsidRPr="000841C8">
        <w:rPr>
          <w:rFonts w:cs="Verdana"/>
          <w:szCs w:val="18"/>
        </w:rPr>
        <w:t>financial contribution</w:t>
      </w:r>
      <w:r w:rsidR="00450B82">
        <w:rPr>
          <w:rFonts w:cs="Verdana"/>
          <w:szCs w:val="18"/>
        </w:rPr>
        <w:t>"</w:t>
      </w:r>
      <w:r w:rsidR="001C000B" w:rsidRPr="000841C8">
        <w:rPr>
          <w:rFonts w:cs="Verdana"/>
          <w:szCs w:val="18"/>
        </w:rPr>
        <w:t xml:space="preserve"> </w:t>
      </w:r>
      <w:r w:rsidR="00BE0C00">
        <w:rPr>
          <w:rFonts w:cs="Verdana"/>
          <w:szCs w:val="18"/>
        </w:rPr>
        <w:t>may take</w:t>
      </w:r>
      <w:r w:rsidR="001C000B" w:rsidRPr="000841C8">
        <w:rPr>
          <w:rFonts w:cs="Verdana"/>
          <w:szCs w:val="18"/>
        </w:rPr>
        <w:t>.</w:t>
      </w:r>
      <w:r w:rsidR="0070403D">
        <w:rPr>
          <w:rFonts w:cs="Verdana"/>
          <w:szCs w:val="18"/>
        </w:rPr>
        <w:t xml:space="preserve">  </w:t>
      </w:r>
    </w:p>
    <w:p w14:paraId="238A6365" w14:textId="7837A53A" w:rsidR="005D3C24" w:rsidRPr="005D3C24" w:rsidRDefault="0070403D" w:rsidP="00943369">
      <w:pPr>
        <w:pStyle w:val="P1-N1Paragraph1-Number1"/>
      </w:pPr>
      <w:r w:rsidRPr="0070403D">
        <w:rPr>
          <w:rFonts w:cs="Verdana"/>
          <w:szCs w:val="18"/>
        </w:rPr>
        <w:t>T</w:t>
      </w:r>
      <w:r>
        <w:rPr>
          <w:rFonts w:cs="Verdana"/>
          <w:szCs w:val="18"/>
        </w:rPr>
        <w:t>he</w:t>
      </w:r>
      <w:r w:rsidR="00ED6572" w:rsidRPr="00C85BCF">
        <w:rPr>
          <w:rFonts w:cs="Verdana"/>
          <w:szCs w:val="18"/>
        </w:rPr>
        <w:t xml:space="preserve"> reference to "</w:t>
      </w:r>
      <w:r w:rsidR="00ED6572" w:rsidRPr="00C85BCF">
        <w:rPr>
          <w:rFonts w:cs="Verdana"/>
          <w:szCs w:val="18"/>
          <w:u w:val="single"/>
        </w:rPr>
        <w:t>potential</w:t>
      </w:r>
      <w:r w:rsidR="00ED6572" w:rsidRPr="00C85BCF">
        <w:rPr>
          <w:rFonts w:cs="Verdana"/>
          <w:szCs w:val="18"/>
        </w:rPr>
        <w:t xml:space="preserve"> transfers" in Article 1.1(a)(1)(i) of the SCM Agreement</w:t>
      </w:r>
      <w:r>
        <w:rPr>
          <w:rFonts w:cs="Verdana"/>
          <w:szCs w:val="18"/>
        </w:rPr>
        <w:t xml:space="preserve"> is illustrative of this point</w:t>
      </w:r>
      <w:r w:rsidR="00E34164" w:rsidRPr="00C85BCF">
        <w:rPr>
          <w:rFonts w:cs="Verdana"/>
          <w:szCs w:val="18"/>
        </w:rPr>
        <w:t xml:space="preserve"> </w:t>
      </w:r>
      <w:r>
        <w:rPr>
          <w:rFonts w:cs="Verdana"/>
          <w:szCs w:val="18"/>
        </w:rPr>
        <w:t xml:space="preserve">and </w:t>
      </w:r>
      <w:r w:rsidR="00E34164" w:rsidRPr="00C85BCF">
        <w:rPr>
          <w:rFonts w:cs="Verdana"/>
          <w:szCs w:val="18"/>
        </w:rPr>
        <w:t xml:space="preserve">consistent with our </w:t>
      </w:r>
      <w:r w:rsidR="00ED6572" w:rsidRPr="00C85BCF">
        <w:rPr>
          <w:rFonts w:cs="Verdana"/>
          <w:szCs w:val="18"/>
        </w:rPr>
        <w:t xml:space="preserve">understanding that </w:t>
      </w:r>
      <w:r>
        <w:rPr>
          <w:rFonts w:cs="Verdana"/>
          <w:szCs w:val="18"/>
        </w:rPr>
        <w:t xml:space="preserve">neither the SCM Agreement nor the Agreement on Agriculture requires </w:t>
      </w:r>
      <w:r w:rsidR="00ED6572" w:rsidRPr="00C85BCF">
        <w:rPr>
          <w:rFonts w:cs="Verdana"/>
          <w:szCs w:val="18"/>
        </w:rPr>
        <w:t xml:space="preserve">evidence of actual </w:t>
      </w:r>
      <w:r w:rsidR="00E34164" w:rsidRPr="00C85BCF">
        <w:rPr>
          <w:rFonts w:cs="Verdana"/>
          <w:szCs w:val="18"/>
        </w:rPr>
        <w:t>payments</w:t>
      </w:r>
      <w:r>
        <w:rPr>
          <w:rFonts w:cs="Verdana"/>
          <w:szCs w:val="18"/>
        </w:rPr>
        <w:t xml:space="preserve"> to demonstrate that a government makes </w:t>
      </w:r>
      <w:r w:rsidR="0026054F" w:rsidRPr="00C85BCF">
        <w:rPr>
          <w:rFonts w:cs="Verdana"/>
          <w:szCs w:val="18"/>
        </w:rPr>
        <w:t xml:space="preserve">financial </w:t>
      </w:r>
      <w:r>
        <w:rPr>
          <w:rFonts w:cs="Verdana"/>
          <w:szCs w:val="18"/>
        </w:rPr>
        <w:t>resources available for the purposes of a subsidy</w:t>
      </w:r>
      <w:r w:rsidR="00ED6572" w:rsidRPr="00C85BCF">
        <w:rPr>
          <w:rFonts w:cs="Verdana"/>
          <w:szCs w:val="18"/>
        </w:rPr>
        <w:t>.</w:t>
      </w:r>
      <w:r w:rsidR="00E34164">
        <w:rPr>
          <w:rStyle w:val="FootnoteReference"/>
          <w:rFonts w:cs="Verdana"/>
          <w:szCs w:val="18"/>
        </w:rPr>
        <w:footnoteReference w:id="61"/>
      </w:r>
      <w:r w:rsidR="00ED6572" w:rsidRPr="00E42375">
        <w:rPr>
          <w:rFonts w:cs="Verdana"/>
          <w:szCs w:val="18"/>
        </w:rPr>
        <w:t xml:space="preserve">  </w:t>
      </w:r>
    </w:p>
    <w:p w14:paraId="141C95E4" w14:textId="18C68CD3" w:rsidR="00930032" w:rsidRPr="0034617A" w:rsidRDefault="00FF0311" w:rsidP="00924252">
      <w:pPr>
        <w:pStyle w:val="P1-N1Paragraph1-Number1"/>
      </w:pPr>
      <w:r>
        <w:rPr>
          <w:rFonts w:cs="Verdana"/>
          <w:szCs w:val="18"/>
        </w:rPr>
        <w:t xml:space="preserve"> I have</w:t>
      </w:r>
      <w:r w:rsidR="003E6937">
        <w:rPr>
          <w:rFonts w:cs="Verdana"/>
          <w:szCs w:val="18"/>
        </w:rPr>
        <w:t xml:space="preserve"> only one</w:t>
      </w:r>
      <w:r>
        <w:rPr>
          <w:rFonts w:cs="Verdana"/>
          <w:szCs w:val="18"/>
        </w:rPr>
        <w:t xml:space="preserve"> more brief, but important, </w:t>
      </w:r>
      <w:r w:rsidR="003E6937">
        <w:rPr>
          <w:rFonts w:cs="Verdana"/>
          <w:szCs w:val="18"/>
        </w:rPr>
        <w:t xml:space="preserve">observation </w:t>
      </w:r>
      <w:r>
        <w:rPr>
          <w:rFonts w:cs="Verdana"/>
          <w:szCs w:val="18"/>
        </w:rPr>
        <w:t>to make on this point</w:t>
      </w:r>
      <w:r w:rsidR="003E6937">
        <w:rPr>
          <w:rFonts w:cs="Verdana"/>
          <w:szCs w:val="18"/>
        </w:rPr>
        <w:t xml:space="preserve">.  </w:t>
      </w:r>
      <w:r w:rsidR="00D0226A">
        <w:rPr>
          <w:rFonts w:cs="Verdana"/>
          <w:szCs w:val="18"/>
        </w:rPr>
        <w:t>This is that, w</w:t>
      </w:r>
      <w:r>
        <w:rPr>
          <w:rFonts w:cs="Verdana"/>
          <w:szCs w:val="18"/>
        </w:rPr>
        <w:t xml:space="preserve">ithout prejudice to Australia's argument that </w:t>
      </w:r>
      <w:r w:rsidR="00B474F2">
        <w:rPr>
          <w:rFonts w:cs="Verdana"/>
          <w:szCs w:val="18"/>
        </w:rPr>
        <w:t xml:space="preserve">we are </w:t>
      </w:r>
      <w:r w:rsidR="00B474F2">
        <w:rPr>
          <w:rFonts w:cs="Verdana"/>
          <w:szCs w:val="18"/>
          <w:u w:val="single"/>
        </w:rPr>
        <w:t>not</w:t>
      </w:r>
      <w:r>
        <w:rPr>
          <w:rFonts w:cs="Verdana"/>
          <w:szCs w:val="18"/>
        </w:rPr>
        <w:t xml:space="preserve"> </w:t>
      </w:r>
      <w:r w:rsidR="00B474F2">
        <w:rPr>
          <w:rFonts w:cs="Verdana"/>
          <w:szCs w:val="18"/>
        </w:rPr>
        <w:t xml:space="preserve">obliged </w:t>
      </w:r>
      <w:r>
        <w:rPr>
          <w:rFonts w:cs="Verdana"/>
          <w:szCs w:val="18"/>
        </w:rPr>
        <w:t>to produce</w:t>
      </w:r>
      <w:r w:rsidR="00930032" w:rsidRPr="000841C8">
        <w:rPr>
          <w:rFonts w:cs="Verdana"/>
          <w:szCs w:val="18"/>
        </w:rPr>
        <w:t xml:space="preserve"> evidence of c</w:t>
      </w:r>
      <w:r w:rsidR="00B474F2">
        <w:rPr>
          <w:rFonts w:cs="Verdana"/>
          <w:szCs w:val="18"/>
        </w:rPr>
        <w:t>ompleted financial transactions, we have, nevertheless</w:t>
      </w:r>
      <w:r w:rsidR="00996089">
        <w:rPr>
          <w:rFonts w:cs="Verdana"/>
          <w:szCs w:val="18"/>
        </w:rPr>
        <w:t>,</w:t>
      </w:r>
      <w:r w:rsidR="00B474F2">
        <w:rPr>
          <w:rFonts w:cs="Verdana"/>
          <w:szCs w:val="18"/>
        </w:rPr>
        <w:t xml:space="preserve"> </w:t>
      </w:r>
      <w:r w:rsidR="00996089">
        <w:rPr>
          <w:rFonts w:cs="Verdana"/>
          <w:szCs w:val="18"/>
        </w:rPr>
        <w:t>done so.</w:t>
      </w:r>
      <w:r w:rsidR="00996089">
        <w:rPr>
          <w:rStyle w:val="FootnoteReference"/>
          <w:rFonts w:cs="Verdana"/>
          <w:szCs w:val="18"/>
        </w:rPr>
        <w:footnoteReference w:id="62"/>
      </w:r>
      <w:r w:rsidR="00930032" w:rsidRPr="000841C8">
        <w:rPr>
          <w:rFonts w:cs="Verdana"/>
          <w:szCs w:val="18"/>
        </w:rPr>
        <w:t xml:space="preserve">  </w:t>
      </w:r>
      <w:r w:rsidR="003E6937">
        <w:rPr>
          <w:rFonts w:cs="Verdana"/>
          <w:szCs w:val="18"/>
        </w:rPr>
        <w:t xml:space="preserve">India has elected </w:t>
      </w:r>
      <w:r w:rsidR="00730D8D">
        <w:rPr>
          <w:rFonts w:cs="Verdana"/>
          <w:szCs w:val="18"/>
        </w:rPr>
        <w:t xml:space="preserve">not </w:t>
      </w:r>
      <w:r w:rsidR="003E6937">
        <w:rPr>
          <w:rFonts w:cs="Verdana"/>
          <w:szCs w:val="18"/>
        </w:rPr>
        <w:t>to</w:t>
      </w:r>
      <w:r w:rsidR="00730D8D">
        <w:rPr>
          <w:rFonts w:cs="Verdana"/>
          <w:szCs w:val="18"/>
        </w:rPr>
        <w:t xml:space="preserve"> respond to</w:t>
      </w:r>
      <w:r w:rsidR="003E6937">
        <w:rPr>
          <w:rFonts w:cs="Verdana"/>
          <w:szCs w:val="18"/>
        </w:rPr>
        <w:t xml:space="preserve"> this evidence.  </w:t>
      </w:r>
    </w:p>
    <w:p w14:paraId="6C375FC7" w14:textId="18DC4135" w:rsidR="008A23B5" w:rsidRPr="00F27962" w:rsidRDefault="008A23B5" w:rsidP="008A23B5">
      <w:pPr>
        <w:pStyle w:val="HL2HeadingLevel2"/>
      </w:pPr>
      <w:bookmarkStart w:id="18" w:name="_Toc67475500"/>
      <w:r>
        <w:t xml:space="preserve">India mischaracterises the nature of </w:t>
      </w:r>
      <w:r w:rsidR="00641FD2">
        <w:t xml:space="preserve">a benefit </w:t>
      </w:r>
      <w:r>
        <w:t xml:space="preserve">and relevance of </w:t>
      </w:r>
      <w:r w:rsidRPr="00F27962">
        <w:t>market comparison exercises</w:t>
      </w:r>
      <w:bookmarkEnd w:id="18"/>
    </w:p>
    <w:p w14:paraId="4BD9A6AD" w14:textId="169BC6FB" w:rsidR="002108BF" w:rsidRPr="00F27962" w:rsidRDefault="002108BF" w:rsidP="00641FD2">
      <w:pPr>
        <w:pStyle w:val="P1-N1Paragraph1-Number1"/>
      </w:pPr>
      <w:r w:rsidRPr="00611FE7">
        <w:t>I turn now to</w:t>
      </w:r>
      <w:r w:rsidRPr="00F27962">
        <w:t xml:space="preserve"> the second element of the legal standard for </w:t>
      </w:r>
      <w:r w:rsidR="00D0226A">
        <w:t>determining whether a measure involves</w:t>
      </w:r>
      <w:r w:rsidRPr="00F27962">
        <w:t xml:space="preserve"> a subsidy – the existence of a "benefit".  </w:t>
      </w:r>
    </w:p>
    <w:p w14:paraId="1551525A" w14:textId="61E0E61F" w:rsidR="00F27962" w:rsidRPr="00B665F8" w:rsidRDefault="00F27962" w:rsidP="00B665F8">
      <w:pPr>
        <w:pStyle w:val="P1-N1Paragraph1-Number1"/>
        <w:rPr>
          <w:rStyle w:val="CommentReference"/>
          <w:sz w:val="24"/>
          <w:szCs w:val="24"/>
        </w:rPr>
      </w:pPr>
      <w:r w:rsidRPr="00F27962">
        <w:t>To understand whether the re</w:t>
      </w:r>
      <w:r w:rsidR="00F14827" w:rsidRPr="00F27962">
        <w:t xml:space="preserve">cipient of a financial contribution </w:t>
      </w:r>
      <w:r>
        <w:t>benefits</w:t>
      </w:r>
      <w:r w:rsidR="00EB5A64" w:rsidRPr="00F27962">
        <w:t xml:space="preserve">, </w:t>
      </w:r>
      <w:r>
        <w:t xml:space="preserve">it is necessary to conduct </w:t>
      </w:r>
      <w:r w:rsidR="008A47AF" w:rsidRPr="00F27962">
        <w:t>some kind of comparative exercise</w:t>
      </w:r>
      <w:r w:rsidR="00031927" w:rsidRPr="00F27962">
        <w:t xml:space="preserve">.  </w:t>
      </w:r>
      <w:r w:rsidRPr="00F27962">
        <w:t xml:space="preserve">Australia's view continues to be that the market furnishes a useful </w:t>
      </w:r>
      <w:r w:rsidR="0099226B">
        <w:t>basis for comparison</w:t>
      </w:r>
      <w:r w:rsidR="00EB5A64" w:rsidRPr="00F27962">
        <w:t>.</w:t>
      </w:r>
      <w:r w:rsidR="00384960" w:rsidRPr="00F27962">
        <w:rPr>
          <w:rStyle w:val="FootnoteReference"/>
        </w:rPr>
        <w:footnoteReference w:id="63"/>
      </w:r>
      <w:r w:rsidR="00EB5A64" w:rsidRPr="00F27962">
        <w:t xml:space="preserve">  </w:t>
      </w:r>
      <w:r w:rsidR="009758C8">
        <w:t>However, we believe</w:t>
      </w:r>
      <w:r w:rsidR="00947847">
        <w:t xml:space="preserve"> that</w:t>
      </w:r>
      <w:r w:rsidR="009758C8">
        <w:t xml:space="preserve"> </w:t>
      </w:r>
      <w:r w:rsidR="009758C8" w:rsidRPr="00F27962">
        <w:t>the nature of the</w:t>
      </w:r>
      <w:r w:rsidR="009758C8">
        <w:t xml:space="preserve"> measure should guide the</w:t>
      </w:r>
      <w:r w:rsidR="009758C8" w:rsidRPr="00F27962">
        <w:t xml:space="preserve"> market comparison exercise.  </w:t>
      </w:r>
    </w:p>
    <w:p w14:paraId="728067E7" w14:textId="02C34C9D" w:rsidR="0099226B" w:rsidRDefault="00611FE7" w:rsidP="0099226B">
      <w:pPr>
        <w:pStyle w:val="P1-N1Paragraph1-Number1"/>
      </w:pPr>
      <w:r>
        <w:t>Consider a</w:t>
      </w:r>
      <w:r w:rsidR="00181F5A" w:rsidRPr="00F27962">
        <w:t xml:space="preserve"> measure </w:t>
      </w:r>
      <w:r>
        <w:t>involving</w:t>
      </w:r>
      <w:r w:rsidR="00031927" w:rsidRPr="00F27962">
        <w:t xml:space="preserve"> </w:t>
      </w:r>
      <w:r>
        <w:t>government</w:t>
      </w:r>
      <w:r w:rsidR="00327E6F" w:rsidRPr="00F27962">
        <w:t xml:space="preserve"> investment in</w:t>
      </w:r>
      <w:r w:rsidR="008A47AF" w:rsidRPr="00F27962">
        <w:t xml:space="preserve"> research and development</w:t>
      </w:r>
      <w:r w:rsidR="00031927" w:rsidRPr="00F27962">
        <w:t>,</w:t>
      </w:r>
      <w:r w:rsidR="008A47AF" w:rsidRPr="00F27962">
        <w:t xml:space="preserve"> or a</w:t>
      </w:r>
      <w:r>
        <w:t xml:space="preserve"> government</w:t>
      </w:r>
      <w:r w:rsidR="008A47AF" w:rsidRPr="00F27962">
        <w:t xml:space="preserve"> loan</w:t>
      </w:r>
      <w:r>
        <w:t>.</w:t>
      </w:r>
      <w:r w:rsidR="00632E74">
        <w:t xml:space="preserve">  </w:t>
      </w:r>
      <w:r>
        <w:t>Here, c</w:t>
      </w:r>
      <w:r w:rsidR="0099226B">
        <w:t>omparison with a</w:t>
      </w:r>
      <w:r>
        <w:t xml:space="preserve"> commercial</w:t>
      </w:r>
      <w:r w:rsidR="00031927" w:rsidRPr="00F27962">
        <w:t xml:space="preserve"> equivalent</w:t>
      </w:r>
      <w:r w:rsidR="008A47AF" w:rsidRPr="00F27962">
        <w:t xml:space="preserve"> </w:t>
      </w:r>
      <w:r w:rsidR="00865885">
        <w:t>would</w:t>
      </w:r>
      <w:r w:rsidR="0099226B">
        <w:t xml:space="preserve"> </w:t>
      </w:r>
      <w:r>
        <w:t>likely</w:t>
      </w:r>
      <w:r w:rsidR="0099226B">
        <w:t xml:space="preserve"> </w:t>
      </w:r>
      <w:r>
        <w:lastRenderedPageBreak/>
        <w:t>demonstrate</w:t>
      </w:r>
      <w:r w:rsidR="00750C67" w:rsidRPr="00F27962">
        <w:t xml:space="preserve"> whether the terms and conditions </w:t>
      </w:r>
      <w:r w:rsidR="00D0226A">
        <w:t>of the government investment or loan</w:t>
      </w:r>
      <w:r>
        <w:t xml:space="preserve"> </w:t>
      </w:r>
      <w:r w:rsidR="00865885">
        <w:t>were</w:t>
      </w:r>
      <w:r w:rsidR="00031927" w:rsidRPr="00F27962">
        <w:t xml:space="preserve"> more favourable than </w:t>
      </w:r>
      <w:r w:rsidR="00750C67" w:rsidRPr="00F27962">
        <w:t xml:space="preserve">those </w:t>
      </w:r>
      <w:r w:rsidR="00D0226A">
        <w:t>a commercial entity would offer</w:t>
      </w:r>
      <w:r w:rsidR="00327E6F">
        <w:t>.</w:t>
      </w:r>
      <w:r w:rsidR="00FC3091">
        <w:rPr>
          <w:rStyle w:val="FootnoteReference"/>
        </w:rPr>
        <w:footnoteReference w:id="64"/>
      </w:r>
      <w:r w:rsidR="00FC3091">
        <w:t xml:space="preserve">  </w:t>
      </w:r>
    </w:p>
    <w:p w14:paraId="04AC7C56" w14:textId="4E87B2A6" w:rsidR="00D0226A" w:rsidRDefault="00D0226A" w:rsidP="00AB3BCB">
      <w:pPr>
        <w:pStyle w:val="P1-N1Paragraph1-Number1"/>
      </w:pPr>
      <w:r>
        <w:t>India takes issue with Australia's assessment that "gifts" comparable to its export subsidy grants would not be available in the marketplace.</w:t>
      </w:r>
      <w:r>
        <w:rPr>
          <w:rStyle w:val="FootnoteReference"/>
        </w:rPr>
        <w:footnoteReference w:id="65"/>
      </w:r>
      <w:r>
        <w:t xml:space="preserve">  While it is difficult to discern India's preferred approach to benefit analysis against a market benchmark, it clearly does not accept that </w:t>
      </w:r>
      <w:r w:rsidR="00571BB7">
        <w:t>[</w:t>
      </w:r>
      <w:r>
        <w:t>of</w:t>
      </w:r>
      <w:r w:rsidR="00571BB7">
        <w:t>]</w:t>
      </w:r>
      <w:r>
        <w:t xml:space="preserve"> any of the complainants.</w:t>
      </w:r>
      <w:r>
        <w:rPr>
          <w:rStyle w:val="FootnoteReference"/>
        </w:rPr>
        <w:footnoteReference w:id="66"/>
      </w:r>
      <w:r>
        <w:t xml:space="preserve">   </w:t>
      </w:r>
    </w:p>
    <w:p w14:paraId="2AA720C7" w14:textId="7BBE6417" w:rsidR="00CC00E8" w:rsidRDefault="00D0226A" w:rsidP="00E42375">
      <w:pPr>
        <w:pStyle w:val="P1-N1Paragraph1-Number1"/>
      </w:pPr>
      <w:r w:rsidDel="00D0226A">
        <w:rPr>
          <w:rStyle w:val="CommentReference"/>
        </w:rPr>
        <w:t xml:space="preserve"> </w:t>
      </w:r>
      <w:r w:rsidR="00E85F97">
        <w:t xml:space="preserve">India has acknowledged that certain types of financial contribution, including grants, </w:t>
      </w:r>
      <w:r w:rsidR="00E85F97">
        <w:rPr>
          <w:u w:val="single"/>
        </w:rPr>
        <w:t>may</w:t>
      </w:r>
      <w:r w:rsidR="00E85F97">
        <w:t xml:space="preserve"> leave recipients </w:t>
      </w:r>
      <w:r w:rsidR="00E85F97" w:rsidRPr="00240B80">
        <w:rPr>
          <w:i/>
          <w:iCs/>
        </w:rPr>
        <w:t>prima facie</w:t>
      </w:r>
      <w:r w:rsidR="00E85F97">
        <w:t xml:space="preserve"> better off </w:t>
      </w:r>
      <w:r w:rsidR="001351E0">
        <w:t>than they would otherwise be</w:t>
      </w:r>
      <w:r>
        <w:t>.</w:t>
      </w:r>
      <w:r w:rsidR="00E85F97">
        <w:rPr>
          <w:rStyle w:val="FootnoteReference"/>
        </w:rPr>
        <w:footnoteReference w:id="67"/>
      </w:r>
      <w:r>
        <w:t xml:space="preserve">  </w:t>
      </w:r>
      <w:r w:rsidR="00C85BCF">
        <w:t xml:space="preserve">Treating the relevant benchmark as the marketplace for financial services involving the provision of funds, </w:t>
      </w:r>
      <w:r>
        <w:t>Australia submits that this is such an instance.  T</w:t>
      </w:r>
      <w:r w:rsidR="00C85BCF">
        <w:t>he</w:t>
      </w:r>
      <w:r w:rsidR="001351E0">
        <w:t xml:space="preserve"> terms of </w:t>
      </w:r>
      <w:r w:rsidR="00C85BCF">
        <w:t xml:space="preserve">a </w:t>
      </w:r>
      <w:r w:rsidR="001351E0">
        <w:t>c</w:t>
      </w:r>
      <w:r w:rsidR="00865885">
        <w:t>ommercial loan</w:t>
      </w:r>
      <w:r w:rsidR="005420BF">
        <w:t xml:space="preserve">, </w:t>
      </w:r>
      <w:r w:rsidR="002F5C46">
        <w:t>for</w:t>
      </w:r>
      <w:r w:rsidR="005420BF">
        <w:t xml:space="preserve"> an entity otherwise unable to discharge it debts</w:t>
      </w:r>
      <w:r w:rsidR="001351E0">
        <w:t xml:space="preserve">, </w:t>
      </w:r>
      <w:r w:rsidR="00611FE7">
        <w:t>could</w:t>
      </w:r>
      <w:r w:rsidR="00C85BCF">
        <w:t xml:space="preserve"> never</w:t>
      </w:r>
      <w:r w:rsidR="00611FE7">
        <w:t>, Australia submits,</w:t>
      </w:r>
      <w:r w:rsidR="00C85BCF">
        <w:t xml:space="preserve"> match a government grant, given free of</w:t>
      </w:r>
      <w:r w:rsidR="002F5C46">
        <w:t xml:space="preserve"> any repayment obligations</w:t>
      </w:r>
      <w:r w:rsidR="00C85BCF">
        <w:t>.</w:t>
      </w:r>
    </w:p>
    <w:p w14:paraId="54BE5715" w14:textId="3A2BAB97" w:rsidR="00641FD2" w:rsidRDefault="005420BF">
      <w:pPr>
        <w:pStyle w:val="P1-N1Paragraph1-Number1"/>
      </w:pPr>
      <w:r>
        <w:t xml:space="preserve">Where </w:t>
      </w:r>
      <w:r w:rsidR="00CC00E8">
        <w:t>a</w:t>
      </w:r>
      <w:r>
        <w:t xml:space="preserve"> measure involves a government foregoing tax revenue</w:t>
      </w:r>
      <w:r w:rsidR="0088522B">
        <w:t xml:space="preserve"> via a waiver or remission</w:t>
      </w:r>
      <w:r>
        <w:t>,</w:t>
      </w:r>
      <w:r w:rsidR="007765D5">
        <w:t xml:space="preserve"> as the DFIA scheme does,</w:t>
      </w:r>
      <w:r w:rsidR="00865885">
        <w:t xml:space="preserve"> the</w:t>
      </w:r>
      <w:r>
        <w:t xml:space="preserve"> comparison</w:t>
      </w:r>
      <w:r w:rsidR="00865885">
        <w:t xml:space="preserve"> is simpler still</w:t>
      </w:r>
      <w:r>
        <w:t>.</w:t>
      </w:r>
      <w:r w:rsidR="00611FE7">
        <w:t xml:space="preserve">  Here, the government </w:t>
      </w:r>
      <w:r w:rsidR="00B814CB">
        <w:t>forego</w:t>
      </w:r>
      <w:r w:rsidR="00611FE7">
        <w:t>es</w:t>
      </w:r>
      <w:r w:rsidR="00CC00E8">
        <w:t xml:space="preserve"> </w:t>
      </w:r>
      <w:r w:rsidR="002942C5">
        <w:t xml:space="preserve">revenue from </w:t>
      </w:r>
      <w:r w:rsidR="00C34EA9">
        <w:t xml:space="preserve">the </w:t>
      </w:r>
      <w:r w:rsidR="002942C5">
        <w:t xml:space="preserve">standard customs duty </w:t>
      </w:r>
      <w:r w:rsidR="00C34EA9">
        <w:t xml:space="preserve">that </w:t>
      </w:r>
      <w:r w:rsidR="002942C5">
        <w:t xml:space="preserve">mills would otherwise </w:t>
      </w:r>
      <w:r w:rsidR="00611FE7">
        <w:t>owe it</w:t>
      </w:r>
      <w:r w:rsidR="00AD66BE">
        <w:t xml:space="preserve">.  The recipient mills are better off </w:t>
      </w:r>
      <w:r w:rsidR="002942C5">
        <w:t>because</w:t>
      </w:r>
      <w:r w:rsidR="00AD66BE">
        <w:t xml:space="preserve"> import</w:t>
      </w:r>
      <w:r w:rsidR="005179AB">
        <w:t>ed</w:t>
      </w:r>
      <w:r w:rsidR="00AD66BE">
        <w:t xml:space="preserve"> raw sugar costs them </w:t>
      </w:r>
      <w:r w:rsidR="00A32A6D">
        <w:t xml:space="preserve">less </w:t>
      </w:r>
      <w:r w:rsidR="00AD66BE">
        <w:t xml:space="preserve">and they are free to use </w:t>
      </w:r>
      <w:r w:rsidR="001E56E4">
        <w:t xml:space="preserve">the </w:t>
      </w:r>
      <w:r w:rsidR="00AD66BE">
        <w:t xml:space="preserve">money </w:t>
      </w:r>
      <w:r w:rsidR="002942C5">
        <w:t>saved</w:t>
      </w:r>
      <w:r w:rsidR="00AD66BE">
        <w:t xml:space="preserve"> as they choose.</w:t>
      </w:r>
      <w:r w:rsidR="00AD66BE">
        <w:rPr>
          <w:rStyle w:val="FootnoteReference"/>
        </w:rPr>
        <w:footnoteReference w:id="68"/>
      </w:r>
    </w:p>
    <w:p w14:paraId="70C9EDA2" w14:textId="3F9D84C5" w:rsidR="0059117B" w:rsidRDefault="007765D5" w:rsidP="0059117B">
      <w:pPr>
        <w:pStyle w:val="P1-N1Paragraph1-Number1"/>
      </w:pPr>
      <w:r>
        <w:t xml:space="preserve">India </w:t>
      </w:r>
      <w:r w:rsidR="00C85BCF">
        <w:t xml:space="preserve">also </w:t>
      </w:r>
      <w:r>
        <w:t xml:space="preserve">argues </w:t>
      </w:r>
      <w:r w:rsidR="00FE3CB1">
        <w:t xml:space="preserve">that </w:t>
      </w:r>
      <w:r w:rsidR="001A224D">
        <w:t>having claimed</w:t>
      </w:r>
      <w:r w:rsidR="00FE3CB1">
        <w:t xml:space="preserve"> </w:t>
      </w:r>
      <w:r w:rsidR="00611FE7">
        <w:t>its</w:t>
      </w:r>
      <w:r w:rsidR="00FE3CB1">
        <w:t xml:space="preserve"> </w:t>
      </w:r>
      <w:r>
        <w:t xml:space="preserve">sugar market </w:t>
      </w:r>
      <w:r w:rsidR="001E56E4">
        <w:t>is</w:t>
      </w:r>
      <w:r>
        <w:t xml:space="preserve"> heavily distorted, </w:t>
      </w:r>
      <w:r w:rsidR="001A224D">
        <w:t xml:space="preserve">the complainants </w:t>
      </w:r>
      <w:r w:rsidR="00611FE7">
        <w:t>must</w:t>
      </w:r>
      <w:r>
        <w:t xml:space="preserve"> identify a separate, undistorted market against which to tes</w:t>
      </w:r>
      <w:r w:rsidR="001E56E4">
        <w:t xml:space="preserve">t </w:t>
      </w:r>
      <w:r w:rsidR="00FE3CB1">
        <w:t xml:space="preserve">whether </w:t>
      </w:r>
      <w:r w:rsidR="00611FE7">
        <w:t xml:space="preserve">India's </w:t>
      </w:r>
      <w:r w:rsidR="00FE3CB1">
        <w:t>export subsidies confer a</w:t>
      </w:r>
      <w:r w:rsidR="0059117B">
        <w:t xml:space="preserve"> competitive advantage.</w:t>
      </w:r>
      <w:r w:rsidR="001A224D">
        <w:rPr>
          <w:rStyle w:val="FootnoteReference"/>
        </w:rPr>
        <w:footnoteReference w:id="69"/>
      </w:r>
      <w:r w:rsidR="001A224D">
        <w:t xml:space="preserve"> </w:t>
      </w:r>
      <w:r>
        <w:t xml:space="preserve">    </w:t>
      </w:r>
      <w:r w:rsidR="00031927">
        <w:t xml:space="preserve">  </w:t>
      </w:r>
    </w:p>
    <w:p w14:paraId="2C4421F6" w14:textId="04A154E8" w:rsidR="00E50454" w:rsidRDefault="00E50454" w:rsidP="003C434D">
      <w:pPr>
        <w:pStyle w:val="P1-N1Paragraph1-Number1"/>
      </w:pPr>
      <w:r>
        <w:lastRenderedPageBreak/>
        <w:t xml:space="preserve">Australia </w:t>
      </w:r>
      <w:r w:rsidR="001B3B84">
        <w:t xml:space="preserve">does not accept that </w:t>
      </w:r>
      <w:r w:rsidR="00E9505F">
        <w:t>the Agreement on Agriculture, the SCM Agreement,</w:t>
      </w:r>
      <w:r w:rsidR="007C291A">
        <w:t xml:space="preserve"> or the reasoning of previou</w:t>
      </w:r>
      <w:r>
        <w:t xml:space="preserve">s panels </w:t>
      </w:r>
      <w:r w:rsidR="00A00423">
        <w:t>or</w:t>
      </w:r>
      <w:r>
        <w:t xml:space="preserve"> the Appellate Body </w:t>
      </w:r>
      <w:r w:rsidR="001B3B84">
        <w:t>require such an exercise</w:t>
      </w:r>
      <w:r>
        <w:t xml:space="preserve"> </w:t>
      </w:r>
      <w:r w:rsidR="007C291A">
        <w:rPr>
          <w:u w:val="single"/>
        </w:rPr>
        <w:t>in this context</w:t>
      </w:r>
      <w:r w:rsidR="007C291A">
        <w:t xml:space="preserve">.  </w:t>
      </w:r>
    </w:p>
    <w:p w14:paraId="235FCC2E" w14:textId="787B12FE" w:rsidR="00E42375" w:rsidRDefault="001A224D" w:rsidP="00F84B6E">
      <w:pPr>
        <w:pStyle w:val="P1-N1Paragraph1-Number1"/>
      </w:pPr>
      <w:r>
        <w:rPr>
          <w:iCs/>
        </w:rPr>
        <w:t>India</w:t>
      </w:r>
      <w:r w:rsidR="00611FE7">
        <w:rPr>
          <w:iCs/>
        </w:rPr>
        <w:t xml:space="preserve"> draws</w:t>
      </w:r>
      <w:r>
        <w:rPr>
          <w:iCs/>
        </w:rPr>
        <w:t xml:space="preserve"> o</w:t>
      </w:r>
      <w:r w:rsidR="00611FE7">
        <w:rPr>
          <w:iCs/>
        </w:rPr>
        <w:t>n</w:t>
      </w:r>
      <w:r>
        <w:rPr>
          <w:iCs/>
        </w:rPr>
        <w:t xml:space="preserve"> the panel's reasoning in </w:t>
      </w:r>
      <w:r>
        <w:rPr>
          <w:i/>
        </w:rPr>
        <w:t>Canada – Renewable Energy/Canada – Feed-in Tariff Program</w:t>
      </w:r>
      <w:r w:rsidR="00611FE7">
        <w:t xml:space="preserve"> in </w:t>
      </w:r>
      <w:r w:rsidR="00632E74">
        <w:t>developing its argument</w:t>
      </w:r>
      <w:r w:rsidR="00240B80">
        <w:t>.</w:t>
      </w:r>
      <w:r w:rsidR="001B3B84">
        <w:rPr>
          <w:rStyle w:val="FootnoteReference"/>
        </w:rPr>
        <w:footnoteReference w:id="70"/>
      </w:r>
      <w:r w:rsidR="00240B80">
        <w:t xml:space="preserve">  As Australia explained in its second written submission, the facts of that case do not resemble the present ones</w:t>
      </w:r>
      <w:r w:rsidR="00F84B6E">
        <w:t>,</w:t>
      </w:r>
      <w:r w:rsidR="00240B80">
        <w:t xml:space="preserve"> and warrant a more complex market comparison.</w:t>
      </w:r>
      <w:r w:rsidR="00240B80">
        <w:rPr>
          <w:rStyle w:val="FootnoteReference"/>
        </w:rPr>
        <w:footnoteReference w:id="71"/>
      </w:r>
      <w:r w:rsidR="00632E74">
        <w:t xml:space="preserve"> </w:t>
      </w:r>
      <w:r w:rsidR="00240B80">
        <w:t xml:space="preserve"> </w:t>
      </w:r>
    </w:p>
    <w:p w14:paraId="17346D27" w14:textId="6100A61D" w:rsidR="00611FE7" w:rsidRDefault="00611FE7">
      <w:pPr>
        <w:pStyle w:val="P1-N1Paragraph1-Number1"/>
      </w:pPr>
      <w:r>
        <w:t>Here</w:t>
      </w:r>
      <w:r w:rsidR="002E2CDE">
        <w:t xml:space="preserve"> we are dealing with</w:t>
      </w:r>
      <w:r>
        <w:t xml:space="preserve"> </w:t>
      </w:r>
      <w:r w:rsidR="002E2CDE">
        <w:t>government grants proffered in exchange for no consideration</w:t>
      </w:r>
      <w:r w:rsidRPr="00611FE7">
        <w:t>.  This funding</w:t>
      </w:r>
      <w:r w:rsidR="0098326D">
        <w:t xml:space="preserve"> confers a debt reprieve or financial windfall that </w:t>
      </w:r>
      <w:r w:rsidRPr="00611FE7">
        <w:t>the market for financial services wou</w:t>
      </w:r>
      <w:r w:rsidR="0098326D">
        <w:t>l</w:t>
      </w:r>
      <w:r w:rsidRPr="00611FE7">
        <w:t xml:space="preserve">d never provide on </w:t>
      </w:r>
      <w:r w:rsidR="002E2CDE">
        <w:t>comparable</w:t>
      </w:r>
      <w:r w:rsidR="002E2CDE" w:rsidRPr="00611FE7">
        <w:t xml:space="preserve"> </w:t>
      </w:r>
      <w:r w:rsidRPr="00611FE7">
        <w:t>terms</w:t>
      </w:r>
      <w:r w:rsidR="0090501A">
        <w:t>,</w:t>
      </w:r>
      <w:r w:rsidR="0098326D">
        <w:t xml:space="preserve"> and </w:t>
      </w:r>
      <w:r w:rsidRPr="00611FE7">
        <w:t xml:space="preserve">leaves </w:t>
      </w:r>
      <w:r w:rsidR="0098326D">
        <w:t>sugar</w:t>
      </w:r>
      <w:r w:rsidR="00E9505F">
        <w:t xml:space="preserve"> mills</w:t>
      </w:r>
      <w:r w:rsidR="0098326D" w:rsidRPr="00611FE7">
        <w:t xml:space="preserve"> </w:t>
      </w:r>
      <w:r w:rsidRPr="00611FE7">
        <w:t>better off than they otherwise</w:t>
      </w:r>
      <w:r w:rsidR="00A621DD">
        <w:t xml:space="preserve"> would</w:t>
      </w:r>
      <w:r w:rsidRPr="00611FE7">
        <w:t xml:space="preserve"> be.  </w:t>
      </w:r>
    </w:p>
    <w:p w14:paraId="56E2DEDF" w14:textId="2B866493" w:rsidR="002C6793" w:rsidRDefault="00787393" w:rsidP="00787393">
      <w:pPr>
        <w:pStyle w:val="P1-N1Paragraph1-Number1"/>
      </w:pPr>
      <w:r>
        <w:t xml:space="preserve">I will turn now to India's final argument on the issue of "benefit".  India </w:t>
      </w:r>
      <w:r w:rsidR="0090501A">
        <w:t xml:space="preserve">claims </w:t>
      </w:r>
      <w:r>
        <w:t xml:space="preserve">that </w:t>
      </w:r>
      <w:r w:rsidR="00BB6171">
        <w:t>having</w:t>
      </w:r>
      <w:r>
        <w:t xml:space="preserve"> characterised the challenged measures as grants</w:t>
      </w:r>
      <w:r w:rsidR="00BB6171">
        <w:t>, the complainants must produce evidence</w:t>
      </w:r>
      <w:r>
        <w:t xml:space="preserve"> </w:t>
      </w:r>
      <w:r w:rsidR="002C6793">
        <w:t>of actual payments</w:t>
      </w:r>
      <w:r w:rsidR="00E9505F">
        <w:t>,</w:t>
      </w:r>
      <w:r w:rsidR="00BB6171">
        <w:t xml:space="preserve"> because a "benefit" does not exist in the abstract but must be received and enjoyed by a beneficiary or a recipient."</w:t>
      </w:r>
      <w:r w:rsidR="00BB6171">
        <w:rPr>
          <w:rStyle w:val="FootnoteReference"/>
        </w:rPr>
        <w:footnoteReference w:id="72"/>
      </w:r>
      <w:r w:rsidR="00BB6171">
        <w:t xml:space="preserve"> </w:t>
      </w:r>
    </w:p>
    <w:p w14:paraId="7DD3B90F" w14:textId="610DC715" w:rsidR="00787393" w:rsidRDefault="002C6793" w:rsidP="00787393">
      <w:pPr>
        <w:pStyle w:val="P1-N1Paragraph1-Number1"/>
      </w:pPr>
      <w:r>
        <w:t xml:space="preserve">Australia accepts that in certain circumstances, </w:t>
      </w:r>
      <w:r w:rsidR="00787393">
        <w:t xml:space="preserve">a commitment to </w:t>
      </w:r>
      <w:r>
        <w:t>make financial resources available</w:t>
      </w:r>
      <w:r w:rsidR="00787393">
        <w:t xml:space="preserve"> </w:t>
      </w:r>
      <w:r w:rsidR="003338DC">
        <w:t xml:space="preserve">may confer </w:t>
      </w:r>
      <w:r>
        <w:t>no immediate benefit</w:t>
      </w:r>
      <w:r w:rsidR="00787393">
        <w:t>.</w:t>
      </w:r>
      <w:r w:rsidR="00787393">
        <w:rPr>
          <w:rStyle w:val="FootnoteReference"/>
        </w:rPr>
        <w:footnoteReference w:id="73"/>
      </w:r>
      <w:r w:rsidR="00787393">
        <w:t xml:space="preserve">  </w:t>
      </w:r>
    </w:p>
    <w:p w14:paraId="7D4A701E" w14:textId="0B36BEDE" w:rsidR="00787393" w:rsidRDefault="002C6793" w:rsidP="002C6793">
      <w:pPr>
        <w:pStyle w:val="P1-N1Paragraph1-Number1"/>
      </w:pPr>
      <w:r>
        <w:t>A</w:t>
      </w:r>
      <w:r w:rsidR="00787393">
        <w:t xml:space="preserve"> </w:t>
      </w:r>
      <w:r>
        <w:t xml:space="preserve">legislative </w:t>
      </w:r>
      <w:r w:rsidR="003338DC" w:rsidRPr="003B38B9">
        <w:rPr>
          <w:u w:val="single"/>
        </w:rPr>
        <w:t>commitment</w:t>
      </w:r>
      <w:r w:rsidR="003338DC">
        <w:t xml:space="preserve"> to make funds available</w:t>
      </w:r>
      <w:r w:rsidR="0068676C">
        <w:t>,</w:t>
      </w:r>
      <w:r w:rsidR="003338DC">
        <w:t xml:space="preserve"> subject to the fulfilment of export obligations</w:t>
      </w:r>
      <w:r w:rsidR="0068676C">
        <w:t>,</w:t>
      </w:r>
      <w:r w:rsidR="0090501A">
        <w:t xml:space="preserve"> </w:t>
      </w:r>
      <w:r>
        <w:t>is not such a circumstance.</w:t>
      </w:r>
      <w:r w:rsidR="002930D6">
        <w:rPr>
          <w:rStyle w:val="FootnoteReference"/>
        </w:rPr>
        <w:footnoteReference w:id="74"/>
      </w:r>
      <w:r w:rsidR="00787393">
        <w:t xml:space="preserve"> </w:t>
      </w:r>
    </w:p>
    <w:p w14:paraId="45E68E23" w14:textId="480731BA" w:rsidR="008A23B5" w:rsidRDefault="008A23B5" w:rsidP="008A23B5">
      <w:pPr>
        <w:pStyle w:val="HL2HeadingLevel2"/>
      </w:pPr>
      <w:bookmarkStart w:id="19" w:name="_Toc67228991"/>
      <w:bookmarkStart w:id="20" w:name="_Toc67228992"/>
      <w:bookmarkStart w:id="21" w:name="_Toc67475501"/>
      <w:bookmarkEnd w:id="19"/>
      <w:bookmarkEnd w:id="20"/>
      <w:r>
        <w:t>India acknowledges that the purpose of the MAEQ scheme is to relieve mills of cane arrears</w:t>
      </w:r>
      <w:bookmarkEnd w:id="21"/>
    </w:p>
    <w:p w14:paraId="2F2A2040" w14:textId="0DEEA9D5" w:rsidR="0051073D" w:rsidRDefault="00553DE8" w:rsidP="00D96A60">
      <w:pPr>
        <w:pStyle w:val="P1-N1Paragraph1-Number1"/>
      </w:pPr>
      <w:r w:rsidRPr="00FC78C1">
        <w:t xml:space="preserve">I </w:t>
      </w:r>
      <w:r w:rsidR="002A03C4" w:rsidRPr="00FC78C1">
        <w:t xml:space="preserve">now </w:t>
      </w:r>
      <w:r w:rsidR="00B35257" w:rsidRPr="00FC78C1">
        <w:t xml:space="preserve">turn to </w:t>
      </w:r>
      <w:r w:rsidRPr="00FC78C1">
        <w:t>Australia's</w:t>
      </w:r>
      <w:r>
        <w:t xml:space="preserve"> arguments regarding Ind</w:t>
      </w:r>
      <w:r w:rsidR="00A13189">
        <w:t>ia's MAEQ scheme</w:t>
      </w:r>
      <w:r w:rsidR="00B35257">
        <w:t>, which I will not restate at length</w:t>
      </w:r>
      <w:r w:rsidR="00A13189">
        <w:t xml:space="preserve">.  </w:t>
      </w:r>
    </w:p>
    <w:p w14:paraId="4163891D" w14:textId="0D2FE9CF" w:rsidR="0051073D" w:rsidRDefault="00A13189" w:rsidP="0051073D">
      <w:pPr>
        <w:pStyle w:val="P1-N1Paragraph1-Number1"/>
      </w:pPr>
      <w:r>
        <w:lastRenderedPageBreak/>
        <w:t xml:space="preserve">Australia is not obliged to show that the scheme is </w:t>
      </w:r>
      <w:r>
        <w:rPr>
          <w:u w:val="single"/>
        </w:rPr>
        <w:t>not</w:t>
      </w:r>
      <w:r>
        <w:t xml:space="preserve"> a subsidy of the kind identified in Articles 9.1(d) or (e).</w:t>
      </w:r>
      <w:r w:rsidR="00F51349">
        <w:rPr>
          <w:rStyle w:val="FootnoteReference"/>
        </w:rPr>
        <w:footnoteReference w:id="75"/>
      </w:r>
      <w:r>
        <w:t xml:space="preserve">  We note, however, the significant evidence that the scheme does not </w:t>
      </w:r>
      <w:r w:rsidR="0051073D">
        <w:t>enjoy the protection</w:t>
      </w:r>
      <w:r w:rsidR="005179AB">
        <w:t>s</w:t>
      </w:r>
      <w:r w:rsidR="0051073D">
        <w:t xml:space="preserve"> of those </w:t>
      </w:r>
      <w:r w:rsidR="0059703E">
        <w:t>A</w:t>
      </w:r>
      <w:r w:rsidR="0051073D">
        <w:t>rticles.</w:t>
      </w:r>
      <w:r w:rsidR="00BE7198">
        <w:rPr>
          <w:rStyle w:val="FootnoteReference"/>
        </w:rPr>
        <w:footnoteReference w:id="76"/>
      </w:r>
      <w:r>
        <w:t xml:space="preserve">  </w:t>
      </w:r>
    </w:p>
    <w:p w14:paraId="3036FFCF" w14:textId="1F088D66" w:rsidR="00FC78C1" w:rsidRDefault="0051073D" w:rsidP="0051073D">
      <w:pPr>
        <w:pStyle w:val="P1-N1Paragraph1-Number1"/>
      </w:pPr>
      <w:r>
        <w:t>T</w:t>
      </w:r>
      <w:r w:rsidR="00BE7198">
        <w:t>he MAEQ scheme</w:t>
      </w:r>
      <w:r w:rsidR="00A13189">
        <w:t xml:space="preserve"> does not serve any of the purposes identified in Articles</w:t>
      </w:r>
      <w:r w:rsidR="0059703E">
        <w:t> </w:t>
      </w:r>
      <w:r w:rsidR="00A13189">
        <w:t xml:space="preserve">9.1(d) </w:t>
      </w:r>
      <w:r w:rsidR="00606998">
        <w:t>or</w:t>
      </w:r>
      <w:r w:rsidR="00A13189">
        <w:t xml:space="preserve"> (e)</w:t>
      </w:r>
      <w:r w:rsidR="00BE7198">
        <w:t>.</w:t>
      </w:r>
      <w:r w:rsidR="00BE7198">
        <w:rPr>
          <w:rStyle w:val="FootnoteReference"/>
        </w:rPr>
        <w:footnoteReference w:id="77"/>
      </w:r>
      <w:r w:rsidR="00BE7198">
        <w:t xml:space="preserve">  </w:t>
      </w:r>
      <w:r w:rsidR="00FC78C1">
        <w:t xml:space="preserve">Nor </w:t>
      </w:r>
      <w:r w:rsidR="00557E6C">
        <w:t>is</w:t>
      </w:r>
      <w:r w:rsidR="00FC78C1">
        <w:t xml:space="preserve"> there any relationship between MAEQ lump sums and actual costs of the types identified in those Articles.  </w:t>
      </w:r>
    </w:p>
    <w:p w14:paraId="11A7E294" w14:textId="62D5A3F3" w:rsidR="0051073D" w:rsidRDefault="00BE7198" w:rsidP="0051073D">
      <w:pPr>
        <w:pStyle w:val="P1-N1Paragraph1-Number1"/>
      </w:pPr>
      <w:r>
        <w:t xml:space="preserve">The available evidence </w:t>
      </w:r>
      <w:r w:rsidR="0051073D">
        <w:t xml:space="preserve">regarding </w:t>
      </w:r>
      <w:r w:rsidR="00FC78C1">
        <w:t xml:space="preserve">the MAEQ scheme's </w:t>
      </w:r>
      <w:r>
        <w:t>design, structure and operation points to its purpose being to help relieve mills of debts to cane farmers.</w:t>
      </w:r>
      <w:r>
        <w:rPr>
          <w:rStyle w:val="FootnoteReference"/>
        </w:rPr>
        <w:footnoteReference w:id="78"/>
      </w:r>
      <w:r w:rsidR="00EC0A4A">
        <w:t xml:space="preserve">  </w:t>
      </w:r>
    </w:p>
    <w:p w14:paraId="576D2185" w14:textId="52454A6B" w:rsidR="00426E51" w:rsidRPr="00426E51" w:rsidRDefault="0051073D" w:rsidP="0051073D">
      <w:pPr>
        <w:pStyle w:val="P1-N1Paragraph1-Number1"/>
      </w:pPr>
      <w:r>
        <w:t xml:space="preserve">India </w:t>
      </w:r>
      <w:r w:rsidR="00EC0A4A">
        <w:t>acknowledge</w:t>
      </w:r>
      <w:r w:rsidR="009F62BB">
        <w:t>s</w:t>
      </w:r>
      <w:r w:rsidR="00EC0A4A">
        <w:t xml:space="preserve"> this</w:t>
      </w:r>
      <w:r w:rsidR="00557E6C">
        <w:t xml:space="preserve"> </w:t>
      </w:r>
      <w:r w:rsidR="009F62BB">
        <w:t xml:space="preserve">in its </w:t>
      </w:r>
      <w:r w:rsidR="00EC5367">
        <w:t>s</w:t>
      </w:r>
      <w:r w:rsidR="009F62BB">
        <w:t xml:space="preserve">econd </w:t>
      </w:r>
      <w:r w:rsidR="00EC5367">
        <w:t>w</w:t>
      </w:r>
      <w:r w:rsidR="009F62BB">
        <w:t xml:space="preserve">ritten </w:t>
      </w:r>
      <w:r w:rsidR="00EC5367">
        <w:t>s</w:t>
      </w:r>
      <w:r w:rsidR="009F62BB">
        <w:t xml:space="preserve">ubmission, </w:t>
      </w:r>
      <w:r w:rsidR="00FC78C1">
        <w:t xml:space="preserve">insisting, </w:t>
      </w:r>
      <w:r w:rsidR="00632E74">
        <w:t>incorrectly</w:t>
      </w:r>
      <w:r w:rsidR="00FC78C1">
        <w:t>, that</w:t>
      </w:r>
      <w:r w:rsidR="00632E74">
        <w:t>,</w:t>
      </w:r>
      <w:r w:rsidR="00EC0A4A">
        <w:t xml:space="preserve"> </w:t>
      </w:r>
      <w:r w:rsidR="00EC0A4A">
        <w:rPr>
          <w:rFonts w:cs="Verdana"/>
          <w:szCs w:val="18"/>
        </w:rPr>
        <w:t>"</w:t>
      </w:r>
      <w:r w:rsidR="00EC0A4A" w:rsidRPr="00305647">
        <w:rPr>
          <w:rFonts w:cs="Verdana"/>
          <w:szCs w:val="18"/>
        </w:rPr>
        <w:t>merely because the recipients are to use the funds for a specific purpose does not diminish the fact that the funds are in fact provided in lieu of marketing and transport costs.</w:t>
      </w:r>
      <w:r w:rsidR="00EC0A4A">
        <w:rPr>
          <w:rFonts w:cs="Verdana"/>
          <w:szCs w:val="18"/>
        </w:rPr>
        <w:t>"</w:t>
      </w:r>
      <w:r w:rsidR="00EC0A4A">
        <w:rPr>
          <w:rStyle w:val="FootnoteReference"/>
        </w:rPr>
        <w:footnoteReference w:id="79"/>
      </w:r>
      <w:r w:rsidR="00EC0A4A">
        <w:rPr>
          <w:rFonts w:cs="Verdana"/>
          <w:szCs w:val="18"/>
        </w:rPr>
        <w:t xml:space="preserve">  </w:t>
      </w:r>
    </w:p>
    <w:p w14:paraId="4FA46DB7" w14:textId="207AE969" w:rsidR="00D96A60" w:rsidRPr="005B498D" w:rsidRDefault="00426E51" w:rsidP="00D96A60">
      <w:pPr>
        <w:pStyle w:val="P1-N1Paragraph1-Number1"/>
      </w:pPr>
      <w:r>
        <w:rPr>
          <w:rFonts w:cs="Verdana"/>
          <w:szCs w:val="18"/>
        </w:rPr>
        <w:t xml:space="preserve">In light of </w:t>
      </w:r>
      <w:r w:rsidR="009F5BD8">
        <w:rPr>
          <w:rFonts w:cs="Verdana"/>
          <w:szCs w:val="18"/>
        </w:rPr>
        <w:t xml:space="preserve">this acknowledgement and the scant evidence of any connection between payments under the </w:t>
      </w:r>
      <w:r w:rsidR="00392BA4">
        <w:rPr>
          <w:rFonts w:cs="Verdana"/>
          <w:szCs w:val="18"/>
        </w:rPr>
        <w:t xml:space="preserve">MAEQ </w:t>
      </w:r>
      <w:r w:rsidR="009F5BD8">
        <w:rPr>
          <w:rFonts w:cs="Verdana"/>
          <w:szCs w:val="18"/>
        </w:rPr>
        <w:t xml:space="preserve">scheme and actual </w:t>
      </w:r>
      <w:r w:rsidR="00FC78C1">
        <w:rPr>
          <w:rFonts w:cs="Verdana"/>
          <w:szCs w:val="18"/>
        </w:rPr>
        <w:t>costs</w:t>
      </w:r>
      <w:r w:rsidR="009F5BD8">
        <w:rPr>
          <w:rFonts w:cs="Verdana"/>
          <w:szCs w:val="18"/>
        </w:rPr>
        <w:t xml:space="preserve">, </w:t>
      </w:r>
      <w:r>
        <w:rPr>
          <w:rFonts w:cs="Verdana"/>
          <w:szCs w:val="18"/>
        </w:rPr>
        <w:t>there is</w:t>
      </w:r>
      <w:r w:rsidR="009F5BD8">
        <w:rPr>
          <w:rFonts w:cs="Verdana"/>
          <w:szCs w:val="18"/>
        </w:rPr>
        <w:t xml:space="preserve"> </w:t>
      </w:r>
      <w:r w:rsidR="00490AB3">
        <w:rPr>
          <w:rFonts w:cs="Verdana"/>
          <w:szCs w:val="18"/>
        </w:rPr>
        <w:t xml:space="preserve">no basis upon which to conclude that </w:t>
      </w:r>
      <w:r w:rsidR="00557E6C">
        <w:rPr>
          <w:rFonts w:cs="Verdana"/>
          <w:szCs w:val="18"/>
        </w:rPr>
        <w:t>the scheme</w:t>
      </w:r>
      <w:r w:rsidR="004B4C05">
        <w:rPr>
          <w:rFonts w:cs="Verdana"/>
          <w:szCs w:val="18"/>
        </w:rPr>
        <w:t xml:space="preserve"> </w:t>
      </w:r>
      <w:r w:rsidR="00490AB3">
        <w:rPr>
          <w:rFonts w:cs="Verdana"/>
          <w:szCs w:val="18"/>
        </w:rPr>
        <w:t xml:space="preserve">falls within either of </w:t>
      </w:r>
      <w:r w:rsidR="005B7D5A">
        <w:rPr>
          <w:rFonts w:cs="Verdana"/>
          <w:szCs w:val="18"/>
        </w:rPr>
        <w:t xml:space="preserve">the </w:t>
      </w:r>
      <w:r w:rsidR="00490AB3">
        <w:rPr>
          <w:rFonts w:cs="Verdana"/>
          <w:szCs w:val="18"/>
        </w:rPr>
        <w:t xml:space="preserve">Articles 9.1(d) or (e). </w:t>
      </w:r>
    </w:p>
    <w:p w14:paraId="604944EE" w14:textId="77777777" w:rsidR="005B498D" w:rsidRPr="00682A09" w:rsidRDefault="005B498D" w:rsidP="00682A09">
      <w:pPr>
        <w:pStyle w:val="HL2HeadingLevel2"/>
        <w:rPr>
          <w:b w:val="0"/>
        </w:rPr>
      </w:pPr>
      <w:bookmarkStart w:id="22" w:name="_Toc67475502"/>
      <w:r w:rsidRPr="005B498D">
        <w:t>India has confirmed Australia's understanding of how the DFIA scheme works and the scheme does not fall within footnote 1 of the SCM Agreement</w:t>
      </w:r>
      <w:bookmarkEnd w:id="22"/>
    </w:p>
    <w:p w14:paraId="75E64902" w14:textId="100B9A16" w:rsidR="005B498D" w:rsidRPr="005B498D" w:rsidRDefault="005B498D" w:rsidP="005B498D">
      <w:pPr>
        <w:pStyle w:val="P1-N1Paragraph1-Number1"/>
        <w:rPr>
          <w:rFonts w:cs="Verdana"/>
          <w:szCs w:val="18"/>
        </w:rPr>
      </w:pPr>
      <w:r w:rsidRPr="005B498D">
        <w:rPr>
          <w:rFonts w:cs="Verdana"/>
          <w:szCs w:val="18"/>
        </w:rPr>
        <w:t xml:space="preserve">I will now turn to India's DFIA scheme.  Australia maintains that the scheme does not fall within footnote 1 to the SCM Agreement. </w:t>
      </w:r>
      <w:r w:rsidR="00606998">
        <w:rPr>
          <w:rFonts w:cs="Verdana"/>
          <w:szCs w:val="18"/>
        </w:rPr>
        <w:t>Footnote 1</w:t>
      </w:r>
      <w:r w:rsidRPr="005B498D">
        <w:rPr>
          <w:rFonts w:cs="Verdana"/>
          <w:szCs w:val="18"/>
        </w:rPr>
        <w:t xml:space="preserve"> applies to situations involving the use of imported inputs in exported products.</w:t>
      </w:r>
      <w:r w:rsidRPr="005B498D">
        <w:rPr>
          <w:rFonts w:cs="Verdana"/>
          <w:szCs w:val="18"/>
          <w:vertAlign w:val="superscript"/>
        </w:rPr>
        <w:footnoteReference w:id="80"/>
      </w:r>
      <w:r w:rsidR="00606998" w:rsidRPr="00606998">
        <w:rPr>
          <w:rFonts w:cs="Verdana"/>
          <w:szCs w:val="18"/>
        </w:rPr>
        <w:t xml:space="preserve"> </w:t>
      </w:r>
      <w:r w:rsidR="00606998">
        <w:rPr>
          <w:rFonts w:cs="Verdana"/>
          <w:szCs w:val="18"/>
        </w:rPr>
        <w:t xml:space="preserve">The DFIA scheme operates in reverse to the </w:t>
      </w:r>
      <w:r w:rsidR="00606998" w:rsidRPr="005B498D">
        <w:rPr>
          <w:rFonts w:cs="Verdana"/>
          <w:szCs w:val="18"/>
        </w:rPr>
        <w:t>sequencing logic of footnote 1</w:t>
      </w:r>
      <w:r w:rsidR="00606998">
        <w:rPr>
          <w:rFonts w:cs="Verdana"/>
          <w:szCs w:val="18"/>
        </w:rPr>
        <w:t>.</w:t>
      </w:r>
    </w:p>
    <w:p w14:paraId="1E8BB6CF" w14:textId="45E49FA1" w:rsidR="005B498D" w:rsidRPr="005B498D" w:rsidRDefault="005B498D" w:rsidP="005B498D">
      <w:pPr>
        <w:pStyle w:val="P1-N1Paragraph1-Number1"/>
        <w:rPr>
          <w:rFonts w:cs="Verdana"/>
          <w:szCs w:val="18"/>
        </w:rPr>
      </w:pPr>
      <w:r w:rsidRPr="005B498D">
        <w:rPr>
          <w:rFonts w:cs="Verdana"/>
          <w:szCs w:val="18"/>
        </w:rPr>
        <w:t xml:space="preserve">As Australia will explain in its responses to the Panel's questions 23 to 27, the scheme operates post-export, waiving duties on </w:t>
      </w:r>
      <w:r w:rsidRPr="005B498D">
        <w:rPr>
          <w:rFonts w:cs="Verdana"/>
          <w:szCs w:val="18"/>
          <w:u w:val="single"/>
        </w:rPr>
        <w:t>future</w:t>
      </w:r>
      <w:r w:rsidRPr="005B498D">
        <w:rPr>
          <w:rFonts w:cs="Verdana"/>
          <w:szCs w:val="18"/>
        </w:rPr>
        <w:t xml:space="preserve"> raw sugar imports that </w:t>
      </w:r>
      <w:r w:rsidRPr="005B498D">
        <w:rPr>
          <w:rFonts w:cs="Verdana"/>
          <w:szCs w:val="18"/>
          <w:u w:val="single"/>
        </w:rPr>
        <w:t>cannot</w:t>
      </w:r>
      <w:r w:rsidRPr="005B498D">
        <w:rPr>
          <w:rFonts w:cs="Verdana"/>
          <w:szCs w:val="18"/>
        </w:rPr>
        <w:t xml:space="preserve"> qualify as </w:t>
      </w:r>
      <w:r w:rsidRPr="005B498D">
        <w:rPr>
          <w:rFonts w:cs="Verdana"/>
          <w:szCs w:val="18"/>
        </w:rPr>
        <w:lastRenderedPageBreak/>
        <w:t>"inputs" physically incorporated</w:t>
      </w:r>
      <w:r w:rsidR="00606998">
        <w:rPr>
          <w:rFonts w:cs="Verdana"/>
          <w:szCs w:val="18"/>
        </w:rPr>
        <w:t>,</w:t>
      </w:r>
      <w:r w:rsidRPr="005B498D">
        <w:rPr>
          <w:rFonts w:cs="Verdana"/>
          <w:szCs w:val="18"/>
        </w:rPr>
        <w:t xml:space="preserve"> or present in</w:t>
      </w:r>
      <w:r w:rsidR="00606998">
        <w:rPr>
          <w:rFonts w:cs="Verdana"/>
          <w:szCs w:val="18"/>
        </w:rPr>
        <w:t>,</w:t>
      </w:r>
      <w:r w:rsidRPr="005B498D">
        <w:rPr>
          <w:rFonts w:cs="Verdana"/>
          <w:szCs w:val="18"/>
        </w:rPr>
        <w:t xml:space="preserve"> the white sugar exports upon which eligibility for duty waivers depends.  </w:t>
      </w:r>
    </w:p>
    <w:p w14:paraId="70F0D805" w14:textId="77777777" w:rsidR="005B498D" w:rsidRPr="005B498D" w:rsidRDefault="005B498D" w:rsidP="005B498D">
      <w:pPr>
        <w:pStyle w:val="P1-N1Paragraph1-Number1"/>
        <w:rPr>
          <w:rFonts w:cs="Verdana"/>
          <w:szCs w:val="18"/>
        </w:rPr>
      </w:pPr>
      <w:r w:rsidRPr="005B498D">
        <w:rPr>
          <w:rFonts w:cs="Verdana"/>
          <w:szCs w:val="18"/>
        </w:rPr>
        <w:t>India has confirmed the sequence in which the scheme operates, agreeing, in particular, that it applies to "future raw sugar".</w:t>
      </w:r>
      <w:r w:rsidRPr="005B498D">
        <w:rPr>
          <w:rFonts w:cs="Verdana"/>
          <w:szCs w:val="18"/>
          <w:vertAlign w:val="superscript"/>
        </w:rPr>
        <w:footnoteReference w:id="81"/>
      </w:r>
      <w:r w:rsidRPr="005B498D">
        <w:rPr>
          <w:rFonts w:cs="Verdana"/>
          <w:szCs w:val="18"/>
        </w:rPr>
        <w:t xml:space="preserve">  Nonetheless, India also insists that DFIA is available for "only the specific inputs actually consumed in the export product".</w:t>
      </w:r>
      <w:r w:rsidRPr="005B498D">
        <w:rPr>
          <w:rFonts w:cs="Verdana"/>
          <w:szCs w:val="18"/>
          <w:vertAlign w:val="superscript"/>
        </w:rPr>
        <w:footnoteReference w:id="82"/>
      </w:r>
      <w:r w:rsidRPr="005B498D">
        <w:rPr>
          <w:rFonts w:cs="Verdana"/>
          <w:szCs w:val="18"/>
        </w:rPr>
        <w:t xml:space="preserve">  </w:t>
      </w:r>
    </w:p>
    <w:p w14:paraId="629C3A31" w14:textId="33235411" w:rsidR="005B498D" w:rsidRPr="005B498D" w:rsidRDefault="00606998" w:rsidP="005B498D">
      <w:pPr>
        <w:pStyle w:val="P1-N1Paragraph1-Number1"/>
        <w:rPr>
          <w:rFonts w:cs="Verdana"/>
          <w:szCs w:val="18"/>
        </w:rPr>
      </w:pPr>
      <w:r>
        <w:rPr>
          <w:rFonts w:cs="Verdana"/>
          <w:szCs w:val="18"/>
        </w:rPr>
        <w:t xml:space="preserve">The operation of the DFIA scheme, confirmed by India, is </w:t>
      </w:r>
      <w:r w:rsidR="005B498D" w:rsidRPr="005B498D">
        <w:rPr>
          <w:rFonts w:cs="Verdana"/>
          <w:szCs w:val="18"/>
        </w:rPr>
        <w:t>fundamentally inconsistent</w:t>
      </w:r>
      <w:r>
        <w:rPr>
          <w:rFonts w:cs="Verdana"/>
          <w:szCs w:val="18"/>
        </w:rPr>
        <w:t xml:space="preserve"> with the sequencing of footnote 1</w:t>
      </w:r>
      <w:r w:rsidR="00B33242">
        <w:rPr>
          <w:rFonts w:cs="Verdana"/>
          <w:szCs w:val="18"/>
        </w:rPr>
        <w:t xml:space="preserve"> to the SCM Agreement.</w:t>
      </w:r>
    </w:p>
    <w:p w14:paraId="250BE641" w14:textId="24837548" w:rsidR="008A23B5" w:rsidRDefault="008A23B5" w:rsidP="008A23B5">
      <w:pPr>
        <w:pStyle w:val="HL2HeadingLevel2"/>
      </w:pPr>
      <w:bookmarkStart w:id="23" w:name="_Toc67475503"/>
      <w:r>
        <w:t xml:space="preserve">India is subject to the SCM Agreement's export subsidy prohibition and the </w:t>
      </w:r>
      <w:r w:rsidR="00AE49FA">
        <w:t>exemption upon which it relies has expired</w:t>
      </w:r>
      <w:bookmarkEnd w:id="23"/>
    </w:p>
    <w:p w14:paraId="623703A7" w14:textId="4A5D7946" w:rsidR="00F62BB4" w:rsidRDefault="00857D5D" w:rsidP="00F62BB4">
      <w:pPr>
        <w:pStyle w:val="P1-N1Paragraph1-Number1"/>
      </w:pPr>
      <w:r>
        <w:t>Finally, I want to touch very briefly on India's sustained insistence that it continues to be exempt from the SCM Agreement's export subsidies prohibition.</w:t>
      </w:r>
      <w:r>
        <w:rPr>
          <w:rStyle w:val="FootnoteReference"/>
        </w:rPr>
        <w:footnoteReference w:id="83"/>
      </w:r>
      <w:r>
        <w:t xml:space="preserve">  </w:t>
      </w:r>
    </w:p>
    <w:p w14:paraId="46D0BBE0" w14:textId="0FEC08CD" w:rsidR="00B07FF4" w:rsidRDefault="00857D5D" w:rsidP="00F62BB4">
      <w:pPr>
        <w:pStyle w:val="P1-N1Paragraph1-Number1"/>
      </w:pPr>
      <w:r>
        <w:t>Australia has rebutted comprehensively India's argument that</w:t>
      </w:r>
      <w:r w:rsidR="0059703E">
        <w:t>,</w:t>
      </w:r>
      <w:r>
        <w:t xml:space="preserve"> pursuant to Article</w:t>
      </w:r>
      <w:r w:rsidR="005B498D">
        <w:t> </w:t>
      </w:r>
      <w:r>
        <w:t>27.2 and Ann</w:t>
      </w:r>
      <w:r w:rsidR="00B07FF4">
        <w:t>ex VII of the SCM Agreement, it is still within a flexible export subsidy phase out period.</w:t>
      </w:r>
      <w:r w:rsidR="00EC5367">
        <w:rPr>
          <w:rStyle w:val="FootnoteReference"/>
        </w:rPr>
        <w:footnoteReference w:id="84"/>
      </w:r>
      <w:r w:rsidR="00B07FF4">
        <w:t xml:space="preserve">  </w:t>
      </w:r>
    </w:p>
    <w:p w14:paraId="7776F5D0" w14:textId="413BA442" w:rsidR="00B07FF4" w:rsidRDefault="00B07FF4" w:rsidP="00B07FF4">
      <w:pPr>
        <w:pStyle w:val="P1-N1Paragraph1-Number1"/>
      </w:pPr>
      <w:r>
        <w:t xml:space="preserve">India has not developed further the arguments regarding Article 27.2 </w:t>
      </w:r>
      <w:r w:rsidR="0059703E">
        <w:t xml:space="preserve">that </w:t>
      </w:r>
      <w:r>
        <w:t>the panel reject</w:t>
      </w:r>
      <w:r w:rsidR="0059703E">
        <w:t>ed</w:t>
      </w:r>
      <w:r>
        <w:t xml:space="preserve"> comprehensively in </w:t>
      </w:r>
      <w:r>
        <w:rPr>
          <w:i/>
        </w:rPr>
        <w:t>India – Export Related Measures</w:t>
      </w:r>
      <w:r>
        <w:t>.</w:t>
      </w:r>
      <w:r w:rsidR="006A5795">
        <w:rPr>
          <w:rStyle w:val="FootnoteReference"/>
        </w:rPr>
        <w:footnoteReference w:id="85"/>
      </w:r>
      <w:r>
        <w:t xml:space="preserve">  </w:t>
      </w:r>
    </w:p>
    <w:p w14:paraId="30C7151E" w14:textId="7B15947D" w:rsidR="00B07FF4" w:rsidRDefault="00303249" w:rsidP="00B07FF4">
      <w:pPr>
        <w:pStyle w:val="P1-N1Paragraph1-Number1"/>
      </w:pPr>
      <w:r>
        <w:t>Australia maintains that t</w:t>
      </w:r>
      <w:r w:rsidR="00B07FF4">
        <w:t>he eight-year export phase</w:t>
      </w:r>
      <w:r w:rsidR="004B4C05">
        <w:t>-</w:t>
      </w:r>
      <w:r w:rsidR="00B07FF4">
        <w:t>out period referred to in Article</w:t>
      </w:r>
      <w:r>
        <w:t> </w:t>
      </w:r>
      <w:r w:rsidR="00B07FF4">
        <w:t>27.2(b) of the SCM Agreement has expired</w:t>
      </w:r>
      <w:r w:rsidR="004B4C05">
        <w:t xml:space="preserve">.  This, together with the fact that </w:t>
      </w:r>
      <w:r w:rsidR="00F141DA">
        <w:t>India has graduated from Annex VII(b)</w:t>
      </w:r>
      <w:r w:rsidR="00FC78C1">
        <w:t xml:space="preserve">, </w:t>
      </w:r>
      <w:r w:rsidR="004B4C05">
        <w:t>mean it is subject</w:t>
      </w:r>
      <w:r w:rsidR="00FC78C1">
        <w:t xml:space="preserve"> to the</w:t>
      </w:r>
      <w:r w:rsidR="00B07FF4">
        <w:t xml:space="preserve"> prohibition</w:t>
      </w:r>
      <w:r w:rsidR="004B4C05">
        <w:t xml:space="preserve"> on export subsidies</w:t>
      </w:r>
      <w:r w:rsidR="00B07FF4">
        <w:t xml:space="preserve"> in Article</w:t>
      </w:r>
      <w:r w:rsidR="00392BA4">
        <w:t> </w:t>
      </w:r>
      <w:r w:rsidR="00B07FF4">
        <w:t>3.1(a)</w:t>
      </w:r>
      <w:r w:rsidR="004B4C05">
        <w:t xml:space="preserve"> of the SCM Agreement</w:t>
      </w:r>
      <w:r w:rsidR="00B07FF4">
        <w:t xml:space="preserve">.   </w:t>
      </w:r>
    </w:p>
    <w:p w14:paraId="1C0B2B67" w14:textId="5F88F94C" w:rsidR="00FB480A" w:rsidRDefault="00FB480A" w:rsidP="00FB480A">
      <w:pPr>
        <w:pStyle w:val="HL2HeadingLevel2"/>
      </w:pPr>
      <w:bookmarkStart w:id="24" w:name="_Toc67475504"/>
      <w:r>
        <w:t>Conclusion</w:t>
      </w:r>
      <w:bookmarkEnd w:id="24"/>
    </w:p>
    <w:p w14:paraId="24D0CBA0" w14:textId="45514982" w:rsidR="00FB480A" w:rsidRPr="00FB480A" w:rsidRDefault="004B4C05" w:rsidP="00FB480A">
      <w:pPr>
        <w:pStyle w:val="P1-N1Paragraph1-Number1"/>
      </w:pPr>
      <w:r>
        <w:t>In sum</w:t>
      </w:r>
      <w:r w:rsidR="008D3051">
        <w:t>,</w:t>
      </w:r>
      <w:r w:rsidR="00DA5E59">
        <w:t xml:space="preserve"> India's production and buffer stock subsidies, and its MAEQ and DFIA schemes</w:t>
      </w:r>
      <w:r w:rsidR="00E9505F">
        <w:t>,</w:t>
      </w:r>
      <w:r w:rsidR="00DA5E59">
        <w:t xml:space="preserve"> are export subsidies within the meaning of Article 9.1(a) of the Agreement on Agriculture and Article 3.1(a) of the SCM Agreement.</w:t>
      </w:r>
      <w:r w:rsidR="008D3051">
        <w:t xml:space="preserve"> </w:t>
      </w:r>
      <w:r w:rsidR="00DA5E59">
        <w:t xml:space="preserve"> </w:t>
      </w:r>
      <w:r w:rsidR="00A86CCC">
        <w:t xml:space="preserve">We urge the Panel to reject </w:t>
      </w:r>
      <w:r w:rsidR="00FC78C1">
        <w:t xml:space="preserve">the </w:t>
      </w:r>
      <w:r w:rsidR="00FC78C1">
        <w:lastRenderedPageBreak/>
        <w:t>inaccurate factual assertions and flawed legal reasoning</w:t>
      </w:r>
      <w:r w:rsidR="00A86CCC">
        <w:t xml:space="preserve"> </w:t>
      </w:r>
      <w:r w:rsidR="00FC78C1">
        <w:t>with which India</w:t>
      </w:r>
      <w:r w:rsidR="00B33242">
        <w:t xml:space="preserve"> seeks to</w:t>
      </w:r>
      <w:r w:rsidR="00A86CCC">
        <w:t xml:space="preserve"> defend its measures</w:t>
      </w:r>
      <w:r w:rsidR="00FC78C1">
        <w:t xml:space="preserve"> and, consequently, to</w:t>
      </w:r>
      <w:r>
        <w:t xml:space="preserve"> find</w:t>
      </w:r>
      <w:r w:rsidR="00FC78C1">
        <w:t xml:space="preserve"> India in violation of its obligations under both agreements</w:t>
      </w:r>
      <w:r w:rsidR="00A86CCC">
        <w:t xml:space="preserve">.  </w:t>
      </w:r>
    </w:p>
    <w:p w14:paraId="1B3FAB9B" w14:textId="46376608" w:rsidR="00F62BB4" w:rsidRDefault="00F62BB4" w:rsidP="00F62BB4">
      <w:pPr>
        <w:pStyle w:val="HL1HeadingLevel1"/>
      </w:pPr>
      <w:bookmarkStart w:id="25" w:name="_Toc67475505"/>
      <w:r>
        <w:t>INDIA HAS BREACHED ITS OBLIGATIONS TO NOTIFY ITS DOMESTIC SUPPORT AND EXPORT SUBSIDIES</w:t>
      </w:r>
      <w:bookmarkEnd w:id="25"/>
    </w:p>
    <w:p w14:paraId="455B8D95" w14:textId="561CB87E" w:rsidR="002B673A" w:rsidRDefault="002B673A" w:rsidP="00275FEB">
      <w:pPr>
        <w:pStyle w:val="P1-N1Paragraph1-Number1"/>
      </w:pPr>
      <w:r>
        <w:t xml:space="preserve">I turn now to Australia's claim that India has breached its obligation to notify </w:t>
      </w:r>
      <w:r w:rsidR="00C10A45">
        <w:t xml:space="preserve">the WTO Membership of the measures Australia challenges in this dispute. </w:t>
      </w:r>
    </w:p>
    <w:p w14:paraId="0516825C" w14:textId="4EE81066" w:rsidR="00275FEB" w:rsidRDefault="00275FEB" w:rsidP="00275FEB">
      <w:pPr>
        <w:pStyle w:val="P1-N1Paragraph1-Number1"/>
      </w:pPr>
      <w:r>
        <w:t xml:space="preserve">Transparency is a fundamental element of the multilateral trading system.  It </w:t>
      </w:r>
      <w:r w:rsidR="001D7511">
        <w:t>supports the predictability of</w:t>
      </w:r>
      <w:r w:rsidR="00BB6171">
        <w:t xml:space="preserve"> </w:t>
      </w:r>
      <w:r>
        <w:t>the trading environment for all stakeholders.</w:t>
      </w:r>
      <w:r w:rsidR="00C10A45">
        <w:t xml:space="preserve">  In the WTO, notifications are an essential mechanism to ensure transparency and facilitate monitoring of compliance with Members' WTO obligations.</w:t>
      </w:r>
      <w:r w:rsidR="00C10A45">
        <w:rPr>
          <w:rStyle w:val="FootnoteReference"/>
        </w:rPr>
        <w:footnoteReference w:id="86"/>
      </w:r>
      <w:r w:rsidR="00C10A45">
        <w:t xml:space="preserve"> </w:t>
      </w:r>
    </w:p>
    <w:p w14:paraId="3076F6A2" w14:textId="4402147D" w:rsidR="00275FEB" w:rsidRDefault="00275FEB" w:rsidP="00275FEB">
      <w:pPr>
        <w:pStyle w:val="P1-N1Paragraph1-Number1"/>
      </w:pPr>
      <w:r>
        <w:t>Australia has established that India maintains domestic support for sugarcane producers and export subsidies for sugar.</w:t>
      </w:r>
    </w:p>
    <w:p w14:paraId="5EE06836" w14:textId="231BC003" w:rsidR="00275FEB" w:rsidRDefault="00F72F65" w:rsidP="00275FEB">
      <w:pPr>
        <w:pStyle w:val="P1-N1Paragraph1-Number1"/>
      </w:pPr>
      <w:r>
        <w:t xml:space="preserve">Australia has also established </w:t>
      </w:r>
      <w:r w:rsidR="00275FEB">
        <w:t>that India has not notified its domestic support to sugarcane since its 1995–96 notification, or its export subsidies for sugar since its notification of 2009</w:t>
      </w:r>
      <w:r w:rsidR="00275FEB" w:rsidRPr="00F638FC">
        <w:t>–</w:t>
      </w:r>
      <w:r w:rsidR="00275FEB">
        <w:t>10.</w:t>
      </w:r>
      <w:r w:rsidR="00275FEB">
        <w:rPr>
          <w:rStyle w:val="FootnoteReference"/>
        </w:rPr>
        <w:footnoteReference w:id="87"/>
      </w:r>
      <w:r w:rsidR="00275FEB">
        <w:t xml:space="preserve">  Put simply, India has not been transparent about its support to its sugar sector</w:t>
      </w:r>
      <w:r w:rsidR="00612D03">
        <w:t xml:space="preserve"> and has offered no </w:t>
      </w:r>
      <w:r w:rsidR="00B33242">
        <w:t>explanation</w:t>
      </w:r>
      <w:r w:rsidR="00A16A0F">
        <w:t xml:space="preserve"> for its prot</w:t>
      </w:r>
      <w:r w:rsidR="003B38B9">
        <w:t>racted</w:t>
      </w:r>
      <w:r w:rsidR="000F2D56">
        <w:t xml:space="preserve"> failure to notify these measures</w:t>
      </w:r>
      <w:r w:rsidR="00A16A0F">
        <w:t>.</w:t>
      </w:r>
      <w:r w:rsidR="00275FEB">
        <w:t xml:space="preserve"> </w:t>
      </w:r>
    </w:p>
    <w:p w14:paraId="620AC4C5" w14:textId="496B8BFE" w:rsidR="00275FEB" w:rsidRDefault="00275FEB" w:rsidP="00275FEB">
      <w:pPr>
        <w:pStyle w:val="P1-N1Paragraph1-Number1"/>
      </w:pPr>
      <w:r>
        <w:t>India does not dispute its notification obligations pursuant to Article 25 of the SCM Agreement or Article XVI of the G</w:t>
      </w:r>
      <w:r w:rsidR="00980F78">
        <w:t xml:space="preserve">eneral </w:t>
      </w:r>
      <w:r>
        <w:t>A</w:t>
      </w:r>
      <w:r w:rsidR="00980F78">
        <w:t xml:space="preserve">greement on </w:t>
      </w:r>
      <w:r>
        <w:t>T</w:t>
      </w:r>
      <w:r w:rsidR="00980F78">
        <w:t xml:space="preserve">ariffs and </w:t>
      </w:r>
      <w:r>
        <w:t>T</w:t>
      </w:r>
      <w:r w:rsidR="00980F78">
        <w:t>rade</w:t>
      </w:r>
      <w:r>
        <w:t xml:space="preserve"> 1994</w:t>
      </w:r>
      <w:r w:rsidR="00C10A45">
        <w:t>, but instead argues that its measures do not fall within the meaning of "subsidy" under the SCM Agreement</w:t>
      </w:r>
      <w:r>
        <w:t>.</w:t>
      </w:r>
      <w:r>
        <w:rPr>
          <w:rStyle w:val="FootnoteReference"/>
        </w:rPr>
        <w:footnoteReference w:id="88"/>
      </w:r>
      <w:r>
        <w:t xml:space="preserve">  </w:t>
      </w:r>
      <w:r w:rsidR="00392BA4">
        <w:t>Accordingly,</w:t>
      </w:r>
      <w:r w:rsidR="00F72F65">
        <w:t xml:space="preserve"> should</w:t>
      </w:r>
      <w:r>
        <w:t xml:space="preserve"> the Panel find</w:t>
      </w:r>
      <w:r w:rsidR="00F72F65">
        <w:t xml:space="preserve"> </w:t>
      </w:r>
      <w:r w:rsidR="00716B02">
        <w:t>that India does provide export subsidies</w:t>
      </w:r>
      <w:r>
        <w:t xml:space="preserve">, the Panel </w:t>
      </w:r>
      <w:r w:rsidR="00EC5367">
        <w:t>should</w:t>
      </w:r>
      <w:r w:rsidR="00F72F65">
        <w:t xml:space="preserve"> also</w:t>
      </w:r>
      <w:r>
        <w:t xml:space="preserve"> find that India has breached its obligation</w:t>
      </w:r>
      <w:r w:rsidR="00803B74">
        <w:t xml:space="preserve"> to notify those subsidies</w:t>
      </w:r>
      <w:r w:rsidR="00F72F65">
        <w:t>.</w:t>
      </w:r>
    </w:p>
    <w:p w14:paraId="522B9BA6" w14:textId="5D6E748B" w:rsidR="00275FEB" w:rsidRDefault="00275FEB" w:rsidP="00275FEB">
      <w:pPr>
        <w:pStyle w:val="P1-N1Paragraph1-Number1"/>
      </w:pPr>
      <w:r>
        <w:t xml:space="preserve">In defence of its failure to meet its obligations pursuant to Article 18 of the Agreement on Agriculture, India argues that </w:t>
      </w:r>
      <w:r w:rsidR="00A16A0F">
        <w:t xml:space="preserve">this </w:t>
      </w:r>
      <w:r>
        <w:t>Article does not place any obligations on Members because "the Committee on Agriculture has chosen to frame the requirements on notifications on Members in hortatory terms…".</w:t>
      </w:r>
      <w:r>
        <w:rPr>
          <w:rStyle w:val="FootnoteReference"/>
        </w:rPr>
        <w:footnoteReference w:id="89"/>
      </w:r>
      <w:r>
        <w:t xml:space="preserve"> </w:t>
      </w:r>
      <w:r w:rsidR="0075131A">
        <w:t xml:space="preserve"> India bases this argument on the document </w:t>
      </w:r>
      <w:r w:rsidR="0075131A">
        <w:lastRenderedPageBreak/>
        <w:t xml:space="preserve">G/AG/2, which sets out the notification requirements and formats, as adopted by the Committee on Agriculture on 30 June 1995. </w:t>
      </w:r>
    </w:p>
    <w:p w14:paraId="57895388" w14:textId="7489B662" w:rsidR="003F42D1" w:rsidRDefault="003F42D1" w:rsidP="00275FEB">
      <w:pPr>
        <w:pStyle w:val="P1-N1Paragraph1-Number1"/>
      </w:pPr>
      <w:r>
        <w:t>As Australia has observed previously, that Committee document is an instrument of less-than-treaty status.</w:t>
      </w:r>
      <w:r>
        <w:rPr>
          <w:rStyle w:val="FootnoteReference"/>
        </w:rPr>
        <w:footnoteReference w:id="90"/>
      </w:r>
      <w:r>
        <w:t xml:space="preserve">  It</w:t>
      </w:r>
      <w:r w:rsidR="000F2D56">
        <w:t>s</w:t>
      </w:r>
      <w:r>
        <w:t xml:space="preserve"> use </w:t>
      </w:r>
      <w:r w:rsidR="00A16A0F">
        <w:t xml:space="preserve">of </w:t>
      </w:r>
      <w:r>
        <w:t>hortatory language</w:t>
      </w:r>
      <w:r w:rsidR="00A16A0F">
        <w:t xml:space="preserve"> i</w:t>
      </w:r>
      <w:r w:rsidR="000F2D56">
        <w:t>s</w:t>
      </w:r>
      <w:r w:rsidR="00A16A0F">
        <w:t xml:space="preserve"> therefore unsurprising</w:t>
      </w:r>
      <w:r>
        <w:t>.</w:t>
      </w:r>
      <w:r w:rsidR="00AA4EF7">
        <w:rPr>
          <w:rStyle w:val="FootnoteReference"/>
        </w:rPr>
        <w:footnoteReference w:id="91"/>
      </w:r>
      <w:r>
        <w:t xml:space="preserve">  That document has no bearing on the core obligation to notify certain support and measures</w:t>
      </w:r>
      <w:r w:rsidR="00A16A0F">
        <w:t>, which</w:t>
      </w:r>
      <w:r w:rsidR="000F2D56">
        <w:t xml:space="preserve"> </w:t>
      </w:r>
      <w:r>
        <w:t xml:space="preserve">is set out clearly in the text of the Agreement on Agriculture. </w:t>
      </w:r>
    </w:p>
    <w:p w14:paraId="6DFF003A" w14:textId="71865773" w:rsidR="00275FEB" w:rsidRDefault="00275FEB" w:rsidP="00275FEB">
      <w:pPr>
        <w:pStyle w:val="P1-N1Paragraph1-Number1"/>
        <w:keepNext/>
      </w:pPr>
      <w:r w:rsidRPr="00A00158">
        <w:rPr>
          <w:rFonts w:cs="Verdana"/>
          <w:szCs w:val="18"/>
        </w:rPr>
        <w:t xml:space="preserve">The Committee on Agriculture does not have the authority to </w:t>
      </w:r>
      <w:r w:rsidR="00A16A0F">
        <w:rPr>
          <w:rFonts w:cs="Verdana"/>
          <w:szCs w:val="18"/>
        </w:rPr>
        <w:t>diminish</w:t>
      </w:r>
      <w:r w:rsidR="00A16A0F" w:rsidRPr="00A00158">
        <w:rPr>
          <w:rFonts w:cs="Verdana"/>
          <w:szCs w:val="18"/>
        </w:rPr>
        <w:t xml:space="preserve"> </w:t>
      </w:r>
      <w:r w:rsidRPr="00A00158">
        <w:rPr>
          <w:rFonts w:cs="Verdana"/>
          <w:szCs w:val="18"/>
        </w:rPr>
        <w:t>the status of notification obligations under the A</w:t>
      </w:r>
      <w:r>
        <w:rPr>
          <w:rFonts w:cs="Verdana"/>
          <w:szCs w:val="18"/>
        </w:rPr>
        <w:t>greement on Agriculture</w:t>
      </w:r>
      <w:r w:rsidRPr="00A00158">
        <w:rPr>
          <w:rFonts w:cs="Verdana"/>
          <w:szCs w:val="18"/>
        </w:rPr>
        <w:t>.</w:t>
      </w:r>
      <w:r w:rsidR="008E2D33">
        <w:rPr>
          <w:rFonts w:cs="Verdana"/>
          <w:szCs w:val="18"/>
        </w:rPr>
        <w:t xml:space="preserve"> </w:t>
      </w:r>
      <w:r>
        <w:rPr>
          <w:rFonts w:cs="Verdana"/>
          <w:szCs w:val="18"/>
        </w:rPr>
        <w:t xml:space="preserve"> Australia re</w:t>
      </w:r>
      <w:r w:rsidR="005B7D5A">
        <w:rPr>
          <w:rFonts w:cs="Verdana"/>
          <w:szCs w:val="18"/>
        </w:rPr>
        <w:t>states</w:t>
      </w:r>
      <w:r>
        <w:rPr>
          <w:rFonts w:cs="Verdana"/>
          <w:szCs w:val="18"/>
        </w:rPr>
        <w:t xml:space="preserve"> that</w:t>
      </w:r>
      <w:r w:rsidR="008B60CC">
        <w:rPr>
          <w:rFonts w:cs="Verdana"/>
          <w:szCs w:val="18"/>
        </w:rPr>
        <w:t>, pursuant to</w:t>
      </w:r>
      <w:r>
        <w:rPr>
          <w:rFonts w:cs="Verdana"/>
          <w:szCs w:val="18"/>
        </w:rPr>
        <w:t xml:space="preserve"> </w:t>
      </w:r>
      <w:r w:rsidRPr="00324D3B">
        <w:t>Article 18 of the Agreement on Agriculture</w:t>
      </w:r>
      <w:r w:rsidR="008B60CC">
        <w:t>, India is required to notify its domestic support and export subsidies to the other Members through its Committee on Agriculture notifications.</w:t>
      </w:r>
      <w:r w:rsidR="008B60CC">
        <w:rPr>
          <w:rStyle w:val="FootnoteReference"/>
        </w:rPr>
        <w:footnoteReference w:id="92"/>
      </w:r>
    </w:p>
    <w:p w14:paraId="7517CEAB" w14:textId="37734E4D" w:rsidR="00275FEB" w:rsidRPr="003455F2" w:rsidRDefault="00275FEB" w:rsidP="00275FEB">
      <w:pPr>
        <w:pStyle w:val="P1-N1Paragraph1-Number1"/>
      </w:pPr>
      <w:r>
        <w:rPr>
          <w:rFonts w:cs="Verdana"/>
          <w:szCs w:val="18"/>
        </w:rPr>
        <w:t>The use of</w:t>
      </w:r>
      <w:r w:rsidR="00A16A0F">
        <w:rPr>
          <w:rFonts w:cs="Verdana"/>
          <w:szCs w:val="18"/>
        </w:rPr>
        <w:t xml:space="preserve"> the imperative</w:t>
      </w:r>
      <w:r>
        <w:rPr>
          <w:rFonts w:cs="Verdana"/>
          <w:szCs w:val="18"/>
        </w:rPr>
        <w:t xml:space="preserve"> "shall" </w:t>
      </w:r>
      <w:r w:rsidR="008B60CC">
        <w:rPr>
          <w:rFonts w:cs="Verdana"/>
          <w:szCs w:val="18"/>
        </w:rPr>
        <w:t xml:space="preserve">in Articles 18.1 to 18.3 </w:t>
      </w:r>
      <w:r w:rsidR="00A16A0F">
        <w:rPr>
          <w:rFonts w:cs="Verdana"/>
          <w:szCs w:val="18"/>
        </w:rPr>
        <w:t xml:space="preserve">makes clear </w:t>
      </w:r>
      <w:r w:rsidR="003F42D1">
        <w:rPr>
          <w:rFonts w:cs="Verdana"/>
          <w:szCs w:val="18"/>
        </w:rPr>
        <w:t xml:space="preserve">that </w:t>
      </w:r>
      <w:r w:rsidR="008B60CC">
        <w:rPr>
          <w:rFonts w:cs="Verdana"/>
          <w:szCs w:val="18"/>
        </w:rPr>
        <w:t xml:space="preserve">those </w:t>
      </w:r>
      <w:r w:rsidR="003F42D1">
        <w:rPr>
          <w:rFonts w:cs="Verdana"/>
          <w:szCs w:val="18"/>
        </w:rPr>
        <w:t>Article</w:t>
      </w:r>
      <w:r w:rsidR="008B60CC">
        <w:rPr>
          <w:rFonts w:cs="Verdana"/>
          <w:szCs w:val="18"/>
        </w:rPr>
        <w:t>s</w:t>
      </w:r>
      <w:r w:rsidR="003F42D1">
        <w:rPr>
          <w:rFonts w:cs="Verdana"/>
          <w:szCs w:val="18"/>
        </w:rPr>
        <w:t xml:space="preserve"> </w:t>
      </w:r>
      <w:r>
        <w:rPr>
          <w:rFonts w:cs="Verdana"/>
          <w:szCs w:val="18"/>
        </w:rPr>
        <w:t>impose mandatory obligations on Members to notify the Committee on Agriculture of relevant measures so that it can fulfil its function.</w:t>
      </w:r>
      <w:r>
        <w:rPr>
          <w:rStyle w:val="FootnoteReference"/>
          <w:rFonts w:cs="Verdana"/>
          <w:szCs w:val="18"/>
        </w:rPr>
        <w:footnoteReference w:id="93"/>
      </w:r>
    </w:p>
    <w:p w14:paraId="74EF3B75" w14:textId="05676CF3" w:rsidR="00275FEB" w:rsidRPr="002E0188" w:rsidRDefault="008B60CC" w:rsidP="00275FEB">
      <w:pPr>
        <w:pStyle w:val="P1-N1Paragraph1-Number1"/>
        <w:rPr>
          <w:rFonts w:cs="Verdana"/>
          <w:szCs w:val="18"/>
        </w:rPr>
      </w:pPr>
      <w:r>
        <w:t xml:space="preserve">India's </w:t>
      </w:r>
      <w:r w:rsidR="00A16A0F">
        <w:t xml:space="preserve">blatant </w:t>
      </w:r>
      <w:r>
        <w:t>non-compliance with its notification obligations</w:t>
      </w:r>
      <w:r w:rsidR="002E0C4A">
        <w:t xml:space="preserve"> under the Agreement on Agriculture</w:t>
      </w:r>
      <w:r>
        <w:t xml:space="preserve"> </w:t>
      </w:r>
      <w:r w:rsidR="00A16A0F">
        <w:t xml:space="preserve">limits the </w:t>
      </w:r>
      <w:r>
        <w:t xml:space="preserve">ability of other Members, including Australia, to monitor </w:t>
      </w:r>
      <w:r w:rsidR="00A16A0F">
        <w:t xml:space="preserve">its </w:t>
      </w:r>
      <w:r>
        <w:t>measures</w:t>
      </w:r>
      <w:r w:rsidR="00A16A0F">
        <w:t>.</w:t>
      </w:r>
      <w:r w:rsidR="000F2D56">
        <w:t xml:space="preserve"> </w:t>
      </w:r>
      <w:r>
        <w:t xml:space="preserve"> </w:t>
      </w:r>
      <w:r w:rsidR="00A16A0F">
        <w:t>A</w:t>
      </w:r>
      <w:r>
        <w:t xml:space="preserve">nd it impedes </w:t>
      </w:r>
      <w:r w:rsidR="00275FEB">
        <w:t>the Committee on Agriculture</w:t>
      </w:r>
      <w:r>
        <w:t xml:space="preserve">'s ability </w:t>
      </w:r>
      <w:r w:rsidR="00275FEB">
        <w:t>to review "[p]rogress in the implementation of commitments negotiated under the Uruguay Round</w:t>
      </w:r>
      <w:r w:rsidR="007A799B">
        <w:t xml:space="preserve"> reform programme</w:t>
      </w:r>
      <w:r w:rsidR="00275FEB">
        <w:t>"</w:t>
      </w:r>
      <w:r w:rsidR="007A799B">
        <w:t>.</w:t>
      </w:r>
      <w:r w:rsidR="00275FEB">
        <w:rPr>
          <w:rStyle w:val="FootnoteReference"/>
        </w:rPr>
        <w:footnoteReference w:id="94"/>
      </w:r>
      <w:r w:rsidR="00275FEB">
        <w:t xml:space="preserve"> </w:t>
      </w:r>
    </w:p>
    <w:p w14:paraId="524039FC" w14:textId="0B9D1CFF" w:rsidR="0055423A" w:rsidRDefault="0055423A" w:rsidP="0055423A">
      <w:pPr>
        <w:pStyle w:val="HL1HeadingLevel1"/>
      </w:pPr>
      <w:bookmarkStart w:id="26" w:name="_Toc67475506"/>
      <w:r>
        <w:t>conclusion</w:t>
      </w:r>
      <w:bookmarkEnd w:id="26"/>
    </w:p>
    <w:p w14:paraId="4B8A02BC" w14:textId="72DF08B4" w:rsidR="004F43A9" w:rsidRDefault="006613EA" w:rsidP="004F43A9">
      <w:pPr>
        <w:pStyle w:val="P1-N1Paragraph1-Number1"/>
      </w:pPr>
      <w:r>
        <w:t xml:space="preserve">To conclude, </w:t>
      </w:r>
      <w:r w:rsidR="004F43A9">
        <w:t xml:space="preserve">Australia </w:t>
      </w:r>
      <w:r>
        <w:t xml:space="preserve">again </w:t>
      </w:r>
      <w:r w:rsidR="004F43A9">
        <w:t>requests the Panel to find that India maintains domestic support to sugarcane</w:t>
      </w:r>
      <w:r w:rsidR="00392BA4">
        <w:t xml:space="preserve"> producers</w:t>
      </w:r>
      <w:r w:rsidR="004F43A9">
        <w:t xml:space="preserve"> in violation of Article 7.2(b) of the Agreement on Agriculture, and export subsidies for sugar inconsistent with </w:t>
      </w:r>
      <w:r w:rsidR="004F43A9" w:rsidRPr="00F56704">
        <w:t>Articles 3</w:t>
      </w:r>
      <w:r w:rsidR="004F43A9">
        <w:t>.3</w:t>
      </w:r>
      <w:r w:rsidR="004F43A9" w:rsidRPr="00F56704">
        <w:t xml:space="preserve"> and 8 of th</w:t>
      </w:r>
      <w:r w:rsidR="004F43A9">
        <w:t>at</w:t>
      </w:r>
      <w:r w:rsidR="004F43A9" w:rsidRPr="00F56704">
        <w:t xml:space="preserve"> Agreement and Article</w:t>
      </w:r>
      <w:r w:rsidR="004F43A9">
        <w:t>s </w:t>
      </w:r>
      <w:r w:rsidR="004F43A9" w:rsidRPr="00F56704">
        <w:t>3.1(a) and 3.2 of the SCM Agreement</w:t>
      </w:r>
      <w:r w:rsidR="004F43A9">
        <w:t xml:space="preserve">.  In accordance with those findings, we ask the Panel to recommend India bring its measures into conformity with those </w:t>
      </w:r>
      <w:r w:rsidR="002A03C4">
        <w:t>a</w:t>
      </w:r>
      <w:r w:rsidR="004F43A9">
        <w:t>greements.</w:t>
      </w:r>
    </w:p>
    <w:p w14:paraId="0897D33F" w14:textId="47BCD3CD" w:rsidR="004F43A9" w:rsidRDefault="004F43A9" w:rsidP="004F43A9">
      <w:pPr>
        <w:pStyle w:val="P1-N1Paragraph1-Number1"/>
      </w:pPr>
      <w:r>
        <w:lastRenderedPageBreak/>
        <w:t xml:space="preserve">Australia </w:t>
      </w:r>
      <w:r w:rsidR="00980F78">
        <w:t xml:space="preserve">also </w:t>
      </w:r>
      <w:r>
        <w:t>requests the Panel to find that India is obliged to notify its domestic support and its export subsid</w:t>
      </w:r>
      <w:r w:rsidR="00392BA4">
        <w:t>y measures</w:t>
      </w:r>
      <w:r>
        <w:t xml:space="preserve">, that India has not done so and to recommend that India bring itself into compliance by making those notifications. </w:t>
      </w:r>
    </w:p>
    <w:p w14:paraId="3216375D" w14:textId="46F75E8F" w:rsidR="00724101" w:rsidRDefault="00724101" w:rsidP="004F43A9">
      <w:pPr>
        <w:pStyle w:val="P1-N1Paragraph1-Number1"/>
      </w:pPr>
      <w:r>
        <w:t>Consistent with Australia's commitment to transparency in WTO dispute settlement</w:t>
      </w:r>
      <w:r w:rsidR="005B7D5A">
        <w:t xml:space="preserve"> proceedings</w:t>
      </w:r>
      <w:r>
        <w:t>, we will publish this opening statement on the website of Australia's Department of Foreign Affairs and Trade, as we did with our opening statement at the first substantive meeting.</w:t>
      </w:r>
    </w:p>
    <w:p w14:paraId="4ABB71F0" w14:textId="0D85370F" w:rsidR="0055423A" w:rsidRDefault="00202578" w:rsidP="0055423A">
      <w:pPr>
        <w:pStyle w:val="P1-N1Paragraph1-Number1"/>
      </w:pPr>
      <w:r>
        <w:t xml:space="preserve">I would like to thank the Panel and the Secretariat staff for your work </w:t>
      </w:r>
      <w:r w:rsidR="00005281">
        <w:t>to resolve these disputes.</w:t>
      </w:r>
      <w:r>
        <w:t xml:space="preserve">  We look forward to the remainder of the proceedings this week and to answering your questions. </w:t>
      </w:r>
    </w:p>
    <w:p w14:paraId="2FA371AC" w14:textId="11ED3358" w:rsidR="00202578" w:rsidRPr="0055423A" w:rsidRDefault="00202578" w:rsidP="0055423A">
      <w:pPr>
        <w:pStyle w:val="P1-N1Paragraph1-Number1"/>
      </w:pPr>
      <w:r>
        <w:t xml:space="preserve">Thank you. </w:t>
      </w:r>
    </w:p>
    <w:p w14:paraId="3F1F896D" w14:textId="77777777" w:rsidR="008A23B5" w:rsidRPr="0007327B" w:rsidRDefault="008A23B5" w:rsidP="008A23B5">
      <w:pPr>
        <w:pStyle w:val="P1-N1Paragraph1-Number1"/>
        <w:numPr>
          <w:ilvl w:val="0"/>
          <w:numId w:val="0"/>
        </w:numPr>
      </w:pPr>
    </w:p>
    <w:p w14:paraId="12F2BD28" w14:textId="77777777" w:rsidR="00D52A17" w:rsidRPr="0007327B" w:rsidRDefault="00D52A17" w:rsidP="00D52A17">
      <w:pPr>
        <w:pStyle w:val="BTBodyText"/>
      </w:pPr>
    </w:p>
    <w:sectPr w:rsidR="00D52A17" w:rsidRPr="0007327B" w:rsidSect="008F5B14">
      <w:headerReference w:type="default" r:id="rId8"/>
      <w:footerReference w:type="default" r:id="rId9"/>
      <w:headerReference w:type="first" r:id="rId1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5CFED" w14:textId="77777777" w:rsidR="00E027C9" w:rsidRDefault="00E027C9" w:rsidP="00006269">
      <w:pPr>
        <w:spacing w:after="0" w:line="240" w:lineRule="auto"/>
      </w:pPr>
      <w:r>
        <w:separator/>
      </w:r>
    </w:p>
  </w:endnote>
  <w:endnote w:type="continuationSeparator" w:id="0">
    <w:p w14:paraId="1F952B7C" w14:textId="77777777" w:rsidR="00E027C9" w:rsidRDefault="00E027C9"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3B24" w14:textId="132FC698" w:rsidR="00E027C9" w:rsidRDefault="00E027C9">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23</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200" w14:textId="77777777" w:rsidR="00E027C9" w:rsidRDefault="00E027C9" w:rsidP="00006269">
      <w:pPr>
        <w:spacing w:after="0" w:line="240" w:lineRule="auto"/>
      </w:pPr>
      <w:r>
        <w:separator/>
      </w:r>
    </w:p>
  </w:footnote>
  <w:footnote w:type="continuationSeparator" w:id="0">
    <w:p w14:paraId="252AA64D" w14:textId="77777777" w:rsidR="00E027C9" w:rsidRDefault="00E027C9" w:rsidP="00006269">
      <w:pPr>
        <w:spacing w:after="0" w:line="240" w:lineRule="auto"/>
      </w:pPr>
      <w:r>
        <w:continuationSeparator/>
      </w:r>
    </w:p>
  </w:footnote>
  <w:footnote w:id="1">
    <w:p w14:paraId="1EA169E9" w14:textId="77777777" w:rsidR="00E027C9" w:rsidRDefault="00E027C9" w:rsidP="007A4E9A">
      <w:pPr>
        <w:pStyle w:val="FootnoteText"/>
      </w:pPr>
      <w:r>
        <w:rPr>
          <w:rStyle w:val="FootnoteReference"/>
        </w:rPr>
        <w:footnoteRef/>
      </w:r>
      <w:r>
        <w:t xml:space="preserve"> India's second written submission, para. 28.</w:t>
      </w:r>
    </w:p>
  </w:footnote>
  <w:footnote w:id="2">
    <w:p w14:paraId="04507A33" w14:textId="77777777" w:rsidR="00E027C9" w:rsidRDefault="00E027C9" w:rsidP="001351E0">
      <w:pPr>
        <w:pStyle w:val="FootnoteText"/>
        <w:jc w:val="left"/>
      </w:pPr>
      <w:r>
        <w:rPr>
          <w:rStyle w:val="FootnoteReference"/>
        </w:rPr>
        <w:footnoteRef/>
      </w:r>
      <w:r>
        <w:t xml:space="preserve"> Brazil's second written submission, para. 68. </w:t>
      </w:r>
      <w:r w:rsidRPr="00370C44">
        <w:rPr>
          <w:i/>
          <w:iCs/>
        </w:rPr>
        <w:t>See also</w:t>
      </w:r>
      <w:r>
        <w:t>, Guatemala's second written submission, para. 25.</w:t>
      </w:r>
    </w:p>
  </w:footnote>
  <w:footnote w:id="3">
    <w:p w14:paraId="0C248613" w14:textId="49373B7C" w:rsidR="00E027C9" w:rsidRDefault="00E027C9" w:rsidP="001351E0">
      <w:pPr>
        <w:pStyle w:val="FootnoteText"/>
        <w:jc w:val="left"/>
      </w:pPr>
      <w:r>
        <w:rPr>
          <w:rStyle w:val="FootnoteReference"/>
        </w:rPr>
        <w:footnoteRef/>
      </w:r>
      <w:r>
        <w:t xml:space="preserve"> Australia's second written submission, paras. 46–49. See also, Brazil's second written submission, para. 68; Guatemala's second written submission, para. 25.</w:t>
      </w:r>
    </w:p>
  </w:footnote>
  <w:footnote w:id="4">
    <w:p w14:paraId="3662986D" w14:textId="752A33B8" w:rsidR="00E027C9" w:rsidRDefault="00E027C9" w:rsidP="001351E0">
      <w:pPr>
        <w:pStyle w:val="FootnoteText"/>
        <w:jc w:val="left"/>
      </w:pPr>
      <w:r>
        <w:rPr>
          <w:rStyle w:val="FootnoteReference"/>
        </w:rPr>
        <w:footnoteRef/>
      </w:r>
      <w:r>
        <w:t xml:space="preserve"> Australia's second written submission, para. 39. </w:t>
      </w:r>
    </w:p>
  </w:footnote>
  <w:footnote w:id="5">
    <w:p w14:paraId="67BC8AB7" w14:textId="4BCAA7A4" w:rsidR="00E027C9" w:rsidRDefault="00E027C9" w:rsidP="001351E0">
      <w:pPr>
        <w:pStyle w:val="FootnoteText"/>
        <w:jc w:val="left"/>
      </w:pPr>
      <w:r>
        <w:rPr>
          <w:rStyle w:val="FootnoteReference"/>
        </w:rPr>
        <w:footnoteRef/>
      </w:r>
      <w:r>
        <w:t xml:space="preserve"> Chairman’s note on options in the agricultural negotiations, MTN.GNG/AG/W/1, 24 June 1991 (</w:t>
      </w:r>
      <w:r>
        <w:rPr>
          <w:b/>
          <w:bCs/>
        </w:rPr>
        <w:t>Exhibit JE-154</w:t>
      </w:r>
      <w:r>
        <w:t xml:space="preserve">), para. 9. </w:t>
      </w:r>
      <w:r w:rsidRPr="00725D3A">
        <w:rPr>
          <w:i/>
          <w:iCs/>
        </w:rPr>
        <w:t>See also</w:t>
      </w:r>
      <w:r>
        <w:t>, Australia's second written submission, para. 39.</w:t>
      </w:r>
    </w:p>
  </w:footnote>
  <w:footnote w:id="6">
    <w:p w14:paraId="402077A7" w14:textId="3315F44D" w:rsidR="00E027C9" w:rsidRDefault="00E027C9" w:rsidP="001351E0">
      <w:pPr>
        <w:pStyle w:val="FootnoteText"/>
        <w:jc w:val="left"/>
      </w:pPr>
      <w:r>
        <w:rPr>
          <w:rStyle w:val="FootnoteReference"/>
        </w:rPr>
        <w:footnoteRef/>
      </w:r>
      <w:r>
        <w:t xml:space="preserve"> Australia's response to Panel question 51, para. 17; Australia's second written submission, para. 39. </w:t>
      </w:r>
      <w:r w:rsidRPr="00AB1FF7">
        <w:rPr>
          <w:i/>
          <w:iCs/>
        </w:rPr>
        <w:t>See also</w:t>
      </w:r>
      <w:r>
        <w:t>, Brazil's second written submission, paras. 25</w:t>
      </w:r>
      <w:r w:rsidRPr="00AB1FF7">
        <w:t>–</w:t>
      </w:r>
      <w:r>
        <w:t>26.</w:t>
      </w:r>
    </w:p>
  </w:footnote>
  <w:footnote w:id="7">
    <w:p w14:paraId="04F02575" w14:textId="3D54C3EC" w:rsidR="00E027C9" w:rsidRDefault="00E027C9" w:rsidP="001351E0">
      <w:pPr>
        <w:pStyle w:val="FootnoteText"/>
        <w:jc w:val="left"/>
      </w:pPr>
      <w:r>
        <w:rPr>
          <w:rStyle w:val="FootnoteReference"/>
        </w:rPr>
        <w:footnoteRef/>
      </w:r>
      <w:r>
        <w:t xml:space="preserve"> </w:t>
      </w:r>
      <w:r w:rsidRPr="00CA027B">
        <w:t>India's second written submission, para.</w:t>
      </w:r>
      <w:r>
        <w:t xml:space="preserve"> 11.</w:t>
      </w:r>
    </w:p>
  </w:footnote>
  <w:footnote w:id="8">
    <w:p w14:paraId="4F0C32DB" w14:textId="25286B93" w:rsidR="00E027C9" w:rsidRDefault="00E027C9" w:rsidP="001351E0">
      <w:pPr>
        <w:pStyle w:val="FootnoteText"/>
        <w:jc w:val="left"/>
      </w:pPr>
      <w:r>
        <w:rPr>
          <w:rStyle w:val="FootnoteReference"/>
        </w:rPr>
        <w:footnoteRef/>
      </w:r>
      <w:r>
        <w:t xml:space="preserve"> Australia's second written submission, paras. 37–39. </w:t>
      </w:r>
    </w:p>
  </w:footnote>
  <w:footnote w:id="9">
    <w:p w14:paraId="2446230C" w14:textId="77777777" w:rsidR="00E027C9" w:rsidRDefault="00E027C9" w:rsidP="001351E0">
      <w:pPr>
        <w:pStyle w:val="FootnoteText"/>
        <w:jc w:val="left"/>
      </w:pPr>
      <w:r>
        <w:rPr>
          <w:rStyle w:val="FootnoteReference"/>
        </w:rPr>
        <w:footnoteRef/>
      </w:r>
      <w:r>
        <w:t xml:space="preserve"> India's second written submission, para. 38. </w:t>
      </w:r>
      <w:r w:rsidRPr="00A55C90">
        <w:rPr>
          <w:i/>
          <w:iCs/>
        </w:rPr>
        <w:t>See also</w:t>
      </w:r>
      <w:r>
        <w:t>, India's first written submission, paras. 51</w:t>
      </w:r>
      <w:r w:rsidRPr="00A55C90">
        <w:t>–</w:t>
      </w:r>
      <w:r>
        <w:t xml:space="preserve">56; India's closing statement at the first substantive meeting, paras. 13 and 17. </w:t>
      </w:r>
    </w:p>
  </w:footnote>
  <w:footnote w:id="10">
    <w:p w14:paraId="57E304E4" w14:textId="4274B867" w:rsidR="00E027C9" w:rsidRDefault="00E027C9" w:rsidP="001351E0">
      <w:pPr>
        <w:pStyle w:val="FootnoteText"/>
        <w:jc w:val="left"/>
      </w:pPr>
      <w:r>
        <w:rPr>
          <w:rStyle w:val="FootnoteReference"/>
        </w:rPr>
        <w:footnoteRef/>
      </w:r>
      <w:r>
        <w:t xml:space="preserve"> Agreement on Agriculture, Article 6.1. </w:t>
      </w:r>
    </w:p>
  </w:footnote>
  <w:footnote w:id="11">
    <w:p w14:paraId="341D4242" w14:textId="01A17BB2" w:rsidR="00E027C9" w:rsidRDefault="00E027C9" w:rsidP="001351E0">
      <w:pPr>
        <w:pStyle w:val="FootnoteText"/>
        <w:jc w:val="left"/>
      </w:pPr>
      <w:r>
        <w:rPr>
          <w:rStyle w:val="FootnoteReference"/>
        </w:rPr>
        <w:footnoteRef/>
      </w:r>
      <w:r>
        <w:t xml:space="preserve"> </w:t>
      </w:r>
      <w:r w:rsidRPr="006538D4">
        <w:t>India's second written submission, para. 46.</w:t>
      </w:r>
    </w:p>
  </w:footnote>
  <w:footnote w:id="12">
    <w:p w14:paraId="7997FEA5" w14:textId="69991739" w:rsidR="00E027C9" w:rsidRDefault="00E027C9" w:rsidP="001351E0">
      <w:pPr>
        <w:pStyle w:val="FootnoteText"/>
        <w:jc w:val="left"/>
      </w:pPr>
      <w:r>
        <w:rPr>
          <w:rStyle w:val="FootnoteReference"/>
        </w:rPr>
        <w:footnoteRef/>
      </w:r>
      <w:r>
        <w:t xml:space="preserve"> India's second written submission, para. 46 (emphasis added).</w:t>
      </w:r>
    </w:p>
  </w:footnote>
  <w:footnote w:id="13">
    <w:p w14:paraId="71F8FEF4" w14:textId="09C4BA26" w:rsidR="00E027C9" w:rsidRDefault="00E027C9" w:rsidP="001351E0">
      <w:pPr>
        <w:pStyle w:val="FootnoteText"/>
        <w:jc w:val="left"/>
      </w:pPr>
      <w:r>
        <w:rPr>
          <w:rStyle w:val="FootnoteReference"/>
        </w:rPr>
        <w:footnoteRef/>
      </w:r>
      <w:r>
        <w:t xml:space="preserve"> </w:t>
      </w:r>
      <w:r w:rsidRPr="00AD1AA0">
        <w:t>India's second written submission, para. 46.</w:t>
      </w:r>
    </w:p>
  </w:footnote>
  <w:footnote w:id="14">
    <w:p w14:paraId="5CD13671" w14:textId="03939AC5" w:rsidR="00E027C9" w:rsidRDefault="00E027C9" w:rsidP="001351E0">
      <w:pPr>
        <w:pStyle w:val="FootnoteText"/>
        <w:jc w:val="left"/>
      </w:pPr>
      <w:r>
        <w:rPr>
          <w:rStyle w:val="FootnoteReference"/>
        </w:rPr>
        <w:footnoteRef/>
      </w:r>
      <w:r>
        <w:t xml:space="preserve"> Australia's second written submission, paras. 38–39. </w:t>
      </w:r>
    </w:p>
  </w:footnote>
  <w:footnote w:id="15">
    <w:p w14:paraId="7D4CFBAF" w14:textId="2AAF45EE" w:rsidR="00E027C9" w:rsidRDefault="00E027C9" w:rsidP="001351E0">
      <w:pPr>
        <w:pStyle w:val="FootnoteText"/>
        <w:jc w:val="left"/>
      </w:pPr>
      <w:r>
        <w:rPr>
          <w:rStyle w:val="FootnoteReference"/>
        </w:rPr>
        <w:footnoteRef/>
      </w:r>
      <w:r>
        <w:t xml:space="preserve"> India's second written submission, para. 20. </w:t>
      </w:r>
    </w:p>
  </w:footnote>
  <w:footnote w:id="16">
    <w:p w14:paraId="0F0A0BA3" w14:textId="77777777" w:rsidR="00E027C9" w:rsidRDefault="00E027C9" w:rsidP="001351E0">
      <w:pPr>
        <w:pStyle w:val="FootnoteText"/>
        <w:jc w:val="left"/>
      </w:pPr>
      <w:r>
        <w:rPr>
          <w:rStyle w:val="FootnoteReference"/>
        </w:rPr>
        <w:footnoteRef/>
      </w:r>
      <w:r>
        <w:t xml:space="preserve"> </w:t>
      </w:r>
      <w:r w:rsidRPr="00D17AA7">
        <w:t>India's second written submission, para.</w:t>
      </w:r>
      <w:r>
        <w:t xml:space="preserve"> 36.</w:t>
      </w:r>
    </w:p>
  </w:footnote>
  <w:footnote w:id="17">
    <w:p w14:paraId="3D41F9D1" w14:textId="45D43E5A" w:rsidR="00E027C9" w:rsidRDefault="00E027C9" w:rsidP="001351E0">
      <w:pPr>
        <w:pStyle w:val="FootnoteText"/>
        <w:jc w:val="left"/>
      </w:pPr>
      <w:r>
        <w:rPr>
          <w:rStyle w:val="FootnoteReference"/>
        </w:rPr>
        <w:footnoteRef/>
      </w:r>
      <w:r>
        <w:t xml:space="preserve"> Australia's opening statement at the first substantive meeting, paras. 41</w:t>
      </w:r>
      <w:r w:rsidRPr="00105ECA">
        <w:t>–</w:t>
      </w:r>
      <w:r>
        <w:t>47; Australia's second written submission, paras. 30, 52</w:t>
      </w:r>
      <w:r w:rsidRPr="00B60B16">
        <w:t>–</w:t>
      </w:r>
      <w:r>
        <w:t xml:space="preserve">67. </w:t>
      </w:r>
      <w:r w:rsidRPr="00BD4A3F">
        <w:rPr>
          <w:i/>
          <w:iCs/>
        </w:rPr>
        <w:t>See also</w:t>
      </w:r>
      <w:r>
        <w:t>, Australia's second written submission, paras. 52–67.</w:t>
      </w:r>
    </w:p>
  </w:footnote>
  <w:footnote w:id="18">
    <w:p w14:paraId="3A30789D" w14:textId="28DCEFFD" w:rsidR="00E027C9" w:rsidRDefault="00E027C9" w:rsidP="001351E0">
      <w:pPr>
        <w:pStyle w:val="FootnoteText"/>
        <w:jc w:val="left"/>
      </w:pPr>
      <w:r>
        <w:rPr>
          <w:rStyle w:val="FootnoteReference"/>
        </w:rPr>
        <w:footnoteRef/>
      </w:r>
      <w:r>
        <w:t xml:space="preserve"> India's second written submission, paras. 17–18. </w:t>
      </w:r>
    </w:p>
  </w:footnote>
  <w:footnote w:id="19">
    <w:p w14:paraId="73B69C44" w14:textId="662B76F7" w:rsidR="00E027C9" w:rsidRDefault="00E027C9" w:rsidP="001351E0">
      <w:pPr>
        <w:pStyle w:val="FootnoteText"/>
        <w:jc w:val="left"/>
      </w:pPr>
      <w:r>
        <w:rPr>
          <w:rStyle w:val="FootnoteReference"/>
        </w:rPr>
        <w:footnoteRef/>
      </w:r>
      <w:r>
        <w:t xml:space="preserve"> Australia's second written submission, paras. 56–57. </w:t>
      </w:r>
    </w:p>
  </w:footnote>
  <w:footnote w:id="20">
    <w:p w14:paraId="2431CD8F" w14:textId="22AFB9ED" w:rsidR="00E027C9" w:rsidRDefault="00E027C9">
      <w:pPr>
        <w:pStyle w:val="FootnoteText"/>
      </w:pPr>
      <w:r>
        <w:rPr>
          <w:rStyle w:val="FootnoteReference"/>
        </w:rPr>
        <w:footnoteRef/>
      </w:r>
      <w:r>
        <w:t xml:space="preserve"> European Union's third party submission, para. 43.</w:t>
      </w:r>
    </w:p>
  </w:footnote>
  <w:footnote w:id="21">
    <w:p w14:paraId="6CAF1280" w14:textId="77777777" w:rsidR="00E027C9" w:rsidRDefault="00E027C9" w:rsidP="001351E0">
      <w:pPr>
        <w:pStyle w:val="FootnoteText"/>
        <w:jc w:val="left"/>
      </w:pPr>
      <w:r>
        <w:rPr>
          <w:rStyle w:val="FootnoteReference"/>
        </w:rPr>
        <w:footnoteRef/>
      </w:r>
      <w:r>
        <w:t xml:space="preserve"> Guatemala's second written submission, para. 30. </w:t>
      </w:r>
    </w:p>
  </w:footnote>
  <w:footnote w:id="22">
    <w:p w14:paraId="1365B0EA" w14:textId="77777777" w:rsidR="00E027C9" w:rsidRDefault="00E027C9" w:rsidP="001351E0">
      <w:pPr>
        <w:pStyle w:val="FootnoteText"/>
        <w:jc w:val="left"/>
      </w:pPr>
      <w:r>
        <w:rPr>
          <w:rStyle w:val="FootnoteReference"/>
        </w:rPr>
        <w:footnoteRef/>
      </w:r>
      <w:r>
        <w:t xml:space="preserve"> </w:t>
      </w:r>
      <w:r w:rsidRPr="00D04E3C">
        <w:t>Guatemala's second written submission, para</w:t>
      </w:r>
      <w:r>
        <w:t>s</w:t>
      </w:r>
      <w:r w:rsidRPr="00D04E3C">
        <w:t>. 30</w:t>
      </w:r>
      <w:r>
        <w:t>–31</w:t>
      </w:r>
      <w:r w:rsidRPr="00D04E3C">
        <w:t>.</w:t>
      </w:r>
    </w:p>
  </w:footnote>
  <w:footnote w:id="23">
    <w:p w14:paraId="3F40B096" w14:textId="77777777" w:rsidR="00E027C9" w:rsidRDefault="00E027C9" w:rsidP="001351E0">
      <w:pPr>
        <w:pStyle w:val="FootnoteText"/>
        <w:jc w:val="left"/>
      </w:pPr>
      <w:r>
        <w:rPr>
          <w:rStyle w:val="FootnoteReference"/>
        </w:rPr>
        <w:footnoteRef/>
      </w:r>
      <w:r>
        <w:t xml:space="preserve"> Guatemala's second written submission, para. 33. </w:t>
      </w:r>
    </w:p>
  </w:footnote>
  <w:footnote w:id="24">
    <w:p w14:paraId="73E4DE24" w14:textId="77777777" w:rsidR="00E027C9" w:rsidRDefault="00E027C9" w:rsidP="007E090D">
      <w:pPr>
        <w:pStyle w:val="FootnoteText"/>
      </w:pPr>
      <w:r>
        <w:rPr>
          <w:rStyle w:val="FootnoteReference"/>
        </w:rPr>
        <w:footnoteRef/>
      </w:r>
      <w:r>
        <w:t xml:space="preserve"> India's second written submission, para. 20. </w:t>
      </w:r>
    </w:p>
  </w:footnote>
  <w:footnote w:id="25">
    <w:p w14:paraId="46C6823D" w14:textId="77777777" w:rsidR="00E027C9" w:rsidRDefault="00E027C9" w:rsidP="001351E0">
      <w:pPr>
        <w:pStyle w:val="FootnoteText"/>
        <w:jc w:val="left"/>
      </w:pPr>
      <w:r>
        <w:rPr>
          <w:rStyle w:val="FootnoteReference"/>
        </w:rPr>
        <w:footnoteRef/>
      </w:r>
      <w:r>
        <w:t xml:space="preserve"> </w:t>
      </w:r>
      <w:r w:rsidRPr="0018756C">
        <w:t xml:space="preserve">Australia's second written submission, paras. </w:t>
      </w:r>
      <w:r>
        <w:t>63</w:t>
      </w:r>
      <w:r w:rsidRPr="0018756C">
        <w:t>–</w:t>
      </w:r>
      <w:r>
        <w:t>65</w:t>
      </w:r>
      <w:r w:rsidRPr="0018756C">
        <w:t>.</w:t>
      </w:r>
    </w:p>
  </w:footnote>
  <w:footnote w:id="26">
    <w:p w14:paraId="294547A1" w14:textId="77777777" w:rsidR="00E027C9" w:rsidRDefault="00E027C9" w:rsidP="00FA4352">
      <w:pPr>
        <w:pStyle w:val="FootnoteText"/>
        <w:jc w:val="left"/>
      </w:pPr>
      <w:r>
        <w:rPr>
          <w:rStyle w:val="FootnoteReference"/>
        </w:rPr>
        <w:footnoteRef/>
      </w:r>
      <w:r>
        <w:t xml:space="preserve"> </w:t>
      </w:r>
      <w:r w:rsidRPr="004E3944">
        <w:t>India's second written submission, para. 2</w:t>
      </w:r>
      <w:r>
        <w:t>4</w:t>
      </w:r>
      <w:r w:rsidRPr="004E3944">
        <w:t>.</w:t>
      </w:r>
    </w:p>
  </w:footnote>
  <w:footnote w:id="27">
    <w:p w14:paraId="487F2D22" w14:textId="77777777" w:rsidR="00E027C9" w:rsidRDefault="00E027C9" w:rsidP="001351E0">
      <w:pPr>
        <w:pStyle w:val="FootnoteText"/>
        <w:jc w:val="left"/>
      </w:pPr>
      <w:r>
        <w:rPr>
          <w:rStyle w:val="FootnoteReference"/>
        </w:rPr>
        <w:footnoteRef/>
      </w:r>
      <w:r>
        <w:t xml:space="preserve"> </w:t>
      </w:r>
      <w:r w:rsidRPr="00EA612D">
        <w:t>India's second written submission, para. 22</w:t>
      </w:r>
      <w:r>
        <w:t>.</w:t>
      </w:r>
    </w:p>
  </w:footnote>
  <w:footnote w:id="28">
    <w:p w14:paraId="201FD457" w14:textId="0B98E875" w:rsidR="00E027C9" w:rsidRDefault="00E027C9">
      <w:pPr>
        <w:pStyle w:val="FootnoteText"/>
      </w:pPr>
      <w:r>
        <w:rPr>
          <w:rStyle w:val="FootnoteReference"/>
        </w:rPr>
        <w:footnoteRef/>
      </w:r>
      <w:r>
        <w:t xml:space="preserve"> </w:t>
      </w:r>
      <w:r w:rsidRPr="007E090D">
        <w:t>India's second written submission, para. 22.</w:t>
      </w:r>
    </w:p>
  </w:footnote>
  <w:footnote w:id="29">
    <w:p w14:paraId="330A763D" w14:textId="190714FD" w:rsidR="00E027C9" w:rsidRDefault="00E027C9">
      <w:pPr>
        <w:pStyle w:val="FootnoteText"/>
      </w:pPr>
      <w:r>
        <w:rPr>
          <w:rStyle w:val="FootnoteReference"/>
        </w:rPr>
        <w:footnoteRef/>
      </w:r>
      <w:r>
        <w:t xml:space="preserve"> India's second written submission, para. 25.</w:t>
      </w:r>
    </w:p>
  </w:footnote>
  <w:footnote w:id="30">
    <w:p w14:paraId="72336741" w14:textId="14C86A1A" w:rsidR="00E027C9" w:rsidRDefault="00E027C9">
      <w:pPr>
        <w:pStyle w:val="FootnoteText"/>
      </w:pPr>
      <w:r>
        <w:rPr>
          <w:rStyle w:val="FootnoteReference"/>
        </w:rPr>
        <w:footnoteRef/>
      </w:r>
      <w:r>
        <w:t xml:space="preserve"> </w:t>
      </w:r>
      <w:r w:rsidRPr="00FD0090">
        <w:t>India's second written submission, para</w:t>
      </w:r>
      <w:r>
        <w:t>s</w:t>
      </w:r>
      <w:r w:rsidRPr="00FD0090">
        <w:t>. 2</w:t>
      </w:r>
      <w:r>
        <w:t>5–26 and 42.</w:t>
      </w:r>
    </w:p>
  </w:footnote>
  <w:footnote w:id="31">
    <w:p w14:paraId="437DF998" w14:textId="77777777" w:rsidR="00E027C9" w:rsidRDefault="00E027C9" w:rsidP="001351E0">
      <w:pPr>
        <w:pStyle w:val="FootnoteText"/>
        <w:jc w:val="left"/>
      </w:pPr>
      <w:r>
        <w:rPr>
          <w:rStyle w:val="FootnoteReference"/>
        </w:rPr>
        <w:footnoteRef/>
      </w:r>
      <w:r>
        <w:t xml:space="preserve"> </w:t>
      </w:r>
      <w:r w:rsidRPr="003518A3">
        <w:t>India's second written submission, para</w:t>
      </w:r>
      <w:r>
        <w:t>. 39.</w:t>
      </w:r>
    </w:p>
  </w:footnote>
  <w:footnote w:id="32">
    <w:p w14:paraId="52DD0E57" w14:textId="77777777" w:rsidR="00E027C9" w:rsidRDefault="00E027C9" w:rsidP="001351E0">
      <w:pPr>
        <w:pStyle w:val="FootnoteText"/>
        <w:jc w:val="left"/>
      </w:pPr>
      <w:r>
        <w:rPr>
          <w:rStyle w:val="FootnoteReference"/>
        </w:rPr>
        <w:footnoteRef/>
      </w:r>
      <w:r>
        <w:t xml:space="preserve"> </w:t>
      </w:r>
      <w:r w:rsidRPr="003518A3">
        <w:t>India's second written submission, para</w:t>
      </w:r>
      <w:r>
        <w:t>. 39.</w:t>
      </w:r>
    </w:p>
  </w:footnote>
  <w:footnote w:id="33">
    <w:p w14:paraId="0E2B2070" w14:textId="2EB0D4FB" w:rsidR="00E027C9" w:rsidRDefault="00E027C9">
      <w:pPr>
        <w:pStyle w:val="FootnoteText"/>
      </w:pPr>
      <w:r>
        <w:rPr>
          <w:rStyle w:val="FootnoteReference"/>
        </w:rPr>
        <w:footnoteRef/>
      </w:r>
      <w:r>
        <w:t xml:space="preserve"> </w:t>
      </w:r>
      <w:r w:rsidRPr="00514496">
        <w:t>Australia's second written submission, para</w:t>
      </w:r>
      <w:r>
        <w:t>. 70.</w:t>
      </w:r>
    </w:p>
  </w:footnote>
  <w:footnote w:id="34">
    <w:p w14:paraId="3C4254C1" w14:textId="50B8E233" w:rsidR="00E027C9" w:rsidRDefault="00E027C9" w:rsidP="001351E0">
      <w:pPr>
        <w:pStyle w:val="FootnoteText"/>
        <w:jc w:val="left"/>
      </w:pPr>
      <w:r>
        <w:rPr>
          <w:rStyle w:val="FootnoteReference"/>
        </w:rPr>
        <w:footnoteRef/>
      </w:r>
      <w:r>
        <w:t xml:space="preserve"> </w:t>
      </w:r>
      <w:r w:rsidRPr="001B3489">
        <w:t xml:space="preserve">Australia's second written submission, paras. </w:t>
      </w:r>
      <w:r>
        <w:t>68</w:t>
      </w:r>
      <w:r w:rsidRPr="001B3489">
        <w:t>–</w:t>
      </w:r>
      <w:r>
        <w:t>70</w:t>
      </w:r>
      <w:r w:rsidRPr="001B3489">
        <w:t>.</w:t>
      </w:r>
    </w:p>
  </w:footnote>
  <w:footnote w:id="35">
    <w:p w14:paraId="09AE903E" w14:textId="5D05CF02" w:rsidR="00E027C9" w:rsidRDefault="00E027C9">
      <w:pPr>
        <w:pStyle w:val="FootnoteText"/>
      </w:pPr>
      <w:r>
        <w:rPr>
          <w:rStyle w:val="FootnoteReference"/>
        </w:rPr>
        <w:footnoteRef/>
      </w:r>
      <w:r>
        <w:t xml:space="preserve"> </w:t>
      </w:r>
      <w:r w:rsidRPr="00621F69">
        <w:t>India's second written submission, para.</w:t>
      </w:r>
      <w:r>
        <w:t xml:space="preserve"> 24.</w:t>
      </w:r>
    </w:p>
  </w:footnote>
  <w:footnote w:id="36">
    <w:p w14:paraId="5871D638" w14:textId="38C682EB" w:rsidR="00E027C9" w:rsidRDefault="00E027C9">
      <w:pPr>
        <w:pStyle w:val="FootnoteText"/>
      </w:pPr>
      <w:r>
        <w:rPr>
          <w:rStyle w:val="FootnoteReference"/>
        </w:rPr>
        <w:footnoteRef/>
      </w:r>
      <w:r>
        <w:t xml:space="preserve"> </w:t>
      </w:r>
      <w:r w:rsidRPr="001C3A79">
        <w:t xml:space="preserve">Australia's domestic support calculations, Microsoft Excel workbooks, Revision </w:t>
      </w:r>
      <w:r>
        <w:t>3</w:t>
      </w:r>
      <w:r w:rsidRPr="001C3A79">
        <w:t xml:space="preserve"> (</w:t>
      </w:r>
      <w:r w:rsidRPr="001C3A79">
        <w:rPr>
          <w:b/>
          <w:bCs/>
        </w:rPr>
        <w:t>Exhibit AUS-1 (Revision 3)</w:t>
      </w:r>
      <w:r w:rsidRPr="001C3A79">
        <w:t>).</w:t>
      </w:r>
    </w:p>
  </w:footnote>
  <w:footnote w:id="37">
    <w:p w14:paraId="2AC990C1" w14:textId="77777777" w:rsidR="00E027C9" w:rsidRDefault="00E027C9" w:rsidP="00FC78C1">
      <w:pPr>
        <w:pStyle w:val="FootnoteText"/>
        <w:jc w:val="left"/>
      </w:pPr>
      <w:r>
        <w:rPr>
          <w:rStyle w:val="FootnoteReference"/>
        </w:rPr>
        <w:footnoteRef/>
      </w:r>
      <w:r>
        <w:t xml:space="preserve"> Australia's second written submission, paras. 89–97. </w:t>
      </w:r>
    </w:p>
  </w:footnote>
  <w:footnote w:id="38">
    <w:p w14:paraId="6AC761A0" w14:textId="77777777" w:rsidR="00E027C9" w:rsidRDefault="00E027C9" w:rsidP="00DD5215">
      <w:pPr>
        <w:pStyle w:val="FootnoteText"/>
        <w:jc w:val="left"/>
      </w:pPr>
      <w:r>
        <w:rPr>
          <w:rStyle w:val="FootnoteReference"/>
        </w:rPr>
        <w:footnoteRef/>
      </w:r>
      <w:r>
        <w:t xml:space="preserve"> India's second written submission, paras. 67–69. </w:t>
      </w:r>
    </w:p>
  </w:footnote>
  <w:footnote w:id="39">
    <w:p w14:paraId="1BF2E1F5" w14:textId="6302A6A5" w:rsidR="00E027C9" w:rsidRDefault="00E027C9" w:rsidP="007A6A24">
      <w:pPr>
        <w:pStyle w:val="FootnoteText"/>
        <w:jc w:val="left"/>
      </w:pPr>
      <w:r>
        <w:rPr>
          <w:rStyle w:val="FootnoteReference"/>
        </w:rPr>
        <w:footnoteRef/>
      </w:r>
      <w:r>
        <w:t xml:space="preserve"> Agreement on Agriculture, Article 9.1(a) (emphasis added); India's second written submission, para. 74.</w:t>
      </w:r>
    </w:p>
  </w:footnote>
  <w:footnote w:id="40">
    <w:p w14:paraId="4FD338CA" w14:textId="7AA2B621" w:rsidR="00E027C9" w:rsidRDefault="00E027C9" w:rsidP="007A6A24">
      <w:pPr>
        <w:pStyle w:val="FootnoteText"/>
      </w:pPr>
      <w:r>
        <w:rPr>
          <w:rStyle w:val="FootnoteReference"/>
        </w:rPr>
        <w:footnoteRef/>
      </w:r>
      <w:r>
        <w:t xml:space="preserve"> India's second written submission, para. 75.  </w:t>
      </w:r>
    </w:p>
  </w:footnote>
  <w:footnote w:id="41">
    <w:p w14:paraId="75366D7A" w14:textId="7977E3C2" w:rsidR="00E027C9" w:rsidRDefault="00E027C9" w:rsidP="007A6A24">
      <w:pPr>
        <w:pStyle w:val="FootnoteText"/>
        <w:jc w:val="left"/>
      </w:pPr>
      <w:r>
        <w:rPr>
          <w:rStyle w:val="FootnoteReference"/>
        </w:rPr>
        <w:footnoteRef/>
      </w:r>
      <w:r>
        <w:t xml:space="preserve"> Australia's opening statement at the first substantive meeting, paras. 87–88; Australia's response to panel question 59, paras. 70–73; Australia's second written submission, para. 106.  </w:t>
      </w:r>
      <w:r w:rsidRPr="00943369">
        <w:rPr>
          <w:i/>
          <w:iCs/>
        </w:rPr>
        <w:t>See also</w:t>
      </w:r>
      <w:r>
        <w:t>, Brazil's opening statement at the first substantive meeting, paras. 41–42; Brazil's response to panel question 59, para. 73.</w:t>
      </w:r>
    </w:p>
  </w:footnote>
  <w:footnote w:id="42">
    <w:p w14:paraId="003847C5" w14:textId="656AF289" w:rsidR="00E027C9" w:rsidRDefault="00E027C9">
      <w:pPr>
        <w:pStyle w:val="FootnoteText"/>
      </w:pPr>
      <w:r>
        <w:rPr>
          <w:rStyle w:val="FootnoteReference"/>
        </w:rPr>
        <w:footnoteRef/>
      </w:r>
      <w:r>
        <w:t xml:space="preserve"> SCM Agreement, Articles 1.1(a)(1) and (2). </w:t>
      </w:r>
    </w:p>
  </w:footnote>
  <w:footnote w:id="43">
    <w:p w14:paraId="4F964DDA" w14:textId="4A066898" w:rsidR="00E027C9" w:rsidRDefault="00E027C9">
      <w:pPr>
        <w:pStyle w:val="FootnoteText"/>
      </w:pPr>
      <w:r>
        <w:rPr>
          <w:rStyle w:val="FootnoteReference"/>
        </w:rPr>
        <w:footnoteRef/>
      </w:r>
      <w:r>
        <w:t xml:space="preserve"> Australia's first written submission, para. 266, citing Appellate Body Report, </w:t>
      </w:r>
      <w:r>
        <w:rPr>
          <w:i/>
        </w:rPr>
        <w:t>Canada – Dairy</w:t>
      </w:r>
      <w:r>
        <w:t>, para. 87; Australia's response to Panel question 58(a), para. 57 and footnote 73.</w:t>
      </w:r>
      <w:r>
        <w:rPr>
          <w:i/>
        </w:rPr>
        <w:t xml:space="preserve"> </w:t>
      </w:r>
    </w:p>
  </w:footnote>
  <w:footnote w:id="44">
    <w:p w14:paraId="3E94B076" w14:textId="417C734C" w:rsidR="00E027C9" w:rsidRDefault="00E027C9">
      <w:pPr>
        <w:pStyle w:val="FootnoteText"/>
      </w:pPr>
      <w:r>
        <w:rPr>
          <w:rStyle w:val="FootnoteReference"/>
        </w:rPr>
        <w:footnoteRef/>
      </w:r>
      <w:r>
        <w:t xml:space="preserve"> India's second written submission, para. 87, citing Australia’s r</w:t>
      </w:r>
      <w:r w:rsidRPr="00E04613">
        <w:t xml:space="preserve">esponse to </w:t>
      </w:r>
      <w:r>
        <w:t>Panel question 59, para. 77</w:t>
      </w:r>
      <w:r w:rsidRPr="00E04613">
        <w:t xml:space="preserve">; Guatemala’s </w:t>
      </w:r>
      <w:r>
        <w:t>o</w:t>
      </w:r>
      <w:r w:rsidRPr="00E04613">
        <w:t xml:space="preserve">pening </w:t>
      </w:r>
      <w:r>
        <w:t>s</w:t>
      </w:r>
      <w:r w:rsidRPr="00E04613">
        <w:t xml:space="preserve">tatement at the </w:t>
      </w:r>
      <w:r>
        <w:t>first substantive meeting,</w:t>
      </w:r>
      <w:r w:rsidRPr="00E04613">
        <w:t xml:space="preserve"> para. 4.13</w:t>
      </w:r>
      <w:r>
        <w:t>.</w:t>
      </w:r>
    </w:p>
  </w:footnote>
  <w:footnote w:id="45">
    <w:p w14:paraId="222760A9" w14:textId="500BFD81" w:rsidR="00E027C9" w:rsidRPr="000841C8" w:rsidRDefault="00E027C9" w:rsidP="002C3CDF">
      <w:pPr>
        <w:pStyle w:val="FootnoteText"/>
        <w:jc w:val="left"/>
      </w:pPr>
      <w:r>
        <w:rPr>
          <w:rStyle w:val="FootnoteReference"/>
        </w:rPr>
        <w:footnoteRef/>
      </w:r>
      <w:r>
        <w:t xml:space="preserve"> </w:t>
      </w:r>
      <w:r>
        <w:rPr>
          <w:i/>
        </w:rPr>
        <w:t>US – Large Civil Aircraft (2</w:t>
      </w:r>
      <w:r w:rsidRPr="000841C8">
        <w:rPr>
          <w:i/>
          <w:vertAlign w:val="superscript"/>
        </w:rPr>
        <w:t>nd</w:t>
      </w:r>
      <w:r>
        <w:rPr>
          <w:i/>
        </w:rPr>
        <w:t xml:space="preserve"> complaint)</w:t>
      </w:r>
      <w:r>
        <w:t>, para. 614 (emphasis added), cited in Australia's second written submission, footnote 151; Guatemala's opening statement at the first substantive meeting, para. 4.13 and footnote 54.</w:t>
      </w:r>
    </w:p>
  </w:footnote>
  <w:footnote w:id="46">
    <w:p w14:paraId="5BB3F1F5" w14:textId="21CEA1FE" w:rsidR="00E027C9" w:rsidRDefault="00E027C9" w:rsidP="002C3CDF">
      <w:pPr>
        <w:pStyle w:val="FootnoteText"/>
      </w:pPr>
      <w:r>
        <w:rPr>
          <w:rStyle w:val="FootnoteReference"/>
        </w:rPr>
        <w:footnoteRef/>
      </w:r>
      <w:r>
        <w:t xml:space="preserve"> </w:t>
      </w:r>
      <w:r>
        <w:rPr>
          <w:i/>
        </w:rPr>
        <w:t>US – Large Civil Aircraft (2</w:t>
      </w:r>
      <w:r w:rsidRPr="000841C8">
        <w:rPr>
          <w:i/>
          <w:vertAlign w:val="superscript"/>
        </w:rPr>
        <w:t>nd</w:t>
      </w:r>
      <w:r>
        <w:rPr>
          <w:i/>
        </w:rPr>
        <w:t xml:space="preserve"> complaint)</w:t>
      </w:r>
      <w:r>
        <w:t>, para. 614 (emphasis added), cited in Australia's second written submission, footnote 151; Guatemala's opening statement at the first substantive meeting, para. 4.13.</w:t>
      </w:r>
    </w:p>
  </w:footnote>
  <w:footnote w:id="47">
    <w:p w14:paraId="2156378C" w14:textId="77777777" w:rsidR="00E027C9" w:rsidRDefault="00E027C9" w:rsidP="002C3CDF">
      <w:pPr>
        <w:pStyle w:val="FootnoteText"/>
        <w:jc w:val="left"/>
      </w:pPr>
      <w:r>
        <w:rPr>
          <w:rStyle w:val="FootnoteReference"/>
        </w:rPr>
        <w:footnoteRef/>
      </w:r>
      <w:r>
        <w:t xml:space="preserve"> India's second written submission, para. 87.</w:t>
      </w:r>
    </w:p>
  </w:footnote>
  <w:footnote w:id="48">
    <w:p w14:paraId="5A01879E" w14:textId="6F441A8E" w:rsidR="00E027C9" w:rsidRPr="00A25CFE" w:rsidRDefault="00E027C9" w:rsidP="00FA3716">
      <w:pPr>
        <w:pStyle w:val="FootnoteText"/>
        <w:jc w:val="left"/>
      </w:pPr>
      <w:r>
        <w:rPr>
          <w:rStyle w:val="FootnoteReference"/>
        </w:rPr>
        <w:footnoteRef/>
      </w:r>
      <w:r>
        <w:t xml:space="preserve"> </w:t>
      </w:r>
      <w:r>
        <w:rPr>
          <w:i/>
        </w:rPr>
        <w:t>Australia – Automotive Leather II</w:t>
      </w:r>
      <w:r>
        <w:t xml:space="preserve">, para. 9.39; Appellate Body Report, </w:t>
      </w:r>
      <w:r>
        <w:rPr>
          <w:i/>
        </w:rPr>
        <w:t>US – Softwood Lumber IV</w:t>
      </w:r>
      <w:r>
        <w:t xml:space="preserve">, paras. 69–72. </w:t>
      </w:r>
      <w:r w:rsidRPr="00FD2584">
        <w:rPr>
          <w:i/>
          <w:iCs/>
        </w:rPr>
        <w:t>See also</w:t>
      </w:r>
      <w:r>
        <w:rPr>
          <w:i/>
          <w:iCs/>
          <w:u w:val="single"/>
        </w:rPr>
        <w:t>,</w:t>
      </w:r>
      <w:r>
        <w:t xml:space="preserve"> Brazil's second written submission, para. 81 and footnote 165.</w:t>
      </w:r>
    </w:p>
  </w:footnote>
  <w:footnote w:id="49">
    <w:p w14:paraId="1DAD4969" w14:textId="03646080" w:rsidR="00E027C9" w:rsidRDefault="00E027C9">
      <w:pPr>
        <w:pStyle w:val="FootnoteText"/>
      </w:pPr>
      <w:r>
        <w:rPr>
          <w:rStyle w:val="FootnoteReference"/>
        </w:rPr>
        <w:footnoteRef/>
      </w:r>
      <w:r>
        <w:t xml:space="preserve"> Australia's second written submission, para. 101; Brazil's second written submission, paras. 101–103. </w:t>
      </w:r>
    </w:p>
  </w:footnote>
  <w:footnote w:id="50">
    <w:p w14:paraId="7B616AC5" w14:textId="6BF389BA" w:rsidR="00E027C9" w:rsidRDefault="00E027C9">
      <w:pPr>
        <w:pStyle w:val="FootnoteText"/>
      </w:pPr>
      <w:r>
        <w:rPr>
          <w:rStyle w:val="FootnoteReference"/>
        </w:rPr>
        <w:footnoteRef/>
      </w:r>
      <w:r>
        <w:t xml:space="preserve">  India's second written submission, paras. 69–73, 76–97. </w:t>
      </w:r>
    </w:p>
  </w:footnote>
  <w:footnote w:id="51">
    <w:p w14:paraId="4420633B" w14:textId="21CE6DE7" w:rsidR="00E027C9" w:rsidRDefault="00E027C9" w:rsidP="001351E0">
      <w:pPr>
        <w:pStyle w:val="FootnoteText"/>
        <w:jc w:val="left"/>
      </w:pPr>
      <w:r>
        <w:rPr>
          <w:rStyle w:val="FootnoteReference"/>
        </w:rPr>
        <w:footnoteRef/>
      </w:r>
      <w:r>
        <w:t xml:space="preserve"> Australia's second written submission, para. 110; Brazil's second written submission, paras. 89, 95, 103, 144–148; Guatemala's second written submission, paras. 4, 75–77. </w:t>
      </w:r>
    </w:p>
  </w:footnote>
  <w:footnote w:id="52">
    <w:p w14:paraId="7033437E" w14:textId="4056DBE9" w:rsidR="00E027C9" w:rsidRDefault="00E027C9">
      <w:pPr>
        <w:pStyle w:val="FootnoteText"/>
      </w:pPr>
      <w:r>
        <w:rPr>
          <w:rStyle w:val="FootnoteReference"/>
        </w:rPr>
        <w:footnoteRef/>
      </w:r>
      <w:r>
        <w:t xml:space="preserve"> India's second written submission, paras. 85–86. </w:t>
      </w:r>
    </w:p>
  </w:footnote>
  <w:footnote w:id="53">
    <w:p w14:paraId="04675D3E" w14:textId="7A143154" w:rsidR="00E027C9" w:rsidRPr="00F06431" w:rsidRDefault="00E027C9" w:rsidP="001351E0">
      <w:pPr>
        <w:pStyle w:val="FootnoteText"/>
        <w:jc w:val="left"/>
      </w:pPr>
      <w:r>
        <w:rPr>
          <w:rStyle w:val="FootnoteReference"/>
        </w:rPr>
        <w:footnoteRef/>
      </w:r>
      <w:r>
        <w:t xml:space="preserve"> Appellate Body Report, </w:t>
      </w:r>
      <w:r>
        <w:rPr>
          <w:i/>
        </w:rPr>
        <w:t>US – Large Civil Aircraft (2</w:t>
      </w:r>
      <w:r w:rsidRPr="00F06431">
        <w:rPr>
          <w:i/>
          <w:vertAlign w:val="superscript"/>
        </w:rPr>
        <w:t>nd</w:t>
      </w:r>
      <w:r>
        <w:rPr>
          <w:i/>
        </w:rPr>
        <w:t xml:space="preserve"> complaint)</w:t>
      </w:r>
      <w:r>
        <w:t>, para. 614.</w:t>
      </w:r>
    </w:p>
  </w:footnote>
  <w:footnote w:id="54">
    <w:p w14:paraId="4AA7F686" w14:textId="58B49CC9" w:rsidR="00E027C9" w:rsidRPr="001A39BD" w:rsidRDefault="00E027C9" w:rsidP="001351E0">
      <w:pPr>
        <w:pStyle w:val="FootnoteText"/>
        <w:jc w:val="left"/>
        <w:rPr>
          <w:vertAlign w:val="superscript"/>
        </w:rPr>
      </w:pPr>
      <w:r>
        <w:rPr>
          <w:rStyle w:val="FootnoteReference"/>
        </w:rPr>
        <w:footnoteRef/>
      </w:r>
      <w:r>
        <w:t xml:space="preserve"> </w:t>
      </w:r>
      <w:r>
        <w:rPr>
          <w:i/>
        </w:rPr>
        <w:t>EC and certain member states – Large Civil Aircraft (Article 21.5 – United States)</w:t>
      </w:r>
      <w:r>
        <w:t xml:space="preserve">, para. 6.290, citing </w:t>
      </w:r>
      <w:r>
        <w:rPr>
          <w:i/>
        </w:rPr>
        <w:t>EC and certain member states – Large Civil Aircraft</w:t>
      </w:r>
      <w:r>
        <w:t>, paras. 7.378–7.379; India's second written submission, paras. 81–83; Australia's second written submission, footnote 151; Guatemala’s opening s</w:t>
      </w:r>
      <w:r w:rsidRPr="001A39BD">
        <w:t xml:space="preserve">tatement at the </w:t>
      </w:r>
      <w:r>
        <w:t>first substantive meeting, para</w:t>
      </w:r>
      <w:r w:rsidRPr="001A39BD">
        <w:t xml:space="preserve"> </w:t>
      </w:r>
      <w:r>
        <w:t>4.14; Australia's response to Panel question 59, para. 77.</w:t>
      </w:r>
    </w:p>
  </w:footnote>
  <w:footnote w:id="55">
    <w:p w14:paraId="60DC4B93" w14:textId="69B7290F" w:rsidR="00E027C9" w:rsidRPr="00D944AF" w:rsidRDefault="00E027C9" w:rsidP="001351E0">
      <w:pPr>
        <w:pStyle w:val="FootnoteText"/>
        <w:jc w:val="left"/>
      </w:pPr>
      <w:r>
        <w:rPr>
          <w:rStyle w:val="FootnoteReference"/>
        </w:rPr>
        <w:footnoteRef/>
      </w:r>
      <w:r>
        <w:t xml:space="preserve"> India's second written submission, para. 82, citing </w:t>
      </w:r>
      <w:r>
        <w:rPr>
          <w:i/>
        </w:rPr>
        <w:t>EC – Large Civil Aircraft</w:t>
      </w:r>
      <w:r>
        <w:t>, para. 7.1495 (emphasis added).</w:t>
      </w:r>
    </w:p>
  </w:footnote>
  <w:footnote w:id="56">
    <w:p w14:paraId="1D6790A7" w14:textId="3943E4E7" w:rsidR="00E027C9" w:rsidRPr="00496817" w:rsidRDefault="00E027C9" w:rsidP="00943369">
      <w:pPr>
        <w:pStyle w:val="FootnoteText"/>
        <w:jc w:val="left"/>
      </w:pPr>
      <w:r w:rsidRPr="007556C4">
        <w:rPr>
          <w:rStyle w:val="FootnoteReference"/>
        </w:rPr>
        <w:footnoteRef/>
      </w:r>
      <w:r w:rsidRPr="007556C4">
        <w:t xml:space="preserve"> </w:t>
      </w:r>
      <w:r>
        <w:t xml:space="preserve">See </w:t>
      </w:r>
      <w:r w:rsidRPr="007556C4">
        <w:rPr>
          <w:i/>
        </w:rPr>
        <w:t>EC and certain member states – Large Civil Aircraft</w:t>
      </w:r>
      <w:r w:rsidRPr="007556C4">
        <w:t>, paras. 2.5–3.1.</w:t>
      </w:r>
    </w:p>
  </w:footnote>
  <w:footnote w:id="57">
    <w:p w14:paraId="2F13656A" w14:textId="279943E2" w:rsidR="00E027C9" w:rsidRDefault="00E027C9" w:rsidP="001351E0">
      <w:pPr>
        <w:pStyle w:val="FootnoteText"/>
        <w:jc w:val="left"/>
      </w:pPr>
      <w:r>
        <w:rPr>
          <w:rStyle w:val="FootnoteReference"/>
        </w:rPr>
        <w:footnoteRef/>
      </w:r>
      <w:r>
        <w:t xml:space="preserve"> </w:t>
      </w:r>
      <w:r w:rsidRPr="00FA6FC4">
        <w:rPr>
          <w:i/>
        </w:rPr>
        <w:t>EC and certain member states – Large Civil Aircraft</w:t>
      </w:r>
      <w:r>
        <w:t xml:space="preserve">, paras. 7.378–7.379; </w:t>
      </w:r>
      <w:r w:rsidRPr="001C0F3F">
        <w:t>Appellate Body Report</w:t>
      </w:r>
      <w:r>
        <w:rPr>
          <w:i/>
        </w:rPr>
        <w:t xml:space="preserve">, EC </w:t>
      </w:r>
      <w:r w:rsidRPr="00FA6FC4">
        <w:rPr>
          <w:i/>
        </w:rPr>
        <w:t>and certain member states – Large Civil Aircraft</w:t>
      </w:r>
      <w:r>
        <w:t>, para. 830.</w:t>
      </w:r>
    </w:p>
  </w:footnote>
  <w:footnote w:id="58">
    <w:p w14:paraId="4F3E01D2" w14:textId="1DE0C9E6" w:rsidR="00E027C9" w:rsidRDefault="00E027C9" w:rsidP="001351E0">
      <w:pPr>
        <w:pStyle w:val="FootnoteText"/>
        <w:jc w:val="left"/>
      </w:pPr>
      <w:r>
        <w:rPr>
          <w:rStyle w:val="FootnoteReference"/>
        </w:rPr>
        <w:footnoteRef/>
      </w:r>
      <w:r>
        <w:t xml:space="preserve"> </w:t>
      </w:r>
      <w:r w:rsidRPr="00FA6FC4">
        <w:rPr>
          <w:i/>
        </w:rPr>
        <w:t>EC and certain member states – Large Civil Aircraft</w:t>
      </w:r>
      <w:r>
        <w:t>, para.  7.379</w:t>
      </w:r>
    </w:p>
  </w:footnote>
  <w:footnote w:id="59">
    <w:p w14:paraId="4B7E74FE" w14:textId="2B5EA4FE" w:rsidR="00E027C9" w:rsidRDefault="00E027C9" w:rsidP="001351E0">
      <w:pPr>
        <w:pStyle w:val="FootnoteText"/>
        <w:jc w:val="left"/>
      </w:pPr>
      <w:r>
        <w:rPr>
          <w:rStyle w:val="FootnoteReference"/>
        </w:rPr>
        <w:footnoteRef/>
      </w:r>
      <w:r>
        <w:t xml:space="preserve"> </w:t>
      </w:r>
      <w:r w:rsidRPr="00FA6FC4">
        <w:rPr>
          <w:i/>
        </w:rPr>
        <w:t>EC and certain member states – Large Civil Aircraft</w:t>
      </w:r>
      <w:r>
        <w:t>, para. 7.1415.</w:t>
      </w:r>
    </w:p>
  </w:footnote>
  <w:footnote w:id="60">
    <w:p w14:paraId="5787F416" w14:textId="12B83229" w:rsidR="00E027C9" w:rsidRDefault="00E027C9" w:rsidP="001351E0">
      <w:pPr>
        <w:pStyle w:val="FootnoteText"/>
        <w:jc w:val="left"/>
      </w:pPr>
      <w:r>
        <w:rPr>
          <w:rStyle w:val="FootnoteReference"/>
        </w:rPr>
        <w:footnoteRef/>
      </w:r>
      <w:r>
        <w:t xml:space="preserve"> </w:t>
      </w:r>
      <w:r w:rsidRPr="00FA6FC4">
        <w:rPr>
          <w:i/>
        </w:rPr>
        <w:t>EC and certain member states – Large Civil Aircraft</w:t>
      </w:r>
      <w:r>
        <w:t>, para. 71495.</w:t>
      </w:r>
    </w:p>
  </w:footnote>
  <w:footnote w:id="61">
    <w:p w14:paraId="643A005F" w14:textId="508BBF20" w:rsidR="00E027C9" w:rsidRDefault="00E027C9" w:rsidP="001351E0">
      <w:pPr>
        <w:pStyle w:val="FootnoteText"/>
        <w:jc w:val="left"/>
      </w:pPr>
      <w:r>
        <w:rPr>
          <w:rStyle w:val="FootnoteReference"/>
        </w:rPr>
        <w:footnoteRef/>
      </w:r>
      <w:r>
        <w:t xml:space="preserve"> Australia's opening statement at the first substantive meeting, para. 89; Australia's response to Panel question 59, paras. 76–78; Australia's second written submission, para. 107.  See also Brazil's opening statement at the first substantive meeting, paras. 44–46; Brazil's response to Panel question 59, para. 74; Brazil's second written submission, paras. 94–95. </w:t>
      </w:r>
    </w:p>
  </w:footnote>
  <w:footnote w:id="62">
    <w:p w14:paraId="0244006B" w14:textId="20CE5CBE" w:rsidR="00E027C9" w:rsidRDefault="00E027C9" w:rsidP="001351E0">
      <w:pPr>
        <w:pStyle w:val="FootnoteText"/>
        <w:jc w:val="left"/>
      </w:pPr>
      <w:r>
        <w:rPr>
          <w:rStyle w:val="FootnoteReference"/>
        </w:rPr>
        <w:footnoteRef/>
      </w:r>
      <w:r>
        <w:t xml:space="preserve"> Australia's second written submission, para. 112 and, particularly, footnotes 166–170. </w:t>
      </w:r>
    </w:p>
  </w:footnote>
  <w:footnote w:id="63">
    <w:p w14:paraId="010B2DB5" w14:textId="40933C9F" w:rsidR="00E027C9" w:rsidRPr="00384960" w:rsidRDefault="00E027C9" w:rsidP="001351E0">
      <w:pPr>
        <w:pStyle w:val="FootnoteText"/>
        <w:jc w:val="left"/>
      </w:pPr>
      <w:r>
        <w:rPr>
          <w:rStyle w:val="FootnoteReference"/>
        </w:rPr>
        <w:footnoteRef/>
      </w:r>
      <w:r>
        <w:t xml:space="preserve"> Appellate Body Report, </w:t>
      </w:r>
      <w:r>
        <w:rPr>
          <w:i/>
        </w:rPr>
        <w:t>US – Large Civil Aircraft (2</w:t>
      </w:r>
      <w:r w:rsidRPr="00384960">
        <w:rPr>
          <w:i/>
          <w:vertAlign w:val="superscript"/>
        </w:rPr>
        <w:t>nd</w:t>
      </w:r>
      <w:r>
        <w:rPr>
          <w:i/>
        </w:rPr>
        <w:t xml:space="preserve"> complaint)</w:t>
      </w:r>
      <w:r>
        <w:t xml:space="preserve">, para. 635, citing Appellate Body Report, </w:t>
      </w:r>
      <w:r>
        <w:rPr>
          <w:i/>
        </w:rPr>
        <w:t>Canada – Aircraft</w:t>
      </w:r>
      <w:r>
        <w:t xml:space="preserve">, para. 157. </w:t>
      </w:r>
    </w:p>
  </w:footnote>
  <w:footnote w:id="64">
    <w:p w14:paraId="20B5063B" w14:textId="7095247C" w:rsidR="00E027C9" w:rsidRPr="00FC3091" w:rsidRDefault="00E027C9" w:rsidP="001351E0">
      <w:pPr>
        <w:pStyle w:val="FootnoteText"/>
        <w:jc w:val="left"/>
      </w:pPr>
      <w:r>
        <w:rPr>
          <w:rStyle w:val="FootnoteReference"/>
        </w:rPr>
        <w:footnoteRef/>
      </w:r>
      <w:r>
        <w:t xml:space="preserve"> See, e.g., </w:t>
      </w:r>
      <w:r>
        <w:rPr>
          <w:i/>
        </w:rPr>
        <w:t>EC and certain member states – Large Civil Aircraft</w:t>
      </w:r>
      <w:r>
        <w:t>, para. 7.1499, where the panel found that "in the particular context of a financial contribution in the form of a loan, a benefit will be conferred whenever it is granted to a recipient on terms more favourable than those available to the recipient in the market"; and Appellate Body Report</w:t>
      </w:r>
      <w:r>
        <w:rPr>
          <w:i/>
        </w:rPr>
        <w:t>, US – Large Civil Aircraft (2</w:t>
      </w:r>
      <w:r w:rsidRPr="00FC3091">
        <w:rPr>
          <w:i/>
          <w:vertAlign w:val="superscript"/>
        </w:rPr>
        <w:t>nd</w:t>
      </w:r>
      <w:r>
        <w:rPr>
          <w:i/>
        </w:rPr>
        <w:t xml:space="preserve"> complaint)</w:t>
      </w:r>
      <w:r>
        <w:t xml:space="preserve">, para. 643, where the Appellate Body suggested that where the measure in question involved investment in research and development, a comparison with evidence submitted by the parties regarding how research transactions between market actors are structured would have been appropriate. </w:t>
      </w:r>
    </w:p>
  </w:footnote>
  <w:footnote w:id="65">
    <w:p w14:paraId="682AA903" w14:textId="77777777" w:rsidR="00E027C9" w:rsidRDefault="00E027C9">
      <w:pPr>
        <w:pStyle w:val="FootnoteText"/>
      </w:pPr>
      <w:r>
        <w:rPr>
          <w:rStyle w:val="FootnoteReference"/>
        </w:rPr>
        <w:footnoteRef/>
      </w:r>
      <w:r>
        <w:t xml:space="preserve"> Australia's first written submission, para. 269, cited by India in its second written submission, footnote 69 to para. 92; Australia's second written submission, para. 110; Guatemala's opening statement at the first substantive meeting, para. 4.18, cited by India in its second written submission, footnote 69 to para. 92. </w:t>
      </w:r>
    </w:p>
  </w:footnote>
  <w:footnote w:id="66">
    <w:p w14:paraId="47A2B3A7" w14:textId="77777777" w:rsidR="00E027C9" w:rsidRDefault="00E027C9">
      <w:pPr>
        <w:pStyle w:val="FootnoteText"/>
      </w:pPr>
      <w:r>
        <w:rPr>
          <w:rStyle w:val="FootnoteReference"/>
        </w:rPr>
        <w:footnoteRef/>
      </w:r>
      <w:r>
        <w:t xml:space="preserve"> India's second written submission, para. 91.</w:t>
      </w:r>
    </w:p>
  </w:footnote>
  <w:footnote w:id="67">
    <w:p w14:paraId="7A31358B" w14:textId="56CA0750" w:rsidR="00E027C9" w:rsidRDefault="00E027C9" w:rsidP="00D0226A">
      <w:pPr>
        <w:pStyle w:val="FootnoteText"/>
        <w:jc w:val="left"/>
      </w:pPr>
      <w:r>
        <w:rPr>
          <w:rStyle w:val="FootnoteReference"/>
        </w:rPr>
        <w:footnoteRef/>
      </w:r>
      <w:r>
        <w:t xml:space="preserve"> India's second written submission, paras. 92–94.  </w:t>
      </w:r>
      <w:r w:rsidRPr="00240B80">
        <w:rPr>
          <w:i/>
          <w:iCs/>
        </w:rPr>
        <w:t>See also</w:t>
      </w:r>
      <w:r>
        <w:t xml:space="preserve">, </w:t>
      </w:r>
      <w:r>
        <w:rPr>
          <w:i/>
        </w:rPr>
        <w:t>EC and certain member states – Large Civil Aircraft</w:t>
      </w:r>
      <w:r>
        <w:t xml:space="preserve">, para. 7.1501; </w:t>
      </w:r>
      <w:r w:rsidRPr="00240B80">
        <w:t>Australia's</w:t>
      </w:r>
      <w:r>
        <w:t xml:space="preserve"> first written submission, para. 400; Australia's second written submission, para. 110. </w:t>
      </w:r>
    </w:p>
  </w:footnote>
  <w:footnote w:id="68">
    <w:p w14:paraId="2DDE9D41" w14:textId="5CDC9991" w:rsidR="00E027C9" w:rsidRPr="00AD66BE" w:rsidRDefault="00E027C9" w:rsidP="001351E0">
      <w:pPr>
        <w:pStyle w:val="FootnoteText"/>
        <w:jc w:val="left"/>
      </w:pPr>
      <w:r>
        <w:rPr>
          <w:rStyle w:val="FootnoteReference"/>
        </w:rPr>
        <w:footnoteRef/>
      </w:r>
      <w:r>
        <w:t xml:space="preserve"> See, e.g., </w:t>
      </w:r>
      <w:r>
        <w:rPr>
          <w:i/>
        </w:rPr>
        <w:t>Brazil – Taxation</w:t>
      </w:r>
      <w:r>
        <w:t>, paras. 7.491 – 7.494, where the panel adopts this simple approach to comparing the situation of tax exemption or reduction beneficiaries to what it would have been had they been obliged to pay the taxes in question.</w:t>
      </w:r>
    </w:p>
  </w:footnote>
  <w:footnote w:id="69">
    <w:p w14:paraId="006692E4" w14:textId="795F3BDD" w:rsidR="00E027C9" w:rsidRDefault="00E027C9" w:rsidP="001A224D">
      <w:pPr>
        <w:pStyle w:val="FootnoteText"/>
        <w:jc w:val="left"/>
      </w:pPr>
      <w:r>
        <w:rPr>
          <w:rStyle w:val="FootnoteReference"/>
        </w:rPr>
        <w:footnoteRef/>
      </w:r>
      <w:r>
        <w:t xml:space="preserve"> India's second written submission, para. 96, drawing on the panel's reasoning in </w:t>
      </w:r>
      <w:r w:rsidRPr="001A224D">
        <w:t xml:space="preserve">Based on the panel's reasoning in </w:t>
      </w:r>
      <w:r w:rsidRPr="001A224D">
        <w:rPr>
          <w:i/>
        </w:rPr>
        <w:t>Canada – Renewable Energy/Canada – Feed-in Tariff Program</w:t>
      </w:r>
      <w:r>
        <w:rPr>
          <w:i/>
        </w:rPr>
        <w:t>.</w:t>
      </w:r>
    </w:p>
  </w:footnote>
  <w:footnote w:id="70">
    <w:p w14:paraId="0B006AB5" w14:textId="4FCE4DCB" w:rsidR="00E027C9" w:rsidRDefault="00E027C9">
      <w:pPr>
        <w:pStyle w:val="FootnoteText"/>
      </w:pPr>
      <w:r>
        <w:rPr>
          <w:rStyle w:val="FootnoteReference"/>
        </w:rPr>
        <w:footnoteRef/>
      </w:r>
      <w:r>
        <w:t xml:space="preserve"> India's second written submission, para. 95, citing </w:t>
      </w:r>
      <w:r w:rsidRPr="0098326D">
        <w:t xml:space="preserve">Panel Report, </w:t>
      </w:r>
      <w:r w:rsidRPr="0098326D">
        <w:rPr>
          <w:i/>
        </w:rPr>
        <w:t>Canada – Renewable Energy</w:t>
      </w:r>
      <w:r>
        <w:rPr>
          <w:i/>
        </w:rPr>
        <w:t>/Canada Feed-in Tariff Program</w:t>
      </w:r>
      <w:r w:rsidRPr="00EB42A6">
        <w:rPr>
          <w:i/>
        </w:rPr>
        <w:t>,</w:t>
      </w:r>
      <w:r w:rsidRPr="0098326D">
        <w:rPr>
          <w:i/>
        </w:rPr>
        <w:t xml:space="preserve"> </w:t>
      </w:r>
      <w:r w:rsidRPr="0098326D">
        <w:t>paras.</w:t>
      </w:r>
      <w:r>
        <w:t xml:space="preserve"> 7.273–7.274.</w:t>
      </w:r>
    </w:p>
  </w:footnote>
  <w:footnote w:id="71">
    <w:p w14:paraId="184C9201" w14:textId="72720EFD" w:rsidR="00E027C9" w:rsidRDefault="00E027C9">
      <w:pPr>
        <w:pStyle w:val="FootnoteText"/>
      </w:pPr>
      <w:r>
        <w:rPr>
          <w:rStyle w:val="FootnoteReference"/>
        </w:rPr>
        <w:footnoteRef/>
      </w:r>
      <w:r>
        <w:t xml:space="preserve"> Australia's second written submission, para. 111.</w:t>
      </w:r>
    </w:p>
  </w:footnote>
  <w:footnote w:id="72">
    <w:p w14:paraId="6A04C172" w14:textId="77777777" w:rsidR="00E027C9" w:rsidRPr="00831DA1" w:rsidRDefault="00E027C9" w:rsidP="00BB6171">
      <w:pPr>
        <w:pStyle w:val="FootnoteText"/>
        <w:jc w:val="left"/>
      </w:pPr>
      <w:r>
        <w:rPr>
          <w:rStyle w:val="FootnoteReference"/>
        </w:rPr>
        <w:footnoteRef/>
      </w:r>
      <w:r>
        <w:t xml:space="preserve"> Appellate Body report, </w:t>
      </w:r>
      <w:r>
        <w:rPr>
          <w:i/>
        </w:rPr>
        <w:t>Canada – Aircraft</w:t>
      </w:r>
      <w:r>
        <w:t>, para. 154; India's second written submission, para. 73.</w:t>
      </w:r>
    </w:p>
  </w:footnote>
  <w:footnote w:id="73">
    <w:p w14:paraId="49EE959C" w14:textId="3414C019" w:rsidR="00E027C9" w:rsidRPr="000F2D78" w:rsidRDefault="00E027C9" w:rsidP="00787393">
      <w:pPr>
        <w:pStyle w:val="FootnoteText"/>
        <w:jc w:val="left"/>
      </w:pPr>
      <w:r>
        <w:rPr>
          <w:rStyle w:val="FootnoteReference"/>
        </w:rPr>
        <w:footnoteRef/>
      </w:r>
      <w:r>
        <w:t xml:space="preserve"> As India has observed, the panel in </w:t>
      </w:r>
      <w:r>
        <w:rPr>
          <w:i/>
        </w:rPr>
        <w:t>EC and certain member states – Large Civil Aircraft</w:t>
      </w:r>
      <w:r>
        <w:t xml:space="preserve"> (para. 7.1502) determined as much with respect to </w:t>
      </w:r>
      <w:r>
        <w:rPr>
          <w:u w:val="single"/>
        </w:rPr>
        <w:t>one</w:t>
      </w:r>
      <w:r>
        <w:t xml:space="preserve"> of the many challenged measures (a commitment to provide research and development funds in the future) in that dispute.  </w:t>
      </w:r>
    </w:p>
  </w:footnote>
  <w:footnote w:id="74">
    <w:p w14:paraId="014B3005" w14:textId="3E239B61" w:rsidR="00E027C9" w:rsidRPr="00B855FB" w:rsidRDefault="00E027C9">
      <w:pPr>
        <w:pStyle w:val="FootnoteText"/>
      </w:pPr>
      <w:r>
        <w:rPr>
          <w:rStyle w:val="FootnoteReference"/>
        </w:rPr>
        <w:footnoteRef/>
      </w:r>
      <w:r>
        <w:t xml:space="preserve"> Australia's response to Panel question 59, para. 78; Brazil's response to Panel question 59, para. 75 and footnote 105; </w:t>
      </w:r>
      <w:r>
        <w:rPr>
          <w:i/>
        </w:rPr>
        <w:t>See also,</w:t>
      </w:r>
      <w:r>
        <w:t xml:space="preserve"> United States' third party submission, para. 53, citing </w:t>
      </w:r>
      <w:r>
        <w:rPr>
          <w:i/>
        </w:rPr>
        <w:t>Canada – Aircraft</w:t>
      </w:r>
      <w:r>
        <w:t>,</w:t>
      </w:r>
      <w:r>
        <w:rPr>
          <w:i/>
        </w:rPr>
        <w:t xml:space="preserve"> </w:t>
      </w:r>
      <w:r>
        <w:t>para. 9.124; Japan's third party submission, para. 9.</w:t>
      </w:r>
    </w:p>
  </w:footnote>
  <w:footnote w:id="75">
    <w:p w14:paraId="43F00532" w14:textId="1D842A28" w:rsidR="00E027C9" w:rsidRDefault="00E027C9" w:rsidP="001351E0">
      <w:pPr>
        <w:pStyle w:val="FootnoteText"/>
        <w:jc w:val="left"/>
      </w:pPr>
      <w:r>
        <w:rPr>
          <w:rStyle w:val="FootnoteReference"/>
        </w:rPr>
        <w:footnoteRef/>
      </w:r>
      <w:r>
        <w:t xml:space="preserve"> Australia's second written submission, para. 124 and footnote 186.</w:t>
      </w:r>
    </w:p>
  </w:footnote>
  <w:footnote w:id="76">
    <w:p w14:paraId="7CFDF6AF" w14:textId="77777777" w:rsidR="00E027C9" w:rsidRDefault="00E027C9" w:rsidP="001351E0">
      <w:pPr>
        <w:pStyle w:val="FootnoteText"/>
        <w:jc w:val="left"/>
      </w:pPr>
      <w:r>
        <w:rPr>
          <w:rStyle w:val="FootnoteReference"/>
        </w:rPr>
        <w:footnoteRef/>
      </w:r>
      <w:r>
        <w:t xml:space="preserve"> Australia's second written submission, para. 124 and footnote 186.</w:t>
      </w:r>
    </w:p>
  </w:footnote>
  <w:footnote w:id="77">
    <w:p w14:paraId="4DE704BC" w14:textId="0F04FCEC" w:rsidR="00E027C9" w:rsidRDefault="00E027C9" w:rsidP="001351E0">
      <w:pPr>
        <w:pStyle w:val="FootnoteText"/>
        <w:jc w:val="left"/>
      </w:pPr>
      <w:r>
        <w:rPr>
          <w:rStyle w:val="FootnoteReference"/>
        </w:rPr>
        <w:footnoteRef/>
      </w:r>
      <w:r>
        <w:t xml:space="preserve"> Australia's second written submission, paras. 124–125, </w:t>
      </w:r>
      <w:r w:rsidRPr="003B38B9">
        <w:t>footnote 186</w:t>
      </w:r>
      <w:r w:rsidRPr="00BB6171">
        <w:t>.</w:t>
      </w:r>
      <w:r>
        <w:t xml:space="preserve"> </w:t>
      </w:r>
    </w:p>
  </w:footnote>
  <w:footnote w:id="78">
    <w:p w14:paraId="6A987165" w14:textId="26CB5C85" w:rsidR="00E027C9" w:rsidRDefault="00E027C9" w:rsidP="001351E0">
      <w:pPr>
        <w:pStyle w:val="FootnoteText"/>
        <w:jc w:val="left"/>
      </w:pPr>
      <w:r>
        <w:rPr>
          <w:rStyle w:val="FootnoteReference"/>
        </w:rPr>
        <w:footnoteRef/>
      </w:r>
      <w:r>
        <w:t xml:space="preserve"> Australia's second written submission, paras. 124–125</w:t>
      </w:r>
      <w:r w:rsidRPr="00BB6171">
        <w:t xml:space="preserve">, </w:t>
      </w:r>
      <w:r w:rsidRPr="000F2D56">
        <w:t>footnotes 187, 188</w:t>
      </w:r>
      <w:r w:rsidRPr="00BB6171">
        <w:t>.</w:t>
      </w:r>
      <w:r>
        <w:t xml:space="preserve"> </w:t>
      </w:r>
    </w:p>
  </w:footnote>
  <w:footnote w:id="79">
    <w:p w14:paraId="1994E62B" w14:textId="41DAE15A" w:rsidR="00E027C9" w:rsidRDefault="00E027C9" w:rsidP="001351E0">
      <w:pPr>
        <w:pStyle w:val="FootnoteText"/>
        <w:jc w:val="left"/>
      </w:pPr>
      <w:r>
        <w:rPr>
          <w:rStyle w:val="FootnoteReference"/>
        </w:rPr>
        <w:footnoteRef/>
      </w:r>
      <w:r>
        <w:t xml:space="preserve"> India's second written submission, para. 104.</w:t>
      </w:r>
    </w:p>
  </w:footnote>
  <w:footnote w:id="80">
    <w:p w14:paraId="1E7145BD" w14:textId="77777777" w:rsidR="00E027C9" w:rsidRDefault="00E027C9" w:rsidP="005B498D">
      <w:pPr>
        <w:pStyle w:val="FootnoteText"/>
        <w:jc w:val="left"/>
      </w:pPr>
      <w:r>
        <w:rPr>
          <w:rStyle w:val="FootnoteReference"/>
        </w:rPr>
        <w:footnoteRef/>
      </w:r>
      <w:r>
        <w:t xml:space="preserve"> Australia's second written submission, para. 218.</w:t>
      </w:r>
    </w:p>
  </w:footnote>
  <w:footnote w:id="81">
    <w:p w14:paraId="7A8D38A0" w14:textId="77777777" w:rsidR="00E027C9" w:rsidRDefault="00E027C9" w:rsidP="005B498D">
      <w:pPr>
        <w:pStyle w:val="FootnoteText"/>
        <w:jc w:val="left"/>
      </w:pPr>
      <w:r>
        <w:rPr>
          <w:rStyle w:val="FootnoteReference"/>
        </w:rPr>
        <w:footnoteRef/>
      </w:r>
      <w:r>
        <w:t xml:space="preserve"> India's second written submission, para. 109.</w:t>
      </w:r>
    </w:p>
  </w:footnote>
  <w:footnote w:id="82">
    <w:p w14:paraId="16C25195" w14:textId="77777777" w:rsidR="00E027C9" w:rsidRDefault="00E027C9" w:rsidP="005B498D">
      <w:pPr>
        <w:pStyle w:val="FootnoteText"/>
        <w:jc w:val="left"/>
      </w:pPr>
      <w:r>
        <w:rPr>
          <w:rStyle w:val="FootnoteReference"/>
        </w:rPr>
        <w:footnoteRef/>
      </w:r>
      <w:r>
        <w:t xml:space="preserve"> India's second written submission, para. 109.</w:t>
      </w:r>
    </w:p>
  </w:footnote>
  <w:footnote w:id="83">
    <w:p w14:paraId="3AA706E8" w14:textId="52A93B29" w:rsidR="00E027C9" w:rsidRDefault="00E027C9">
      <w:pPr>
        <w:pStyle w:val="FootnoteText"/>
      </w:pPr>
      <w:r>
        <w:rPr>
          <w:rStyle w:val="FootnoteReference"/>
        </w:rPr>
        <w:footnoteRef/>
      </w:r>
      <w:r>
        <w:t xml:space="preserve"> SCM Agreement, articles 3.1(a) and 3.2; India's second written submission, paras. 65–66. </w:t>
      </w:r>
    </w:p>
  </w:footnote>
  <w:footnote w:id="84">
    <w:p w14:paraId="2B9E7DE5" w14:textId="6734944D" w:rsidR="00E027C9" w:rsidRDefault="00E027C9">
      <w:pPr>
        <w:pStyle w:val="FootnoteText"/>
      </w:pPr>
      <w:r>
        <w:rPr>
          <w:rStyle w:val="FootnoteReference"/>
        </w:rPr>
        <w:footnoteRef/>
      </w:r>
      <w:r>
        <w:t xml:space="preserve"> Australia's second written submission, paras. 170–200. </w:t>
      </w:r>
      <w:r w:rsidRPr="00BB6171">
        <w:rPr>
          <w:i/>
          <w:iCs/>
        </w:rPr>
        <w:t>See also</w:t>
      </w:r>
      <w:r>
        <w:t xml:space="preserve">, Guatemala's second written submission, paras. 114–130. </w:t>
      </w:r>
    </w:p>
  </w:footnote>
  <w:footnote w:id="85">
    <w:p w14:paraId="28194D79" w14:textId="71A63CD0" w:rsidR="00E027C9" w:rsidRPr="006A5795" w:rsidRDefault="00E027C9">
      <w:pPr>
        <w:pStyle w:val="FootnoteText"/>
      </w:pPr>
      <w:r>
        <w:rPr>
          <w:rStyle w:val="FootnoteReference"/>
        </w:rPr>
        <w:footnoteRef/>
      </w:r>
      <w:r>
        <w:t xml:space="preserve"> </w:t>
      </w:r>
      <w:r>
        <w:rPr>
          <w:i/>
        </w:rPr>
        <w:t>India – Export Related Measures</w:t>
      </w:r>
      <w:r>
        <w:t xml:space="preserve">, paras.  7.39–7.74. </w:t>
      </w:r>
      <w:r>
        <w:rPr>
          <w:i/>
        </w:rPr>
        <w:t>See also</w:t>
      </w:r>
      <w:r>
        <w:t>, Australia's second written submission, para. 184.</w:t>
      </w:r>
    </w:p>
  </w:footnote>
  <w:footnote w:id="86">
    <w:p w14:paraId="79E218A1" w14:textId="72AF6857" w:rsidR="00E027C9" w:rsidRDefault="00E027C9">
      <w:pPr>
        <w:pStyle w:val="FootnoteText"/>
      </w:pPr>
      <w:r>
        <w:rPr>
          <w:rStyle w:val="FootnoteReference"/>
        </w:rPr>
        <w:footnoteRef/>
      </w:r>
      <w:r>
        <w:t xml:space="preserve"> Australia's first written submission, para. 434. </w:t>
      </w:r>
      <w:r w:rsidRPr="00C64170">
        <w:rPr>
          <w:i/>
          <w:iCs/>
        </w:rPr>
        <w:t>See also</w:t>
      </w:r>
      <w:r>
        <w:t xml:space="preserve">, Canada's third party executive summary, para. 21. </w:t>
      </w:r>
    </w:p>
  </w:footnote>
  <w:footnote w:id="87">
    <w:p w14:paraId="00F55C44" w14:textId="77F2F492" w:rsidR="00E027C9" w:rsidRDefault="00E027C9" w:rsidP="00275FEB">
      <w:pPr>
        <w:pStyle w:val="FootnoteText"/>
      </w:pPr>
      <w:r>
        <w:rPr>
          <w:rStyle w:val="FootnoteReference"/>
        </w:rPr>
        <w:footnoteRef/>
      </w:r>
      <w:r>
        <w:t xml:space="preserve"> Australia's first written submission, paras. 451 and 454; Australia's second written submission, para. 234.</w:t>
      </w:r>
    </w:p>
  </w:footnote>
  <w:footnote w:id="88">
    <w:p w14:paraId="5FE13C65" w14:textId="480E7458" w:rsidR="00E027C9" w:rsidRDefault="00E027C9" w:rsidP="00275FEB">
      <w:pPr>
        <w:pStyle w:val="FootnoteText"/>
      </w:pPr>
      <w:r>
        <w:rPr>
          <w:rStyle w:val="FootnoteReference"/>
        </w:rPr>
        <w:footnoteRef/>
      </w:r>
      <w:r>
        <w:t xml:space="preserve"> India's second written submission, para. 112.</w:t>
      </w:r>
    </w:p>
  </w:footnote>
  <w:footnote w:id="89">
    <w:p w14:paraId="5ED6E886" w14:textId="047D0182" w:rsidR="00E027C9" w:rsidRDefault="00E027C9" w:rsidP="00275FEB">
      <w:pPr>
        <w:pStyle w:val="FootnoteText"/>
      </w:pPr>
      <w:r>
        <w:rPr>
          <w:rStyle w:val="FootnoteReference"/>
        </w:rPr>
        <w:footnoteRef/>
      </w:r>
      <w:r w:rsidRPr="009F3C5A">
        <w:t xml:space="preserve"> </w:t>
      </w:r>
      <w:r>
        <w:t>India's first written submission para. 158; India's second written submission, para. 113.</w:t>
      </w:r>
    </w:p>
  </w:footnote>
  <w:footnote w:id="90">
    <w:p w14:paraId="08039AE8" w14:textId="7961881A" w:rsidR="00E027C9" w:rsidRDefault="00E027C9">
      <w:pPr>
        <w:pStyle w:val="FootnoteText"/>
      </w:pPr>
      <w:r>
        <w:rPr>
          <w:rStyle w:val="FootnoteReference"/>
        </w:rPr>
        <w:footnoteRef/>
      </w:r>
      <w:r>
        <w:t xml:space="preserve"> Australia's response to Panel question 44(b), para. 143.</w:t>
      </w:r>
    </w:p>
  </w:footnote>
  <w:footnote w:id="91">
    <w:p w14:paraId="12D9CE5F" w14:textId="261B7206" w:rsidR="00E027C9" w:rsidRDefault="00E027C9">
      <w:pPr>
        <w:pStyle w:val="FootnoteText"/>
      </w:pPr>
      <w:r>
        <w:rPr>
          <w:rStyle w:val="FootnoteReference"/>
        </w:rPr>
        <w:footnoteRef/>
      </w:r>
      <w:r>
        <w:t xml:space="preserve"> </w:t>
      </w:r>
      <w:r w:rsidRPr="00AA4EF7">
        <w:t>Australia's response to Panel question 44(b), para. 14</w:t>
      </w:r>
      <w:r>
        <w:t>0.</w:t>
      </w:r>
    </w:p>
  </w:footnote>
  <w:footnote w:id="92">
    <w:p w14:paraId="5E5E1367" w14:textId="34D16B3F" w:rsidR="00E027C9" w:rsidRDefault="00E027C9">
      <w:pPr>
        <w:pStyle w:val="FootnoteText"/>
      </w:pPr>
      <w:r>
        <w:rPr>
          <w:rStyle w:val="FootnoteReference"/>
        </w:rPr>
        <w:footnoteRef/>
      </w:r>
      <w:r>
        <w:t xml:space="preserve"> Australia's first written submission, para. 437–443; Australia's response to Panel question 44(b), para. 141; Australia's second written submission, para. 223. </w:t>
      </w:r>
      <w:r w:rsidRPr="000F2D56">
        <w:rPr>
          <w:i/>
          <w:iCs/>
        </w:rPr>
        <w:t>See also</w:t>
      </w:r>
      <w:r>
        <w:t xml:space="preserve">, Canada's third party submission, paras. 43–51. </w:t>
      </w:r>
    </w:p>
  </w:footnote>
  <w:footnote w:id="93">
    <w:p w14:paraId="0D807630" w14:textId="1C5BC709" w:rsidR="00E027C9" w:rsidRDefault="00E027C9" w:rsidP="00275FEB">
      <w:pPr>
        <w:pStyle w:val="FootnoteText"/>
      </w:pPr>
      <w:r>
        <w:rPr>
          <w:rStyle w:val="FootnoteReference"/>
        </w:rPr>
        <w:footnoteRef/>
      </w:r>
      <w:r>
        <w:t xml:space="preserve"> Australia's second written submission, para. 226. </w:t>
      </w:r>
      <w:r w:rsidRPr="00E51318">
        <w:rPr>
          <w:i/>
          <w:iCs/>
        </w:rPr>
        <w:t>See also</w:t>
      </w:r>
      <w:r>
        <w:t>, Canada's third party submission, paras. 44–46.</w:t>
      </w:r>
    </w:p>
  </w:footnote>
  <w:footnote w:id="94">
    <w:p w14:paraId="435189C5" w14:textId="7782D9FC" w:rsidR="00E027C9" w:rsidRDefault="00E027C9" w:rsidP="00275FEB">
      <w:pPr>
        <w:pStyle w:val="FootnoteText"/>
      </w:pPr>
      <w:r>
        <w:rPr>
          <w:rStyle w:val="FootnoteReference"/>
        </w:rPr>
        <w:footnoteRef/>
      </w:r>
      <w:r>
        <w:t xml:space="preserve"> Agreement on Agriculture, Article 18.1. </w:t>
      </w:r>
      <w:r w:rsidRPr="00C64170">
        <w:rPr>
          <w:i/>
          <w:iCs/>
        </w:rPr>
        <w:t>See also</w:t>
      </w:r>
      <w:r>
        <w:t>,</w:t>
      </w:r>
      <w:r w:rsidRPr="00104805">
        <w:t xml:space="preserve"> </w:t>
      </w:r>
      <w:r>
        <w:t>Canada's third party executive summary, para.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024A" w14:textId="45370C2E" w:rsidR="00E027C9" w:rsidRPr="002A54F5" w:rsidRDefault="00E027C9">
    <w:pPr>
      <w:pStyle w:val="Header"/>
      <w:rPr>
        <w:sz w:val="16"/>
        <w:szCs w:val="16"/>
      </w:rPr>
    </w:pPr>
    <w:r w:rsidRPr="002A54F5">
      <w:rPr>
        <w:i/>
        <w:iCs/>
        <w:sz w:val="16"/>
        <w:szCs w:val="16"/>
      </w:rPr>
      <w:fldChar w:fldCharType="begin"/>
    </w:r>
    <w:r w:rsidRPr="002A54F5">
      <w:rPr>
        <w:i/>
        <w:iCs/>
        <w:sz w:val="16"/>
        <w:szCs w:val="16"/>
      </w:rPr>
      <w:instrText xml:space="preserve"> STYLEREF  "[WTODT] WTO Dispute Title"  \* MERGEFORMAT </w:instrText>
    </w:r>
    <w:r w:rsidRPr="002A54F5">
      <w:rPr>
        <w:i/>
        <w:iCs/>
        <w:sz w:val="16"/>
        <w:szCs w:val="16"/>
      </w:rPr>
      <w:fldChar w:fldCharType="separate"/>
    </w:r>
    <w:r w:rsidR="000839EB">
      <w:rPr>
        <w:i/>
        <w:iCs/>
        <w:noProof/>
        <w:sz w:val="16"/>
        <w:szCs w:val="16"/>
      </w:rPr>
      <w:t>India – Measures Concerning Sugar and Sugarcane</w:t>
    </w:r>
    <w:r w:rsidRPr="002A54F5">
      <w:rPr>
        <w:i/>
        <w:iCs/>
        <w:sz w:val="16"/>
        <w:szCs w:val="16"/>
      </w:rPr>
      <w:fldChar w:fldCharType="end"/>
    </w:r>
    <w:r w:rsidRPr="002A54F5">
      <w:rPr>
        <w:sz w:val="16"/>
        <w:szCs w:val="16"/>
      </w:rPr>
      <w:ptab w:relativeTo="margin" w:alignment="right" w:leader="none"/>
    </w:r>
  </w:p>
  <w:p w14:paraId="467F6C60" w14:textId="5017BF13" w:rsidR="00E027C9" w:rsidRPr="002A54F5" w:rsidRDefault="00E027C9">
    <w:pPr>
      <w:pStyle w:val="Header"/>
      <w:rPr>
        <w:sz w:val="16"/>
        <w:szCs w:val="16"/>
      </w:rPr>
    </w:pPr>
    <w:r w:rsidRPr="002A54F5">
      <w:rPr>
        <w:sz w:val="16"/>
        <w:szCs w:val="16"/>
      </w:rPr>
      <w:fldChar w:fldCharType="begin"/>
    </w:r>
    <w:r w:rsidRPr="002A54F5">
      <w:rPr>
        <w:sz w:val="16"/>
        <w:szCs w:val="16"/>
      </w:rPr>
      <w:instrText xml:space="preserve"> STYLEREF  "[DT] Document Title"  \* MERGEFORMAT </w:instrText>
    </w:r>
    <w:r w:rsidRPr="002A54F5">
      <w:rPr>
        <w:sz w:val="16"/>
        <w:szCs w:val="16"/>
      </w:rPr>
      <w:fldChar w:fldCharType="separate"/>
    </w:r>
    <w:r w:rsidR="000839EB">
      <w:rPr>
        <w:noProof/>
        <w:sz w:val="16"/>
        <w:szCs w:val="16"/>
      </w:rPr>
      <w:t>Australia's Opening Statement at the Second Substantive Meeting with the Parties</w:t>
    </w:r>
    <w:r w:rsidRPr="002A54F5">
      <w:rPr>
        <w:noProof/>
        <w:sz w:val="16"/>
        <w:szCs w:val="16"/>
      </w:rPr>
      <w:fldChar w:fldCharType="end"/>
    </w:r>
  </w:p>
  <w:p w14:paraId="216D8814" w14:textId="34CF2889" w:rsidR="00E027C9" w:rsidRPr="002A54F5" w:rsidRDefault="00E027C9">
    <w:pPr>
      <w:pStyle w:val="Header"/>
      <w:rPr>
        <w:sz w:val="16"/>
        <w:szCs w:val="16"/>
      </w:rPr>
    </w:pPr>
    <w:r w:rsidRPr="002A54F5">
      <w:rPr>
        <w:sz w:val="16"/>
        <w:szCs w:val="16"/>
      </w:rPr>
      <w:fldChar w:fldCharType="begin"/>
    </w:r>
    <w:r w:rsidRPr="002A54F5">
      <w:rPr>
        <w:sz w:val="16"/>
        <w:szCs w:val="16"/>
      </w:rPr>
      <w:instrText xml:space="preserve"> STYLEREF  "[DSN] DS Number"  \* MERGEFORMAT </w:instrText>
    </w:r>
    <w:r w:rsidRPr="002A54F5">
      <w:rPr>
        <w:sz w:val="16"/>
        <w:szCs w:val="16"/>
      </w:rPr>
      <w:fldChar w:fldCharType="separate"/>
    </w:r>
    <w:r w:rsidR="000839EB">
      <w:rPr>
        <w:noProof/>
        <w:sz w:val="16"/>
        <w:szCs w:val="16"/>
      </w:rPr>
      <w:t>(DS580)</w:t>
    </w:r>
    <w:r w:rsidRPr="002A54F5">
      <w:rPr>
        <w:noProof/>
        <w:sz w:val="16"/>
        <w:szCs w:val="16"/>
      </w:rPr>
      <w:fldChar w:fldCharType="end"/>
    </w:r>
    <w:r w:rsidRPr="002A54F5">
      <w:rPr>
        <w:sz w:val="16"/>
        <w:szCs w:val="16"/>
      </w:rPr>
      <w:ptab w:relativeTo="margin" w:alignment="right" w:leader="none"/>
    </w:r>
    <w:r w:rsidRPr="002A54F5">
      <w:rPr>
        <w:sz w:val="16"/>
        <w:szCs w:val="16"/>
      </w:rPr>
      <w:fldChar w:fldCharType="begin"/>
    </w:r>
    <w:r w:rsidRPr="002A54F5">
      <w:rPr>
        <w:sz w:val="16"/>
        <w:szCs w:val="16"/>
      </w:rPr>
      <w:instrText xml:space="preserve"> STYLEREF  "[DD] Document Date"  \* MERGEFORMAT </w:instrText>
    </w:r>
    <w:r w:rsidRPr="002A54F5">
      <w:rPr>
        <w:sz w:val="16"/>
        <w:szCs w:val="16"/>
      </w:rPr>
      <w:fldChar w:fldCharType="separate"/>
    </w:r>
    <w:r w:rsidR="000839EB">
      <w:rPr>
        <w:noProof/>
        <w:sz w:val="16"/>
        <w:szCs w:val="16"/>
      </w:rPr>
      <w:t>23 March 2021</w:t>
    </w:r>
    <w:r w:rsidRPr="002A54F5">
      <w:rPr>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EEF7" w14:textId="774194B3" w:rsidR="00E027C9" w:rsidRPr="002A54F5" w:rsidRDefault="00E027C9" w:rsidP="002A54F5">
    <w:pPr>
      <w:pStyle w:val="Header"/>
      <w:jc w:val="right"/>
      <w:rPr>
        <w:i/>
        <w:iCs/>
      </w:rPr>
    </w:pPr>
    <w:r>
      <w:rPr>
        <w:i/>
        <w:iCs/>
      </w:rPr>
      <w:t>As Delivered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332DE3"/>
    <w:multiLevelType w:val="multilevel"/>
    <w:tmpl w:val="04520B7E"/>
    <w:lvl w:ilvl="0">
      <w:start w:val="1"/>
      <w:numFmt w:val="upperRoman"/>
      <w:lvlText w:val="%1."/>
      <w:lvlJc w:val="left"/>
      <w:pPr>
        <w:ind w:left="567" w:hanging="567"/>
      </w:pPr>
      <w:rPr>
        <w:rFonts w:ascii="Verdana" w:eastAsia="Verdana" w:hAnsi="Verdana" w:cs="Verdana"/>
        <w:b/>
        <w:i w:val="0"/>
        <w:sz w:val="18"/>
        <w:szCs w:val="18"/>
      </w:rPr>
    </w:lvl>
    <w:lvl w:ilvl="1">
      <w:start w:val="1"/>
      <w:numFmt w:val="upperLetter"/>
      <w:lvlText w:val="%2."/>
      <w:lvlJc w:val="left"/>
      <w:pPr>
        <w:ind w:left="737" w:hanging="170"/>
      </w:pPr>
      <w:rPr>
        <w:rFonts w:ascii="Verdana" w:eastAsia="Verdana" w:hAnsi="Verdana" w:cs="Verdana"/>
        <w:b/>
        <w:i w:val="0"/>
        <w:sz w:val="18"/>
        <w:szCs w:val="18"/>
      </w:rPr>
    </w:lvl>
    <w:lvl w:ilvl="2">
      <w:start w:val="1"/>
      <w:numFmt w:val="lowerLetter"/>
      <w:lvlText w:val="%3."/>
      <w:lvlJc w:val="left"/>
      <w:pPr>
        <w:ind w:left="1080" w:hanging="343"/>
      </w:pPr>
      <w:rPr>
        <w:rFonts w:ascii="Verdana" w:eastAsia="Verdana" w:hAnsi="Verdana" w:cs="Verdana"/>
        <w:b/>
        <w:i/>
        <w:sz w:val="18"/>
        <w:szCs w:val="18"/>
      </w:rPr>
    </w:lvl>
    <w:lvl w:ilvl="3">
      <w:start w:val="1"/>
      <w:numFmt w:val="lowerRoman"/>
      <w:lvlText w:val="(%4)"/>
      <w:lvlJc w:val="left"/>
      <w:pPr>
        <w:ind w:left="1440" w:hanging="360"/>
      </w:pPr>
      <w:rPr>
        <w:rFonts w:ascii="Verdana" w:eastAsia="Verdana" w:hAnsi="Verdana" w:cs="Verdana"/>
        <w:sz w:val="18"/>
        <w:szCs w:val="18"/>
      </w:rPr>
    </w:lvl>
    <w:lvl w:ilvl="4">
      <w:start w:val="1"/>
      <w:numFmt w:val="decimal"/>
      <w:lvlText w:val="%5."/>
      <w:lvlJc w:val="left"/>
      <w:pPr>
        <w:ind w:left="567" w:hanging="567"/>
      </w:pPr>
      <w:rPr>
        <w:rFonts w:ascii="Verdana" w:eastAsia="Verdana" w:hAnsi="Verdana" w:cs="Verdana"/>
        <w:b w:val="0"/>
        <w:i w:val="0"/>
        <w:color w:val="000000"/>
        <w:sz w:val="18"/>
        <w:szCs w:val="18"/>
      </w:rPr>
    </w:lvl>
    <w:lvl w:ilvl="5">
      <w:start w:val="1"/>
      <w:numFmt w:val="lowerRoman"/>
      <w:lvlText w:val="(%6)"/>
      <w:lvlJc w:val="left"/>
      <w:pPr>
        <w:ind w:left="1890" w:hanging="54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1BCC0873"/>
    <w:multiLevelType w:val="hybridMultilevel"/>
    <w:tmpl w:val="BF22F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781C5D"/>
    <w:multiLevelType w:val="hybridMultilevel"/>
    <w:tmpl w:val="9EA6EC2A"/>
    <w:lvl w:ilvl="0" w:tplc="0C090001">
      <w:start w:val="1"/>
      <w:numFmt w:val="bullet"/>
      <w:lvlText w:val=""/>
      <w:lvlJc w:val="left"/>
      <w:pPr>
        <w:tabs>
          <w:tab w:val="num" w:pos="851"/>
        </w:tabs>
        <w:ind w:left="0" w:firstLine="0"/>
      </w:pPr>
      <w:rPr>
        <w:rFonts w:ascii="Symbol" w:hAnsi="Symbol" w:hint="default"/>
      </w:rPr>
    </w:lvl>
    <w:lvl w:ilvl="1" w:tplc="35D2146C">
      <w:start w:val="1"/>
      <w:numFmt w:val="bullet"/>
      <w:lvlText w:val=""/>
      <w:lvlJc w:val="left"/>
      <w:pPr>
        <w:tabs>
          <w:tab w:val="num" w:pos="1701"/>
        </w:tabs>
        <w:ind w:left="1701" w:hanging="850"/>
      </w:pPr>
      <w:rPr>
        <w:rFonts w:ascii="Symbol" w:hAnsi="Symbol" w:hint="default"/>
      </w:rPr>
    </w:lvl>
    <w:lvl w:ilvl="2" w:tplc="9F3EA8EE">
      <w:start w:val="1"/>
      <w:numFmt w:val="bullet"/>
      <w:lvlText w:val="–"/>
      <w:lvlJc w:val="left"/>
      <w:pPr>
        <w:tabs>
          <w:tab w:val="num" w:pos="2552"/>
        </w:tabs>
        <w:ind w:left="2552" w:hanging="851"/>
      </w:pPr>
      <w:rPr>
        <w:rFonts w:ascii="Calibri" w:eastAsiaTheme="minorHAnsi" w:hAnsi="Calibri" w:cs="Calibri"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5" w15:restartNumberingAfterBreak="0">
    <w:nsid w:val="26C33A3E"/>
    <w:multiLevelType w:val="hybridMultilevel"/>
    <w:tmpl w:val="4A921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7" w15:restartNumberingAfterBreak="0">
    <w:nsid w:val="4BB52AF8"/>
    <w:multiLevelType w:val="hybridMultilevel"/>
    <w:tmpl w:val="3258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4D161B"/>
    <w:multiLevelType w:val="hybridMultilevel"/>
    <w:tmpl w:val="A6E666A2"/>
    <w:lvl w:ilvl="0" w:tplc="E3AE501C">
      <w:start w:val="1"/>
      <w:numFmt w:val="decimal"/>
      <w:lvlText w:val="%1."/>
      <w:lvlJc w:val="left"/>
      <w:pPr>
        <w:ind w:left="360" w:hanging="360"/>
      </w:pPr>
      <w:rPr>
        <w:rFonts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0"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D32964"/>
    <w:multiLevelType w:val="hybridMultilevel"/>
    <w:tmpl w:val="8B7E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621782"/>
    <w:multiLevelType w:val="hybridMultilevel"/>
    <w:tmpl w:val="10DE9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6"/>
    <w:lvlOverride w:ilvl="0">
      <w:startOverride w:val="1"/>
    </w:lvlOverride>
  </w:num>
  <w:num w:numId="4">
    <w:abstractNumId w:val="0"/>
  </w:num>
  <w:num w:numId="5">
    <w:abstractNumId w:val="10"/>
  </w:num>
  <w:num w:numId="6">
    <w:abstractNumId w:val="9"/>
  </w:num>
  <w:num w:numId="7">
    <w:abstractNumId w:val="9"/>
  </w:num>
  <w:num w:numId="8">
    <w:abstractNumId w:val="7"/>
  </w:num>
  <w:num w:numId="9">
    <w:abstractNumId w:val="2"/>
  </w:num>
  <w:num w:numId="10">
    <w:abstractNumId w:val="1"/>
  </w:num>
  <w:num w:numId="11">
    <w:abstractNumId w:val="2"/>
  </w:num>
  <w:num w:numId="12">
    <w:abstractNumId w:val="2"/>
  </w:num>
  <w:num w:numId="13">
    <w:abstractNumId w:val="11"/>
  </w:num>
  <w:num w:numId="14">
    <w:abstractNumId w:val="5"/>
  </w:num>
  <w:num w:numId="15">
    <w:abstractNumId w:val="4"/>
  </w:num>
  <w:num w:numId="16">
    <w:abstractNumId w:val="6"/>
    <w:lvlOverride w:ilvl="0">
      <w:startOverride w:val="1"/>
    </w:lvlOverride>
  </w:num>
  <w:num w:numId="17">
    <w:abstractNumId w:val="6"/>
  </w:num>
  <w:num w:numId="18">
    <w:abstractNumId w:val="8"/>
  </w:num>
  <w:num w:numId="19">
    <w:abstractNumId w:val="3"/>
  </w:num>
  <w:num w:numId="20">
    <w:abstractNumId w:val="12"/>
  </w:num>
  <w:num w:numId="21">
    <w:abstractNumId w:val="6"/>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85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F5"/>
    <w:rsid w:val="00002353"/>
    <w:rsid w:val="000027BA"/>
    <w:rsid w:val="00004009"/>
    <w:rsid w:val="00005281"/>
    <w:rsid w:val="00006269"/>
    <w:rsid w:val="000067FF"/>
    <w:rsid w:val="0001369E"/>
    <w:rsid w:val="00013F6E"/>
    <w:rsid w:val="00017806"/>
    <w:rsid w:val="00020D7C"/>
    <w:rsid w:val="00022445"/>
    <w:rsid w:val="00023C47"/>
    <w:rsid w:val="0002511C"/>
    <w:rsid w:val="00025483"/>
    <w:rsid w:val="000255A6"/>
    <w:rsid w:val="00030A32"/>
    <w:rsid w:val="00031577"/>
    <w:rsid w:val="00031927"/>
    <w:rsid w:val="00034CDA"/>
    <w:rsid w:val="00035963"/>
    <w:rsid w:val="00035EC8"/>
    <w:rsid w:val="00036D07"/>
    <w:rsid w:val="000377CE"/>
    <w:rsid w:val="00037B3A"/>
    <w:rsid w:val="00037C8F"/>
    <w:rsid w:val="00040482"/>
    <w:rsid w:val="0004374E"/>
    <w:rsid w:val="000453F8"/>
    <w:rsid w:val="00045AE0"/>
    <w:rsid w:val="00046BAF"/>
    <w:rsid w:val="00052C62"/>
    <w:rsid w:val="00056F6B"/>
    <w:rsid w:val="00060049"/>
    <w:rsid w:val="000647D2"/>
    <w:rsid w:val="000662B0"/>
    <w:rsid w:val="0006684A"/>
    <w:rsid w:val="00066C0E"/>
    <w:rsid w:val="000716BD"/>
    <w:rsid w:val="00072826"/>
    <w:rsid w:val="0007327B"/>
    <w:rsid w:val="00073FB2"/>
    <w:rsid w:val="000810AB"/>
    <w:rsid w:val="00081602"/>
    <w:rsid w:val="00082549"/>
    <w:rsid w:val="000839EB"/>
    <w:rsid w:val="000841C8"/>
    <w:rsid w:val="0008553B"/>
    <w:rsid w:val="00090CBC"/>
    <w:rsid w:val="000914EB"/>
    <w:rsid w:val="00093175"/>
    <w:rsid w:val="000950D2"/>
    <w:rsid w:val="00095D03"/>
    <w:rsid w:val="000B065D"/>
    <w:rsid w:val="000B1565"/>
    <w:rsid w:val="000B2EDC"/>
    <w:rsid w:val="000B3C00"/>
    <w:rsid w:val="000B3ECA"/>
    <w:rsid w:val="000B6751"/>
    <w:rsid w:val="000B712A"/>
    <w:rsid w:val="000C14F5"/>
    <w:rsid w:val="000C421A"/>
    <w:rsid w:val="000C4675"/>
    <w:rsid w:val="000C4ACE"/>
    <w:rsid w:val="000C5C85"/>
    <w:rsid w:val="000C69EE"/>
    <w:rsid w:val="000C7EE2"/>
    <w:rsid w:val="000D00A7"/>
    <w:rsid w:val="000D1025"/>
    <w:rsid w:val="000D2AF2"/>
    <w:rsid w:val="000D32E6"/>
    <w:rsid w:val="000D3B3C"/>
    <w:rsid w:val="000D7594"/>
    <w:rsid w:val="000E4BF6"/>
    <w:rsid w:val="000F2564"/>
    <w:rsid w:val="000F2D56"/>
    <w:rsid w:val="000F2D78"/>
    <w:rsid w:val="001019AC"/>
    <w:rsid w:val="00103634"/>
    <w:rsid w:val="00103AF0"/>
    <w:rsid w:val="00105ECA"/>
    <w:rsid w:val="00115085"/>
    <w:rsid w:val="0011547E"/>
    <w:rsid w:val="00116142"/>
    <w:rsid w:val="00116DF6"/>
    <w:rsid w:val="00121186"/>
    <w:rsid w:val="0012151F"/>
    <w:rsid w:val="00121601"/>
    <w:rsid w:val="0012252E"/>
    <w:rsid w:val="001239BB"/>
    <w:rsid w:val="001254B1"/>
    <w:rsid w:val="001302DA"/>
    <w:rsid w:val="00130373"/>
    <w:rsid w:val="00133589"/>
    <w:rsid w:val="001351E0"/>
    <w:rsid w:val="00136227"/>
    <w:rsid w:val="00137F60"/>
    <w:rsid w:val="00143FF0"/>
    <w:rsid w:val="001536CA"/>
    <w:rsid w:val="001570CB"/>
    <w:rsid w:val="00157B3D"/>
    <w:rsid w:val="00161126"/>
    <w:rsid w:val="00163120"/>
    <w:rsid w:val="00165108"/>
    <w:rsid w:val="0017126D"/>
    <w:rsid w:val="0017192E"/>
    <w:rsid w:val="00177F29"/>
    <w:rsid w:val="00181F5A"/>
    <w:rsid w:val="00182649"/>
    <w:rsid w:val="00182727"/>
    <w:rsid w:val="00182B48"/>
    <w:rsid w:val="0018756C"/>
    <w:rsid w:val="00190C46"/>
    <w:rsid w:val="00190D59"/>
    <w:rsid w:val="001A17C8"/>
    <w:rsid w:val="001A224D"/>
    <w:rsid w:val="001A31D8"/>
    <w:rsid w:val="001A39BD"/>
    <w:rsid w:val="001A41B7"/>
    <w:rsid w:val="001A4DE5"/>
    <w:rsid w:val="001B3489"/>
    <w:rsid w:val="001B3899"/>
    <w:rsid w:val="001B3B84"/>
    <w:rsid w:val="001C000B"/>
    <w:rsid w:val="001C0F3F"/>
    <w:rsid w:val="001C1490"/>
    <w:rsid w:val="001C2A97"/>
    <w:rsid w:val="001C2A9A"/>
    <w:rsid w:val="001C3A79"/>
    <w:rsid w:val="001C5F27"/>
    <w:rsid w:val="001C600E"/>
    <w:rsid w:val="001C6037"/>
    <w:rsid w:val="001D07C2"/>
    <w:rsid w:val="001D24CB"/>
    <w:rsid w:val="001D2D15"/>
    <w:rsid w:val="001D49A6"/>
    <w:rsid w:val="001D7511"/>
    <w:rsid w:val="001E040E"/>
    <w:rsid w:val="001E39C3"/>
    <w:rsid w:val="001E3EF3"/>
    <w:rsid w:val="001E4A99"/>
    <w:rsid w:val="001E56E4"/>
    <w:rsid w:val="001F0E48"/>
    <w:rsid w:val="001F338B"/>
    <w:rsid w:val="001F46B7"/>
    <w:rsid w:val="001F478A"/>
    <w:rsid w:val="00200091"/>
    <w:rsid w:val="0020062A"/>
    <w:rsid w:val="0020176B"/>
    <w:rsid w:val="00202578"/>
    <w:rsid w:val="00202C05"/>
    <w:rsid w:val="00203FDC"/>
    <w:rsid w:val="00204E41"/>
    <w:rsid w:val="00205B04"/>
    <w:rsid w:val="002070FA"/>
    <w:rsid w:val="002074D5"/>
    <w:rsid w:val="002078F5"/>
    <w:rsid w:val="002108BF"/>
    <w:rsid w:val="00212CBA"/>
    <w:rsid w:val="00213AA7"/>
    <w:rsid w:val="002148F8"/>
    <w:rsid w:val="00214D3F"/>
    <w:rsid w:val="002236D4"/>
    <w:rsid w:val="00225AA0"/>
    <w:rsid w:val="002273F6"/>
    <w:rsid w:val="0022753D"/>
    <w:rsid w:val="00230197"/>
    <w:rsid w:val="00231B68"/>
    <w:rsid w:val="0023272D"/>
    <w:rsid w:val="0023642F"/>
    <w:rsid w:val="00240B80"/>
    <w:rsid w:val="00240F4D"/>
    <w:rsid w:val="00245041"/>
    <w:rsid w:val="00245A99"/>
    <w:rsid w:val="00245B0E"/>
    <w:rsid w:val="00245FA1"/>
    <w:rsid w:val="00245FBB"/>
    <w:rsid w:val="002460FA"/>
    <w:rsid w:val="00247082"/>
    <w:rsid w:val="0025308E"/>
    <w:rsid w:val="002603E6"/>
    <w:rsid w:val="0026054F"/>
    <w:rsid w:val="0026128E"/>
    <w:rsid w:val="0026239B"/>
    <w:rsid w:val="002623CE"/>
    <w:rsid w:val="0026308F"/>
    <w:rsid w:val="00263785"/>
    <w:rsid w:val="002639F6"/>
    <w:rsid w:val="00264687"/>
    <w:rsid w:val="00264EA4"/>
    <w:rsid w:val="00270ACA"/>
    <w:rsid w:val="00271E65"/>
    <w:rsid w:val="002726D8"/>
    <w:rsid w:val="00273EBA"/>
    <w:rsid w:val="00275FEB"/>
    <w:rsid w:val="002766B3"/>
    <w:rsid w:val="00276A51"/>
    <w:rsid w:val="002774D9"/>
    <w:rsid w:val="00277CBE"/>
    <w:rsid w:val="00280879"/>
    <w:rsid w:val="00283DB2"/>
    <w:rsid w:val="002858AF"/>
    <w:rsid w:val="00291213"/>
    <w:rsid w:val="00292109"/>
    <w:rsid w:val="002930D6"/>
    <w:rsid w:val="002942C5"/>
    <w:rsid w:val="002960F5"/>
    <w:rsid w:val="00297DB1"/>
    <w:rsid w:val="002A03C4"/>
    <w:rsid w:val="002A13F0"/>
    <w:rsid w:val="002A53BE"/>
    <w:rsid w:val="002A54F5"/>
    <w:rsid w:val="002A7F83"/>
    <w:rsid w:val="002B3806"/>
    <w:rsid w:val="002B4A55"/>
    <w:rsid w:val="002B673A"/>
    <w:rsid w:val="002B7853"/>
    <w:rsid w:val="002C0F57"/>
    <w:rsid w:val="002C1184"/>
    <w:rsid w:val="002C18A3"/>
    <w:rsid w:val="002C3CDF"/>
    <w:rsid w:val="002C5E50"/>
    <w:rsid w:val="002C6793"/>
    <w:rsid w:val="002D10D8"/>
    <w:rsid w:val="002D387E"/>
    <w:rsid w:val="002E0C4A"/>
    <w:rsid w:val="002E2CDE"/>
    <w:rsid w:val="002E7381"/>
    <w:rsid w:val="002F1025"/>
    <w:rsid w:val="002F2B71"/>
    <w:rsid w:val="002F2D2D"/>
    <w:rsid w:val="002F433F"/>
    <w:rsid w:val="002F5C46"/>
    <w:rsid w:val="002F73AD"/>
    <w:rsid w:val="002F7C26"/>
    <w:rsid w:val="003005A3"/>
    <w:rsid w:val="003013C7"/>
    <w:rsid w:val="00303249"/>
    <w:rsid w:val="003104D8"/>
    <w:rsid w:val="0031054B"/>
    <w:rsid w:val="0031432B"/>
    <w:rsid w:val="00315278"/>
    <w:rsid w:val="00316CAF"/>
    <w:rsid w:val="00320776"/>
    <w:rsid w:val="003208F8"/>
    <w:rsid w:val="00321BD8"/>
    <w:rsid w:val="00323254"/>
    <w:rsid w:val="00323D58"/>
    <w:rsid w:val="00326BC1"/>
    <w:rsid w:val="00326DB8"/>
    <w:rsid w:val="00327085"/>
    <w:rsid w:val="00327E6F"/>
    <w:rsid w:val="00330582"/>
    <w:rsid w:val="00330DF8"/>
    <w:rsid w:val="00331C5B"/>
    <w:rsid w:val="00332036"/>
    <w:rsid w:val="003338DC"/>
    <w:rsid w:val="00334712"/>
    <w:rsid w:val="00335D24"/>
    <w:rsid w:val="0034182B"/>
    <w:rsid w:val="00343C7D"/>
    <w:rsid w:val="00345BDC"/>
    <w:rsid w:val="0034617A"/>
    <w:rsid w:val="00346294"/>
    <w:rsid w:val="003518A3"/>
    <w:rsid w:val="00351932"/>
    <w:rsid w:val="00351D08"/>
    <w:rsid w:val="00352772"/>
    <w:rsid w:val="00354A06"/>
    <w:rsid w:val="00355030"/>
    <w:rsid w:val="00355394"/>
    <w:rsid w:val="003653E4"/>
    <w:rsid w:val="00366ADC"/>
    <w:rsid w:val="0037020F"/>
    <w:rsid w:val="00370C44"/>
    <w:rsid w:val="003729D8"/>
    <w:rsid w:val="00373A7D"/>
    <w:rsid w:val="00374086"/>
    <w:rsid w:val="00380306"/>
    <w:rsid w:val="00380454"/>
    <w:rsid w:val="00380795"/>
    <w:rsid w:val="00384960"/>
    <w:rsid w:val="00385AAD"/>
    <w:rsid w:val="00387A39"/>
    <w:rsid w:val="00392BA4"/>
    <w:rsid w:val="00392F78"/>
    <w:rsid w:val="00393DC1"/>
    <w:rsid w:val="00396A3D"/>
    <w:rsid w:val="00396B82"/>
    <w:rsid w:val="00397143"/>
    <w:rsid w:val="003979BD"/>
    <w:rsid w:val="003A10EE"/>
    <w:rsid w:val="003A3037"/>
    <w:rsid w:val="003A3486"/>
    <w:rsid w:val="003A3FC8"/>
    <w:rsid w:val="003A56A4"/>
    <w:rsid w:val="003A5EE8"/>
    <w:rsid w:val="003B18AF"/>
    <w:rsid w:val="003B38B9"/>
    <w:rsid w:val="003B754A"/>
    <w:rsid w:val="003C37A5"/>
    <w:rsid w:val="003C434D"/>
    <w:rsid w:val="003D1383"/>
    <w:rsid w:val="003E4198"/>
    <w:rsid w:val="003E518C"/>
    <w:rsid w:val="003E559D"/>
    <w:rsid w:val="003E6937"/>
    <w:rsid w:val="003F0E24"/>
    <w:rsid w:val="003F2C72"/>
    <w:rsid w:val="003F42D1"/>
    <w:rsid w:val="003F5ADB"/>
    <w:rsid w:val="0040108F"/>
    <w:rsid w:val="004035F0"/>
    <w:rsid w:val="00403A11"/>
    <w:rsid w:val="0041004D"/>
    <w:rsid w:val="00410BF0"/>
    <w:rsid w:val="00414EA0"/>
    <w:rsid w:val="004151E1"/>
    <w:rsid w:val="004201B9"/>
    <w:rsid w:val="00420443"/>
    <w:rsid w:val="00422179"/>
    <w:rsid w:val="0042221F"/>
    <w:rsid w:val="004223B1"/>
    <w:rsid w:val="00423234"/>
    <w:rsid w:val="00423723"/>
    <w:rsid w:val="0042498D"/>
    <w:rsid w:val="00426E51"/>
    <w:rsid w:val="00430199"/>
    <w:rsid w:val="00430799"/>
    <w:rsid w:val="004320B7"/>
    <w:rsid w:val="00433A46"/>
    <w:rsid w:val="00444817"/>
    <w:rsid w:val="00445D9D"/>
    <w:rsid w:val="00446F6F"/>
    <w:rsid w:val="00450B82"/>
    <w:rsid w:val="00450F7B"/>
    <w:rsid w:val="00451A09"/>
    <w:rsid w:val="004524CE"/>
    <w:rsid w:val="00453C6C"/>
    <w:rsid w:val="00454A8F"/>
    <w:rsid w:val="00454F79"/>
    <w:rsid w:val="0046194E"/>
    <w:rsid w:val="004621D9"/>
    <w:rsid w:val="00462897"/>
    <w:rsid w:val="00472974"/>
    <w:rsid w:val="0047517E"/>
    <w:rsid w:val="00475A45"/>
    <w:rsid w:val="004769A0"/>
    <w:rsid w:val="00476C90"/>
    <w:rsid w:val="004773EC"/>
    <w:rsid w:val="00477519"/>
    <w:rsid w:val="00480689"/>
    <w:rsid w:val="00490AB3"/>
    <w:rsid w:val="0049658D"/>
    <w:rsid w:val="00496817"/>
    <w:rsid w:val="004A11D3"/>
    <w:rsid w:val="004A182E"/>
    <w:rsid w:val="004A56D4"/>
    <w:rsid w:val="004B0AEB"/>
    <w:rsid w:val="004B0D2A"/>
    <w:rsid w:val="004B4C05"/>
    <w:rsid w:val="004B6CFA"/>
    <w:rsid w:val="004B7C45"/>
    <w:rsid w:val="004C0D8E"/>
    <w:rsid w:val="004C0F58"/>
    <w:rsid w:val="004C1016"/>
    <w:rsid w:val="004C335E"/>
    <w:rsid w:val="004C4F1A"/>
    <w:rsid w:val="004C74E1"/>
    <w:rsid w:val="004D302C"/>
    <w:rsid w:val="004D48D7"/>
    <w:rsid w:val="004D6B81"/>
    <w:rsid w:val="004D6BFA"/>
    <w:rsid w:val="004D7079"/>
    <w:rsid w:val="004D7C3F"/>
    <w:rsid w:val="004E3944"/>
    <w:rsid w:val="004E71AD"/>
    <w:rsid w:val="004F1360"/>
    <w:rsid w:val="004F284B"/>
    <w:rsid w:val="004F28F1"/>
    <w:rsid w:val="004F43A9"/>
    <w:rsid w:val="004F5E63"/>
    <w:rsid w:val="004F67A1"/>
    <w:rsid w:val="0050080F"/>
    <w:rsid w:val="00505CB1"/>
    <w:rsid w:val="005100DE"/>
    <w:rsid w:val="0051073D"/>
    <w:rsid w:val="00513A57"/>
    <w:rsid w:val="00514496"/>
    <w:rsid w:val="00516DBF"/>
    <w:rsid w:val="005179AB"/>
    <w:rsid w:val="00520819"/>
    <w:rsid w:val="00522639"/>
    <w:rsid w:val="0052404B"/>
    <w:rsid w:val="00525CB3"/>
    <w:rsid w:val="0053011A"/>
    <w:rsid w:val="00535440"/>
    <w:rsid w:val="0054061E"/>
    <w:rsid w:val="005420BF"/>
    <w:rsid w:val="0054720A"/>
    <w:rsid w:val="00547F08"/>
    <w:rsid w:val="00552092"/>
    <w:rsid w:val="00552FF0"/>
    <w:rsid w:val="005537EE"/>
    <w:rsid w:val="00553DE8"/>
    <w:rsid w:val="0055423A"/>
    <w:rsid w:val="005558B1"/>
    <w:rsid w:val="00557D33"/>
    <w:rsid w:val="00557E6C"/>
    <w:rsid w:val="00561841"/>
    <w:rsid w:val="00564E56"/>
    <w:rsid w:val="005714C3"/>
    <w:rsid w:val="00571BB7"/>
    <w:rsid w:val="00572A73"/>
    <w:rsid w:val="00572F1E"/>
    <w:rsid w:val="0057454D"/>
    <w:rsid w:val="00576405"/>
    <w:rsid w:val="00580425"/>
    <w:rsid w:val="005834FA"/>
    <w:rsid w:val="00584D5A"/>
    <w:rsid w:val="0058590A"/>
    <w:rsid w:val="00585DAB"/>
    <w:rsid w:val="005874EE"/>
    <w:rsid w:val="00587E6A"/>
    <w:rsid w:val="0059096B"/>
    <w:rsid w:val="00590C36"/>
    <w:rsid w:val="0059117B"/>
    <w:rsid w:val="005955FC"/>
    <w:rsid w:val="0059703E"/>
    <w:rsid w:val="005A0F5B"/>
    <w:rsid w:val="005A3C75"/>
    <w:rsid w:val="005A4469"/>
    <w:rsid w:val="005A7064"/>
    <w:rsid w:val="005B203A"/>
    <w:rsid w:val="005B454F"/>
    <w:rsid w:val="005B498D"/>
    <w:rsid w:val="005B563B"/>
    <w:rsid w:val="005B5A2A"/>
    <w:rsid w:val="005B6710"/>
    <w:rsid w:val="005B7D5A"/>
    <w:rsid w:val="005C022E"/>
    <w:rsid w:val="005C0E21"/>
    <w:rsid w:val="005C1BA7"/>
    <w:rsid w:val="005C2316"/>
    <w:rsid w:val="005C4AD9"/>
    <w:rsid w:val="005D07CC"/>
    <w:rsid w:val="005D0800"/>
    <w:rsid w:val="005D080A"/>
    <w:rsid w:val="005D2D5D"/>
    <w:rsid w:val="005D3C24"/>
    <w:rsid w:val="005D7500"/>
    <w:rsid w:val="005E065F"/>
    <w:rsid w:val="005E0EFF"/>
    <w:rsid w:val="005E3C1F"/>
    <w:rsid w:val="005E4300"/>
    <w:rsid w:val="005E66D1"/>
    <w:rsid w:val="005E6A4E"/>
    <w:rsid w:val="005E7CD7"/>
    <w:rsid w:val="005F0DD5"/>
    <w:rsid w:val="005F4454"/>
    <w:rsid w:val="005F51DD"/>
    <w:rsid w:val="005F66E1"/>
    <w:rsid w:val="00600222"/>
    <w:rsid w:val="00604D02"/>
    <w:rsid w:val="00605383"/>
    <w:rsid w:val="00606998"/>
    <w:rsid w:val="00611420"/>
    <w:rsid w:val="00611FE7"/>
    <w:rsid w:val="00612D03"/>
    <w:rsid w:val="00614C61"/>
    <w:rsid w:val="0062041F"/>
    <w:rsid w:val="00621F69"/>
    <w:rsid w:val="006220E2"/>
    <w:rsid w:val="006223A0"/>
    <w:rsid w:val="00623441"/>
    <w:rsid w:val="0063076D"/>
    <w:rsid w:val="00631C3B"/>
    <w:rsid w:val="00632E74"/>
    <w:rsid w:val="00641FD2"/>
    <w:rsid w:val="0064336E"/>
    <w:rsid w:val="006471FC"/>
    <w:rsid w:val="006538D4"/>
    <w:rsid w:val="0065488F"/>
    <w:rsid w:val="00654CF6"/>
    <w:rsid w:val="006550D0"/>
    <w:rsid w:val="00661375"/>
    <w:rsid w:val="006613EA"/>
    <w:rsid w:val="00661BF3"/>
    <w:rsid w:val="006630C6"/>
    <w:rsid w:val="0066504B"/>
    <w:rsid w:val="006667C2"/>
    <w:rsid w:val="006702D7"/>
    <w:rsid w:val="00670656"/>
    <w:rsid w:val="006713F1"/>
    <w:rsid w:val="00672215"/>
    <w:rsid w:val="00672CD9"/>
    <w:rsid w:val="00672FD2"/>
    <w:rsid w:val="0067314B"/>
    <w:rsid w:val="00675218"/>
    <w:rsid w:val="00676B9B"/>
    <w:rsid w:val="006778A5"/>
    <w:rsid w:val="00682A09"/>
    <w:rsid w:val="00683005"/>
    <w:rsid w:val="0068676C"/>
    <w:rsid w:val="00693168"/>
    <w:rsid w:val="00695D05"/>
    <w:rsid w:val="00696C93"/>
    <w:rsid w:val="0069708B"/>
    <w:rsid w:val="006A39DE"/>
    <w:rsid w:val="006A4B6D"/>
    <w:rsid w:val="006A5795"/>
    <w:rsid w:val="006A6809"/>
    <w:rsid w:val="006B18F5"/>
    <w:rsid w:val="006B1C9A"/>
    <w:rsid w:val="006C1186"/>
    <w:rsid w:val="006C1D90"/>
    <w:rsid w:val="006C3DBC"/>
    <w:rsid w:val="006D1755"/>
    <w:rsid w:val="006D5488"/>
    <w:rsid w:val="006D625D"/>
    <w:rsid w:val="006E0BE7"/>
    <w:rsid w:val="006E2F9F"/>
    <w:rsid w:val="006E314A"/>
    <w:rsid w:val="006E4F6E"/>
    <w:rsid w:val="006F189E"/>
    <w:rsid w:val="006F1CC8"/>
    <w:rsid w:val="006F236E"/>
    <w:rsid w:val="006F4EC9"/>
    <w:rsid w:val="00700F6F"/>
    <w:rsid w:val="00701992"/>
    <w:rsid w:val="00701EB8"/>
    <w:rsid w:val="0070403D"/>
    <w:rsid w:val="00706CC5"/>
    <w:rsid w:val="00706E5D"/>
    <w:rsid w:val="00707D80"/>
    <w:rsid w:val="007150AF"/>
    <w:rsid w:val="00716456"/>
    <w:rsid w:val="00716B02"/>
    <w:rsid w:val="007216EA"/>
    <w:rsid w:val="00721EF4"/>
    <w:rsid w:val="007230A6"/>
    <w:rsid w:val="00724101"/>
    <w:rsid w:val="00725D3A"/>
    <w:rsid w:val="00730D8D"/>
    <w:rsid w:val="00733B21"/>
    <w:rsid w:val="00737B85"/>
    <w:rsid w:val="0075085F"/>
    <w:rsid w:val="00750C67"/>
    <w:rsid w:val="0075131A"/>
    <w:rsid w:val="00752045"/>
    <w:rsid w:val="00752167"/>
    <w:rsid w:val="00752FD5"/>
    <w:rsid w:val="00754411"/>
    <w:rsid w:val="00754FDE"/>
    <w:rsid w:val="007556C4"/>
    <w:rsid w:val="007630FC"/>
    <w:rsid w:val="007647F0"/>
    <w:rsid w:val="0076488C"/>
    <w:rsid w:val="007666B1"/>
    <w:rsid w:val="00770CF2"/>
    <w:rsid w:val="00772E0C"/>
    <w:rsid w:val="0077461A"/>
    <w:rsid w:val="00775116"/>
    <w:rsid w:val="00775CEC"/>
    <w:rsid w:val="007765D5"/>
    <w:rsid w:val="00782A77"/>
    <w:rsid w:val="00785050"/>
    <w:rsid w:val="00787393"/>
    <w:rsid w:val="00791556"/>
    <w:rsid w:val="00791E95"/>
    <w:rsid w:val="007A3EF1"/>
    <w:rsid w:val="007A4E9A"/>
    <w:rsid w:val="007A50A6"/>
    <w:rsid w:val="007A518C"/>
    <w:rsid w:val="007A6A24"/>
    <w:rsid w:val="007A799B"/>
    <w:rsid w:val="007B056D"/>
    <w:rsid w:val="007B4AFE"/>
    <w:rsid w:val="007B5F40"/>
    <w:rsid w:val="007B693C"/>
    <w:rsid w:val="007C291A"/>
    <w:rsid w:val="007C3B8D"/>
    <w:rsid w:val="007C4519"/>
    <w:rsid w:val="007C5A23"/>
    <w:rsid w:val="007C6EA2"/>
    <w:rsid w:val="007D117B"/>
    <w:rsid w:val="007D1A40"/>
    <w:rsid w:val="007D3BB2"/>
    <w:rsid w:val="007D3DE1"/>
    <w:rsid w:val="007D5BBD"/>
    <w:rsid w:val="007D5EB8"/>
    <w:rsid w:val="007D639C"/>
    <w:rsid w:val="007D77DD"/>
    <w:rsid w:val="007E090D"/>
    <w:rsid w:val="007E472F"/>
    <w:rsid w:val="007E7D07"/>
    <w:rsid w:val="007E7DB4"/>
    <w:rsid w:val="007E7F9F"/>
    <w:rsid w:val="007F0490"/>
    <w:rsid w:val="007F0619"/>
    <w:rsid w:val="007F0CB0"/>
    <w:rsid w:val="007F0E84"/>
    <w:rsid w:val="007F493E"/>
    <w:rsid w:val="007F738B"/>
    <w:rsid w:val="00800159"/>
    <w:rsid w:val="00803AD8"/>
    <w:rsid w:val="00803B74"/>
    <w:rsid w:val="00812AEF"/>
    <w:rsid w:val="00812D4D"/>
    <w:rsid w:val="00813AC7"/>
    <w:rsid w:val="0081579F"/>
    <w:rsid w:val="00816339"/>
    <w:rsid w:val="00816DFD"/>
    <w:rsid w:val="00825BD3"/>
    <w:rsid w:val="00831DA1"/>
    <w:rsid w:val="00833F8F"/>
    <w:rsid w:val="008344E0"/>
    <w:rsid w:val="0083630C"/>
    <w:rsid w:val="00845A30"/>
    <w:rsid w:val="00846D31"/>
    <w:rsid w:val="00851041"/>
    <w:rsid w:val="008544FC"/>
    <w:rsid w:val="00855308"/>
    <w:rsid w:val="00857BF5"/>
    <w:rsid w:val="00857D5D"/>
    <w:rsid w:val="0086209D"/>
    <w:rsid w:val="008635DD"/>
    <w:rsid w:val="00865885"/>
    <w:rsid w:val="00866C3E"/>
    <w:rsid w:val="00875D97"/>
    <w:rsid w:val="00876159"/>
    <w:rsid w:val="008769AF"/>
    <w:rsid w:val="00876A03"/>
    <w:rsid w:val="0088151F"/>
    <w:rsid w:val="00881F6F"/>
    <w:rsid w:val="0088439F"/>
    <w:rsid w:val="00884585"/>
    <w:rsid w:val="00884A82"/>
    <w:rsid w:val="0088522B"/>
    <w:rsid w:val="00887792"/>
    <w:rsid w:val="00887843"/>
    <w:rsid w:val="008906A3"/>
    <w:rsid w:val="008911E1"/>
    <w:rsid w:val="008929A5"/>
    <w:rsid w:val="008A1191"/>
    <w:rsid w:val="008A23B5"/>
    <w:rsid w:val="008A3F4A"/>
    <w:rsid w:val="008A47AF"/>
    <w:rsid w:val="008A4C51"/>
    <w:rsid w:val="008A5AB6"/>
    <w:rsid w:val="008B4489"/>
    <w:rsid w:val="008B60CC"/>
    <w:rsid w:val="008C0CE6"/>
    <w:rsid w:val="008C1917"/>
    <w:rsid w:val="008C21FF"/>
    <w:rsid w:val="008C302F"/>
    <w:rsid w:val="008C4CE1"/>
    <w:rsid w:val="008C614F"/>
    <w:rsid w:val="008D244E"/>
    <w:rsid w:val="008D2FF2"/>
    <w:rsid w:val="008D3051"/>
    <w:rsid w:val="008D36A0"/>
    <w:rsid w:val="008D3BDE"/>
    <w:rsid w:val="008D583D"/>
    <w:rsid w:val="008D5EEC"/>
    <w:rsid w:val="008E0031"/>
    <w:rsid w:val="008E0CB0"/>
    <w:rsid w:val="008E2D33"/>
    <w:rsid w:val="008E7997"/>
    <w:rsid w:val="008F0F89"/>
    <w:rsid w:val="008F286D"/>
    <w:rsid w:val="008F5752"/>
    <w:rsid w:val="008F5ACF"/>
    <w:rsid w:val="008F5B14"/>
    <w:rsid w:val="008F7779"/>
    <w:rsid w:val="00900804"/>
    <w:rsid w:val="0090501A"/>
    <w:rsid w:val="0090523D"/>
    <w:rsid w:val="009073EC"/>
    <w:rsid w:val="0091084E"/>
    <w:rsid w:val="009116AA"/>
    <w:rsid w:val="0091221A"/>
    <w:rsid w:val="00912271"/>
    <w:rsid w:val="009174C6"/>
    <w:rsid w:val="00922408"/>
    <w:rsid w:val="00924252"/>
    <w:rsid w:val="00930032"/>
    <w:rsid w:val="0093054A"/>
    <w:rsid w:val="00932E6A"/>
    <w:rsid w:val="00934733"/>
    <w:rsid w:val="00937E67"/>
    <w:rsid w:val="009410A9"/>
    <w:rsid w:val="00941C72"/>
    <w:rsid w:val="00941EAB"/>
    <w:rsid w:val="00941F28"/>
    <w:rsid w:val="00943369"/>
    <w:rsid w:val="009441C2"/>
    <w:rsid w:val="009442A5"/>
    <w:rsid w:val="00944F2A"/>
    <w:rsid w:val="00946D8E"/>
    <w:rsid w:val="009471F4"/>
    <w:rsid w:val="00947847"/>
    <w:rsid w:val="00952518"/>
    <w:rsid w:val="00956140"/>
    <w:rsid w:val="009623B1"/>
    <w:rsid w:val="00962C06"/>
    <w:rsid w:val="00963EED"/>
    <w:rsid w:val="00967CDE"/>
    <w:rsid w:val="00970F5B"/>
    <w:rsid w:val="009733AB"/>
    <w:rsid w:val="009758C8"/>
    <w:rsid w:val="00977886"/>
    <w:rsid w:val="00977AD6"/>
    <w:rsid w:val="00980A61"/>
    <w:rsid w:val="00980F78"/>
    <w:rsid w:val="00982909"/>
    <w:rsid w:val="0098326D"/>
    <w:rsid w:val="0098546A"/>
    <w:rsid w:val="00991E72"/>
    <w:rsid w:val="0099226B"/>
    <w:rsid w:val="00993024"/>
    <w:rsid w:val="009950B3"/>
    <w:rsid w:val="00995E71"/>
    <w:rsid w:val="00996089"/>
    <w:rsid w:val="0099758A"/>
    <w:rsid w:val="009A37B5"/>
    <w:rsid w:val="009A48BE"/>
    <w:rsid w:val="009A5584"/>
    <w:rsid w:val="009A7DFF"/>
    <w:rsid w:val="009C4BE8"/>
    <w:rsid w:val="009C5520"/>
    <w:rsid w:val="009D3641"/>
    <w:rsid w:val="009D37ED"/>
    <w:rsid w:val="009E061E"/>
    <w:rsid w:val="009E0E75"/>
    <w:rsid w:val="009E6C78"/>
    <w:rsid w:val="009E6F99"/>
    <w:rsid w:val="009F4134"/>
    <w:rsid w:val="009F5BD8"/>
    <w:rsid w:val="009F62BB"/>
    <w:rsid w:val="009F6AA8"/>
    <w:rsid w:val="009F736B"/>
    <w:rsid w:val="00A00423"/>
    <w:rsid w:val="00A056D2"/>
    <w:rsid w:val="00A0616D"/>
    <w:rsid w:val="00A066B8"/>
    <w:rsid w:val="00A06A1C"/>
    <w:rsid w:val="00A07C50"/>
    <w:rsid w:val="00A12179"/>
    <w:rsid w:val="00A13189"/>
    <w:rsid w:val="00A137E6"/>
    <w:rsid w:val="00A15547"/>
    <w:rsid w:val="00A16A0F"/>
    <w:rsid w:val="00A22780"/>
    <w:rsid w:val="00A24CA2"/>
    <w:rsid w:val="00A25CFE"/>
    <w:rsid w:val="00A261D8"/>
    <w:rsid w:val="00A262AC"/>
    <w:rsid w:val="00A276CF"/>
    <w:rsid w:val="00A31E82"/>
    <w:rsid w:val="00A322EE"/>
    <w:rsid w:val="00A32A6D"/>
    <w:rsid w:val="00A32BF1"/>
    <w:rsid w:val="00A33880"/>
    <w:rsid w:val="00A34F8E"/>
    <w:rsid w:val="00A351B1"/>
    <w:rsid w:val="00A35F65"/>
    <w:rsid w:val="00A407CA"/>
    <w:rsid w:val="00A42450"/>
    <w:rsid w:val="00A42A12"/>
    <w:rsid w:val="00A46453"/>
    <w:rsid w:val="00A47EB7"/>
    <w:rsid w:val="00A50222"/>
    <w:rsid w:val="00A51D91"/>
    <w:rsid w:val="00A5375A"/>
    <w:rsid w:val="00A54832"/>
    <w:rsid w:val="00A54F00"/>
    <w:rsid w:val="00A55C90"/>
    <w:rsid w:val="00A621DD"/>
    <w:rsid w:val="00A62B63"/>
    <w:rsid w:val="00A64F1A"/>
    <w:rsid w:val="00A669ED"/>
    <w:rsid w:val="00A66A90"/>
    <w:rsid w:val="00A66AB7"/>
    <w:rsid w:val="00A71291"/>
    <w:rsid w:val="00A72B4E"/>
    <w:rsid w:val="00A754F1"/>
    <w:rsid w:val="00A80F9C"/>
    <w:rsid w:val="00A82238"/>
    <w:rsid w:val="00A82DA6"/>
    <w:rsid w:val="00A83479"/>
    <w:rsid w:val="00A86CCC"/>
    <w:rsid w:val="00A871E3"/>
    <w:rsid w:val="00A90070"/>
    <w:rsid w:val="00A900B6"/>
    <w:rsid w:val="00A911A0"/>
    <w:rsid w:val="00A93371"/>
    <w:rsid w:val="00A973D6"/>
    <w:rsid w:val="00A977A6"/>
    <w:rsid w:val="00AA0A64"/>
    <w:rsid w:val="00AA4EF7"/>
    <w:rsid w:val="00AA7E49"/>
    <w:rsid w:val="00AB1D36"/>
    <w:rsid w:val="00AB1FF7"/>
    <w:rsid w:val="00AB3BCB"/>
    <w:rsid w:val="00AC4A0D"/>
    <w:rsid w:val="00AC7DCA"/>
    <w:rsid w:val="00AD0459"/>
    <w:rsid w:val="00AD1AA0"/>
    <w:rsid w:val="00AD31C4"/>
    <w:rsid w:val="00AD52FF"/>
    <w:rsid w:val="00AD66BE"/>
    <w:rsid w:val="00AE045D"/>
    <w:rsid w:val="00AE28C7"/>
    <w:rsid w:val="00AE49FA"/>
    <w:rsid w:val="00AE5EA0"/>
    <w:rsid w:val="00AF1407"/>
    <w:rsid w:val="00AF1F2F"/>
    <w:rsid w:val="00AF4DE4"/>
    <w:rsid w:val="00AF598D"/>
    <w:rsid w:val="00AF7750"/>
    <w:rsid w:val="00B00436"/>
    <w:rsid w:val="00B012D6"/>
    <w:rsid w:val="00B03F76"/>
    <w:rsid w:val="00B04A97"/>
    <w:rsid w:val="00B06518"/>
    <w:rsid w:val="00B07FF4"/>
    <w:rsid w:val="00B10177"/>
    <w:rsid w:val="00B10942"/>
    <w:rsid w:val="00B11880"/>
    <w:rsid w:val="00B12B48"/>
    <w:rsid w:val="00B12D4B"/>
    <w:rsid w:val="00B14409"/>
    <w:rsid w:val="00B15D11"/>
    <w:rsid w:val="00B20115"/>
    <w:rsid w:val="00B2029F"/>
    <w:rsid w:val="00B21105"/>
    <w:rsid w:val="00B214A4"/>
    <w:rsid w:val="00B2523E"/>
    <w:rsid w:val="00B265CC"/>
    <w:rsid w:val="00B33242"/>
    <w:rsid w:val="00B347C8"/>
    <w:rsid w:val="00B35257"/>
    <w:rsid w:val="00B35A5B"/>
    <w:rsid w:val="00B3699B"/>
    <w:rsid w:val="00B36BF4"/>
    <w:rsid w:val="00B36F52"/>
    <w:rsid w:val="00B374E8"/>
    <w:rsid w:val="00B42405"/>
    <w:rsid w:val="00B43FBA"/>
    <w:rsid w:val="00B455DD"/>
    <w:rsid w:val="00B474F2"/>
    <w:rsid w:val="00B50B9B"/>
    <w:rsid w:val="00B51875"/>
    <w:rsid w:val="00B51BA9"/>
    <w:rsid w:val="00B56DE0"/>
    <w:rsid w:val="00B6074B"/>
    <w:rsid w:val="00B60B16"/>
    <w:rsid w:val="00B60E2E"/>
    <w:rsid w:val="00B61586"/>
    <w:rsid w:val="00B61ED2"/>
    <w:rsid w:val="00B622F9"/>
    <w:rsid w:val="00B66344"/>
    <w:rsid w:val="00B665F8"/>
    <w:rsid w:val="00B6665D"/>
    <w:rsid w:val="00B700BE"/>
    <w:rsid w:val="00B7248A"/>
    <w:rsid w:val="00B746A6"/>
    <w:rsid w:val="00B80E42"/>
    <w:rsid w:val="00B81250"/>
    <w:rsid w:val="00B814CB"/>
    <w:rsid w:val="00B82F01"/>
    <w:rsid w:val="00B83B78"/>
    <w:rsid w:val="00B855FB"/>
    <w:rsid w:val="00B8613A"/>
    <w:rsid w:val="00B90D33"/>
    <w:rsid w:val="00B92BAD"/>
    <w:rsid w:val="00B96619"/>
    <w:rsid w:val="00B97112"/>
    <w:rsid w:val="00B9740F"/>
    <w:rsid w:val="00B9745F"/>
    <w:rsid w:val="00BA1B35"/>
    <w:rsid w:val="00BA2D38"/>
    <w:rsid w:val="00BA3DEB"/>
    <w:rsid w:val="00BA7965"/>
    <w:rsid w:val="00BB1ED2"/>
    <w:rsid w:val="00BB48ED"/>
    <w:rsid w:val="00BB599E"/>
    <w:rsid w:val="00BB6171"/>
    <w:rsid w:val="00BD0E60"/>
    <w:rsid w:val="00BD37E3"/>
    <w:rsid w:val="00BD4A3F"/>
    <w:rsid w:val="00BE0A63"/>
    <w:rsid w:val="00BE0B1C"/>
    <w:rsid w:val="00BE0C00"/>
    <w:rsid w:val="00BE7198"/>
    <w:rsid w:val="00BF2E2B"/>
    <w:rsid w:val="00BF3CF7"/>
    <w:rsid w:val="00BF4AE2"/>
    <w:rsid w:val="00BF729A"/>
    <w:rsid w:val="00BF74BD"/>
    <w:rsid w:val="00C04A6D"/>
    <w:rsid w:val="00C0542C"/>
    <w:rsid w:val="00C05B91"/>
    <w:rsid w:val="00C074F4"/>
    <w:rsid w:val="00C105A7"/>
    <w:rsid w:val="00C10A45"/>
    <w:rsid w:val="00C10D29"/>
    <w:rsid w:val="00C15874"/>
    <w:rsid w:val="00C1663A"/>
    <w:rsid w:val="00C22056"/>
    <w:rsid w:val="00C233D6"/>
    <w:rsid w:val="00C23D57"/>
    <w:rsid w:val="00C24A27"/>
    <w:rsid w:val="00C24A81"/>
    <w:rsid w:val="00C24E96"/>
    <w:rsid w:val="00C26827"/>
    <w:rsid w:val="00C314CA"/>
    <w:rsid w:val="00C3312B"/>
    <w:rsid w:val="00C333D8"/>
    <w:rsid w:val="00C34EA9"/>
    <w:rsid w:val="00C40E88"/>
    <w:rsid w:val="00C45722"/>
    <w:rsid w:val="00C45EAB"/>
    <w:rsid w:val="00C467BF"/>
    <w:rsid w:val="00C50FB4"/>
    <w:rsid w:val="00C64170"/>
    <w:rsid w:val="00C66ABE"/>
    <w:rsid w:val="00C715A9"/>
    <w:rsid w:val="00C73188"/>
    <w:rsid w:val="00C7372D"/>
    <w:rsid w:val="00C737AF"/>
    <w:rsid w:val="00C740D8"/>
    <w:rsid w:val="00C74121"/>
    <w:rsid w:val="00C81768"/>
    <w:rsid w:val="00C83D06"/>
    <w:rsid w:val="00C84084"/>
    <w:rsid w:val="00C85BCF"/>
    <w:rsid w:val="00C85C1A"/>
    <w:rsid w:val="00C86934"/>
    <w:rsid w:val="00C90D90"/>
    <w:rsid w:val="00C914B2"/>
    <w:rsid w:val="00C928D7"/>
    <w:rsid w:val="00C92D39"/>
    <w:rsid w:val="00C93194"/>
    <w:rsid w:val="00C94AE2"/>
    <w:rsid w:val="00C94C79"/>
    <w:rsid w:val="00C971A5"/>
    <w:rsid w:val="00CA027B"/>
    <w:rsid w:val="00CB0560"/>
    <w:rsid w:val="00CB069D"/>
    <w:rsid w:val="00CB1C2F"/>
    <w:rsid w:val="00CB4A23"/>
    <w:rsid w:val="00CB6804"/>
    <w:rsid w:val="00CB772B"/>
    <w:rsid w:val="00CC00E8"/>
    <w:rsid w:val="00CC1417"/>
    <w:rsid w:val="00CC4A2F"/>
    <w:rsid w:val="00CC7746"/>
    <w:rsid w:val="00CD0D8B"/>
    <w:rsid w:val="00CD2B08"/>
    <w:rsid w:val="00CD3214"/>
    <w:rsid w:val="00CD5454"/>
    <w:rsid w:val="00CD77F8"/>
    <w:rsid w:val="00CE5562"/>
    <w:rsid w:val="00CE787D"/>
    <w:rsid w:val="00CF02AC"/>
    <w:rsid w:val="00CF0ECD"/>
    <w:rsid w:val="00CF39C4"/>
    <w:rsid w:val="00CF5363"/>
    <w:rsid w:val="00CF7AF5"/>
    <w:rsid w:val="00D0226A"/>
    <w:rsid w:val="00D04E3C"/>
    <w:rsid w:val="00D04EC4"/>
    <w:rsid w:val="00D0608D"/>
    <w:rsid w:val="00D07AB1"/>
    <w:rsid w:val="00D12C0C"/>
    <w:rsid w:val="00D16318"/>
    <w:rsid w:val="00D17AA7"/>
    <w:rsid w:val="00D2195F"/>
    <w:rsid w:val="00D235F4"/>
    <w:rsid w:val="00D243DD"/>
    <w:rsid w:val="00D24E78"/>
    <w:rsid w:val="00D27777"/>
    <w:rsid w:val="00D3233C"/>
    <w:rsid w:val="00D32E8A"/>
    <w:rsid w:val="00D36654"/>
    <w:rsid w:val="00D36C38"/>
    <w:rsid w:val="00D373BD"/>
    <w:rsid w:val="00D43F73"/>
    <w:rsid w:val="00D454AF"/>
    <w:rsid w:val="00D456CA"/>
    <w:rsid w:val="00D45753"/>
    <w:rsid w:val="00D47E44"/>
    <w:rsid w:val="00D47F18"/>
    <w:rsid w:val="00D50A1A"/>
    <w:rsid w:val="00D52037"/>
    <w:rsid w:val="00D52A17"/>
    <w:rsid w:val="00D53689"/>
    <w:rsid w:val="00D53F06"/>
    <w:rsid w:val="00D55C93"/>
    <w:rsid w:val="00D5773D"/>
    <w:rsid w:val="00D601FB"/>
    <w:rsid w:val="00D63B32"/>
    <w:rsid w:val="00D71C35"/>
    <w:rsid w:val="00D72076"/>
    <w:rsid w:val="00D73B7C"/>
    <w:rsid w:val="00D73F4F"/>
    <w:rsid w:val="00D747F6"/>
    <w:rsid w:val="00D7736A"/>
    <w:rsid w:val="00D81E5C"/>
    <w:rsid w:val="00D82394"/>
    <w:rsid w:val="00D83F97"/>
    <w:rsid w:val="00D84825"/>
    <w:rsid w:val="00D84A5A"/>
    <w:rsid w:val="00D84F8A"/>
    <w:rsid w:val="00D875D9"/>
    <w:rsid w:val="00D944AF"/>
    <w:rsid w:val="00D94896"/>
    <w:rsid w:val="00D96A60"/>
    <w:rsid w:val="00DA1474"/>
    <w:rsid w:val="00DA5381"/>
    <w:rsid w:val="00DA5E59"/>
    <w:rsid w:val="00DB0228"/>
    <w:rsid w:val="00DB1C7E"/>
    <w:rsid w:val="00DB200C"/>
    <w:rsid w:val="00DB3C15"/>
    <w:rsid w:val="00DB4D7E"/>
    <w:rsid w:val="00DB68EC"/>
    <w:rsid w:val="00DB7138"/>
    <w:rsid w:val="00DB76EE"/>
    <w:rsid w:val="00DB7728"/>
    <w:rsid w:val="00DC15AF"/>
    <w:rsid w:val="00DC35C8"/>
    <w:rsid w:val="00DC3C31"/>
    <w:rsid w:val="00DD4BA0"/>
    <w:rsid w:val="00DD5215"/>
    <w:rsid w:val="00DE0EA7"/>
    <w:rsid w:val="00DE1779"/>
    <w:rsid w:val="00DE7476"/>
    <w:rsid w:val="00DF019A"/>
    <w:rsid w:val="00DF278E"/>
    <w:rsid w:val="00DF544C"/>
    <w:rsid w:val="00DF61D9"/>
    <w:rsid w:val="00E01831"/>
    <w:rsid w:val="00E027C9"/>
    <w:rsid w:val="00E03FD5"/>
    <w:rsid w:val="00E04613"/>
    <w:rsid w:val="00E12D99"/>
    <w:rsid w:val="00E15577"/>
    <w:rsid w:val="00E16D1B"/>
    <w:rsid w:val="00E21513"/>
    <w:rsid w:val="00E22A82"/>
    <w:rsid w:val="00E22E38"/>
    <w:rsid w:val="00E23F72"/>
    <w:rsid w:val="00E25E73"/>
    <w:rsid w:val="00E31353"/>
    <w:rsid w:val="00E34164"/>
    <w:rsid w:val="00E42375"/>
    <w:rsid w:val="00E44339"/>
    <w:rsid w:val="00E46243"/>
    <w:rsid w:val="00E4795B"/>
    <w:rsid w:val="00E50454"/>
    <w:rsid w:val="00E50E96"/>
    <w:rsid w:val="00E5106D"/>
    <w:rsid w:val="00E51318"/>
    <w:rsid w:val="00E53299"/>
    <w:rsid w:val="00E57538"/>
    <w:rsid w:val="00E64110"/>
    <w:rsid w:val="00E657E1"/>
    <w:rsid w:val="00E67EE4"/>
    <w:rsid w:val="00E705F8"/>
    <w:rsid w:val="00E717FB"/>
    <w:rsid w:val="00E77239"/>
    <w:rsid w:val="00E84285"/>
    <w:rsid w:val="00E85F97"/>
    <w:rsid w:val="00E8692B"/>
    <w:rsid w:val="00E87FE7"/>
    <w:rsid w:val="00E90685"/>
    <w:rsid w:val="00E9318F"/>
    <w:rsid w:val="00E944C5"/>
    <w:rsid w:val="00E9505F"/>
    <w:rsid w:val="00E9564E"/>
    <w:rsid w:val="00EA3B8C"/>
    <w:rsid w:val="00EA53A3"/>
    <w:rsid w:val="00EA612D"/>
    <w:rsid w:val="00EA68A6"/>
    <w:rsid w:val="00EB2024"/>
    <w:rsid w:val="00EB42A6"/>
    <w:rsid w:val="00EB557B"/>
    <w:rsid w:val="00EB5A64"/>
    <w:rsid w:val="00EB732B"/>
    <w:rsid w:val="00EC0A4A"/>
    <w:rsid w:val="00EC531C"/>
    <w:rsid w:val="00EC5367"/>
    <w:rsid w:val="00EC5D11"/>
    <w:rsid w:val="00ED016D"/>
    <w:rsid w:val="00ED1747"/>
    <w:rsid w:val="00ED1828"/>
    <w:rsid w:val="00ED338B"/>
    <w:rsid w:val="00ED3D2C"/>
    <w:rsid w:val="00ED4B5A"/>
    <w:rsid w:val="00ED4E3A"/>
    <w:rsid w:val="00ED6572"/>
    <w:rsid w:val="00ED68D0"/>
    <w:rsid w:val="00EE216E"/>
    <w:rsid w:val="00EE47D1"/>
    <w:rsid w:val="00EE4D57"/>
    <w:rsid w:val="00EE5566"/>
    <w:rsid w:val="00EE6C76"/>
    <w:rsid w:val="00EE7502"/>
    <w:rsid w:val="00EF0101"/>
    <w:rsid w:val="00EF043D"/>
    <w:rsid w:val="00EF055C"/>
    <w:rsid w:val="00EF2195"/>
    <w:rsid w:val="00EF2F49"/>
    <w:rsid w:val="00EF3C5F"/>
    <w:rsid w:val="00EF3C83"/>
    <w:rsid w:val="00EF4D82"/>
    <w:rsid w:val="00EF5E67"/>
    <w:rsid w:val="00F009EE"/>
    <w:rsid w:val="00F01A73"/>
    <w:rsid w:val="00F032A8"/>
    <w:rsid w:val="00F06431"/>
    <w:rsid w:val="00F10444"/>
    <w:rsid w:val="00F10E86"/>
    <w:rsid w:val="00F141DA"/>
    <w:rsid w:val="00F14827"/>
    <w:rsid w:val="00F175DA"/>
    <w:rsid w:val="00F1776B"/>
    <w:rsid w:val="00F17867"/>
    <w:rsid w:val="00F20263"/>
    <w:rsid w:val="00F20425"/>
    <w:rsid w:val="00F23D57"/>
    <w:rsid w:val="00F24279"/>
    <w:rsid w:val="00F26844"/>
    <w:rsid w:val="00F26AEE"/>
    <w:rsid w:val="00F27962"/>
    <w:rsid w:val="00F32775"/>
    <w:rsid w:val="00F4221D"/>
    <w:rsid w:val="00F42BE9"/>
    <w:rsid w:val="00F42FF8"/>
    <w:rsid w:val="00F43E15"/>
    <w:rsid w:val="00F4584C"/>
    <w:rsid w:val="00F460F6"/>
    <w:rsid w:val="00F46230"/>
    <w:rsid w:val="00F51349"/>
    <w:rsid w:val="00F52A46"/>
    <w:rsid w:val="00F53AEC"/>
    <w:rsid w:val="00F575CA"/>
    <w:rsid w:val="00F57DC7"/>
    <w:rsid w:val="00F60645"/>
    <w:rsid w:val="00F610B5"/>
    <w:rsid w:val="00F61C55"/>
    <w:rsid w:val="00F62BB4"/>
    <w:rsid w:val="00F62CEE"/>
    <w:rsid w:val="00F638FC"/>
    <w:rsid w:val="00F70BC2"/>
    <w:rsid w:val="00F718FA"/>
    <w:rsid w:val="00F72D0F"/>
    <w:rsid w:val="00F72F65"/>
    <w:rsid w:val="00F73C28"/>
    <w:rsid w:val="00F81D68"/>
    <w:rsid w:val="00F84B6E"/>
    <w:rsid w:val="00F9136A"/>
    <w:rsid w:val="00F9238C"/>
    <w:rsid w:val="00F93F5B"/>
    <w:rsid w:val="00F945DB"/>
    <w:rsid w:val="00F9577C"/>
    <w:rsid w:val="00FA3211"/>
    <w:rsid w:val="00FA3716"/>
    <w:rsid w:val="00FA4352"/>
    <w:rsid w:val="00FA6FC4"/>
    <w:rsid w:val="00FA7787"/>
    <w:rsid w:val="00FB0EE4"/>
    <w:rsid w:val="00FB480A"/>
    <w:rsid w:val="00FB59EA"/>
    <w:rsid w:val="00FB59F9"/>
    <w:rsid w:val="00FB7F98"/>
    <w:rsid w:val="00FC0787"/>
    <w:rsid w:val="00FC0979"/>
    <w:rsid w:val="00FC103A"/>
    <w:rsid w:val="00FC191E"/>
    <w:rsid w:val="00FC1F0E"/>
    <w:rsid w:val="00FC3091"/>
    <w:rsid w:val="00FC3A7B"/>
    <w:rsid w:val="00FC78C1"/>
    <w:rsid w:val="00FC7C39"/>
    <w:rsid w:val="00FD0090"/>
    <w:rsid w:val="00FD1D12"/>
    <w:rsid w:val="00FD2584"/>
    <w:rsid w:val="00FD25CE"/>
    <w:rsid w:val="00FD478B"/>
    <w:rsid w:val="00FD7476"/>
    <w:rsid w:val="00FE3CB1"/>
    <w:rsid w:val="00FF0311"/>
    <w:rsid w:val="00FF1BC3"/>
    <w:rsid w:val="00FF2846"/>
    <w:rsid w:val="00FF2BB1"/>
    <w:rsid w:val="00FF3204"/>
    <w:rsid w:val="00FF5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ABA5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s,Footnote ak,ft,fn cafc,fn Char Char,footnote text Char Char,Footnotes Char Char,Footnote ak Char Char,Footnote Text Char2,Footnote Text Char1 Char1,Footnote Text Char Char Char,C,Car,f,Ca,footnote text,ACWL Footnotes"/>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s Char,Footnote ak Char,ft Char,fn cafc Char,fn Char Char Char,footnote text Char Char Char,Footnotes Char Char Char,Footnote ak Char Char Char,Footnote Text Char2 Char,Footnote Text Char1 Char1 Char,C Char,Car Char"/>
    <w:basedOn w:val="DefaultParagraphFont"/>
    <w:link w:val="FootnoteText"/>
    <w:uiPriority w:val="99"/>
    <w:qFormat/>
    <w:rsid w:val="00EE47D1"/>
    <w:rPr>
      <w:sz w:val="18"/>
      <w:szCs w:val="20"/>
    </w:rPr>
  </w:style>
  <w:style w:type="character" w:styleId="FootnoteReference">
    <w:name w:val="footnote reference"/>
    <w:aliases w:val="Ref,de nota al pie,註腳內容,de nota al pie + (Asian) MS Mincho,11 pt,Footnote Reference1,Ref1,de nota al pie1,-E Fußnotenzeichen,16 Point,Superscript 6 Point,-E Fu§notenzeichen,-E Fuﬂnotenzeichen,11,11 p,????,註??腳內—e,註?腳Ò®é»,註?腳內Ñe,註?腳內—e"/>
    <w:basedOn w:val="DefaultParagraphFont"/>
    <w:link w:val="CharChar6CharCharCharCharCharChar"/>
    <w:uiPriority w:val="99"/>
    <w:qFormat/>
    <w:rsid w:val="00BD0E60"/>
    <w:rPr>
      <w:rFonts w:ascii="Calibri" w:hAnsi="Calibri"/>
      <w:vertAlign w:val="superscript"/>
    </w:rPr>
  </w:style>
  <w:style w:type="character" w:customStyle="1" w:styleId="UnresolvedMention1">
    <w:name w:val="Unresolved Mention1"/>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20176B"/>
    <w:rPr>
      <w:sz w:val="16"/>
      <w:szCs w:val="16"/>
    </w:rPr>
  </w:style>
  <w:style w:type="paragraph" w:styleId="CommentText">
    <w:name w:val="annotation text"/>
    <w:basedOn w:val="Normal"/>
    <w:link w:val="CommentTextChar"/>
    <w:uiPriority w:val="99"/>
    <w:unhideWhenUsed/>
    <w:rsid w:val="0020176B"/>
    <w:pPr>
      <w:spacing w:line="240" w:lineRule="auto"/>
    </w:pPr>
    <w:rPr>
      <w:sz w:val="20"/>
      <w:szCs w:val="20"/>
    </w:rPr>
  </w:style>
  <w:style w:type="character" w:customStyle="1" w:styleId="CommentTextChar">
    <w:name w:val="Comment Text Char"/>
    <w:basedOn w:val="DefaultParagraphFont"/>
    <w:link w:val="CommentText"/>
    <w:uiPriority w:val="99"/>
    <w:rsid w:val="0020176B"/>
    <w:rPr>
      <w:sz w:val="20"/>
      <w:szCs w:val="20"/>
    </w:rPr>
  </w:style>
  <w:style w:type="paragraph" w:styleId="CommentSubject">
    <w:name w:val="annotation subject"/>
    <w:basedOn w:val="CommentText"/>
    <w:next w:val="CommentText"/>
    <w:link w:val="CommentSubjectChar"/>
    <w:uiPriority w:val="99"/>
    <w:semiHidden/>
    <w:unhideWhenUsed/>
    <w:rsid w:val="0020176B"/>
    <w:rPr>
      <w:b/>
      <w:bCs/>
    </w:rPr>
  </w:style>
  <w:style w:type="character" w:customStyle="1" w:styleId="CommentSubjectChar">
    <w:name w:val="Comment Subject Char"/>
    <w:basedOn w:val="CommentTextChar"/>
    <w:link w:val="CommentSubject"/>
    <w:uiPriority w:val="99"/>
    <w:semiHidden/>
    <w:rsid w:val="0020176B"/>
    <w:rPr>
      <w:b/>
      <w:bCs/>
      <w:sz w:val="20"/>
      <w:szCs w:val="20"/>
    </w:rPr>
  </w:style>
  <w:style w:type="paragraph" w:customStyle="1" w:styleId="CharChar6CharCharCharCharCharChar">
    <w:name w:val="Char Char6 Char Char Char Char Char Char"/>
    <w:aliases w:val="Char6 Char Char Char Char Char Char Char"/>
    <w:basedOn w:val="Normal"/>
    <w:link w:val="FootnoteReference"/>
    <w:uiPriority w:val="99"/>
    <w:rsid w:val="00275FEB"/>
    <w:pPr>
      <w:spacing w:after="0"/>
      <w:jc w:val="center"/>
    </w:pPr>
    <w:rPr>
      <w:vertAlign w:val="superscript"/>
    </w:rPr>
  </w:style>
  <w:style w:type="paragraph" w:styleId="Revision">
    <w:name w:val="Revision"/>
    <w:hidden/>
    <w:uiPriority w:val="99"/>
    <w:semiHidden/>
    <w:rsid w:val="0092425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89BE-AE3B-47D4-911D-DAA47545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5877</Words>
  <Characters>33218</Characters>
  <Application>Microsoft Office Word</Application>
  <DocSecurity>0</DocSecurity>
  <Lines>276</Lines>
  <Paragraphs>78</Paragraphs>
  <ScaleCrop>false</ScaleCrop>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2021-03-23T23:48:00Z</dcterms:created>
  <dcterms:modified xsi:type="dcterms:W3CDTF">2021-03-23T23:52:00Z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9df4a9b1-396d-41e8-98cb-e4ff42621743</vt:lpwstr>
  </property>
  <property fmtid="{D5CDD505-2E9C-101B-9397-08002B2CF9AE}" pid="3" name="SEC">
    <vt:lpwstr>OFFICIAL</vt:lpwstr>
  </property>
</Properties>
</file>