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A8" w:rsidRPr="00E2607D" w:rsidRDefault="008F1AA8" w:rsidP="00E2607D">
      <w:pPr>
        <w:pStyle w:val="Heading1"/>
        <w:jc w:val="center"/>
        <w:rPr>
          <w:b/>
        </w:rPr>
      </w:pPr>
      <w:bookmarkStart w:id="0" w:name="_Toc373853205"/>
      <w:bookmarkStart w:id="1" w:name="_GoBack"/>
      <w:bookmarkEnd w:id="1"/>
      <w:r w:rsidRPr="00E2607D">
        <w:rPr>
          <w:b/>
        </w:rPr>
        <w:t xml:space="preserve">Report on </w:t>
      </w:r>
      <w:r w:rsidR="00A85D3A">
        <w:rPr>
          <w:b/>
        </w:rPr>
        <w:t xml:space="preserve">progress in 2014–15 on </w:t>
      </w:r>
      <w:r w:rsidR="00935E5D">
        <w:rPr>
          <w:b/>
        </w:rPr>
        <w:t xml:space="preserve">the </w:t>
      </w:r>
      <w:r w:rsidR="00A85D3A">
        <w:rPr>
          <w:b/>
        </w:rPr>
        <w:t>i</w:t>
      </w:r>
      <w:r w:rsidRPr="00E2607D">
        <w:rPr>
          <w:b/>
        </w:rPr>
        <w:t>mplementation of the Australia Mongolia Program Strategy 2012–16</w:t>
      </w:r>
    </w:p>
    <w:bookmarkEnd w:id="0"/>
    <w:p w:rsidR="000D733F" w:rsidRPr="006D19F3" w:rsidRDefault="008F1AA8" w:rsidP="008F1AA8">
      <w:pPr>
        <w:pStyle w:val="Heading2"/>
        <w:rPr>
          <w:rStyle w:val="BodyTextChar"/>
          <w:rFonts w:ascii="Helvetica" w:hAnsi="Helvetica" w:cs="Arial"/>
          <w:color w:val="auto"/>
          <w:sz w:val="24"/>
          <w:szCs w:val="28"/>
        </w:rPr>
      </w:pPr>
      <w:r w:rsidRPr="006D19F3">
        <w:rPr>
          <w:color w:val="auto"/>
        </w:rPr>
        <w:t>Summary</w:t>
      </w:r>
      <w:r w:rsidR="000D733F" w:rsidRPr="006D19F3">
        <w:rPr>
          <w:color w:val="auto"/>
        </w:rPr>
        <w:tab/>
      </w:r>
      <w:r w:rsidR="000D733F" w:rsidRPr="006D19F3">
        <w:rPr>
          <w:color w:val="auto"/>
        </w:rPr>
        <w:tab/>
      </w:r>
      <w:r w:rsidR="000D733F" w:rsidRPr="006D19F3">
        <w:rPr>
          <w:color w:val="auto"/>
        </w:rPr>
        <w:tab/>
      </w:r>
      <w:r w:rsidR="000D733F" w:rsidRPr="006D19F3">
        <w:rPr>
          <w:color w:val="auto"/>
        </w:rPr>
        <w:tab/>
      </w:r>
      <w:r w:rsidR="000D733F" w:rsidRPr="006D19F3">
        <w:rPr>
          <w:color w:val="auto"/>
        </w:rPr>
        <w:tab/>
      </w:r>
      <w:r w:rsidR="000D733F" w:rsidRPr="006D19F3">
        <w:rPr>
          <w:color w:val="auto"/>
        </w:rPr>
        <w:tab/>
      </w:r>
    </w:p>
    <w:p w:rsidR="002B4EBC" w:rsidRDefault="008F1AA8" w:rsidP="00EE7D0B">
      <w:pPr>
        <w:pStyle w:val="ListBullet"/>
        <w:numPr>
          <w:ilvl w:val="0"/>
          <w:numId w:val="0"/>
        </w:numPr>
      </w:pPr>
      <w:r>
        <w:t>This document</w:t>
      </w:r>
      <w:r w:rsidR="00753AE8">
        <w:t xml:space="preserve"> </w:t>
      </w:r>
      <w:r w:rsidR="00916507">
        <w:t>reports</w:t>
      </w:r>
      <w:r w:rsidR="00C15F0C">
        <w:t xml:space="preserve"> on</w:t>
      </w:r>
      <w:r w:rsidR="00916507">
        <w:t xml:space="preserve"> progress </w:t>
      </w:r>
      <w:r w:rsidR="00A85D3A">
        <w:t xml:space="preserve">in 2014–15 </w:t>
      </w:r>
      <w:r w:rsidR="00166016">
        <w:t>towards</w:t>
      </w:r>
      <w:r w:rsidR="00916507">
        <w:t xml:space="preserve"> the </w:t>
      </w:r>
      <w:r w:rsidR="004176A5">
        <w:t>objectives</w:t>
      </w:r>
      <w:r w:rsidR="00753AE8">
        <w:t xml:space="preserve"> of the </w:t>
      </w:r>
      <w:r w:rsidR="00753AE8" w:rsidRPr="000F4CCF">
        <w:rPr>
          <w:i/>
        </w:rPr>
        <w:t xml:space="preserve">Australia </w:t>
      </w:r>
      <w:r w:rsidR="00166016" w:rsidRPr="000F4CCF">
        <w:rPr>
          <w:i/>
        </w:rPr>
        <w:t xml:space="preserve">Mongolia </w:t>
      </w:r>
      <w:r w:rsidR="002B4EBC" w:rsidRPr="000F4CCF">
        <w:rPr>
          <w:i/>
        </w:rPr>
        <w:t>Program</w:t>
      </w:r>
      <w:r w:rsidR="00166016" w:rsidRPr="000F4CCF">
        <w:rPr>
          <w:i/>
        </w:rPr>
        <w:t xml:space="preserve"> Strategy (2012–</w:t>
      </w:r>
      <w:r w:rsidR="00753AE8" w:rsidRPr="000F4CCF">
        <w:rPr>
          <w:i/>
        </w:rPr>
        <w:t>16).</w:t>
      </w:r>
      <w:r w:rsidR="00916507">
        <w:t xml:space="preserve"> </w:t>
      </w:r>
      <w:r w:rsidR="002B4EBC">
        <w:t>This will be the final report on the Program Strategy</w:t>
      </w:r>
      <w:r w:rsidR="00935E5D">
        <w:t>.</w:t>
      </w:r>
      <w:r w:rsidR="000F4CCF">
        <w:t xml:space="preserve"> </w:t>
      </w:r>
      <w:r w:rsidR="00935E5D">
        <w:t>The reduction of</w:t>
      </w:r>
      <w:r w:rsidR="002B4EBC">
        <w:t xml:space="preserve"> the Mongolia aid program </w:t>
      </w:r>
      <w:r w:rsidR="000F4CCF">
        <w:t xml:space="preserve">budget </w:t>
      </w:r>
      <w:r w:rsidR="00935E5D">
        <w:t xml:space="preserve">by 40 per cent </w:t>
      </w:r>
      <w:r w:rsidR="000F4CCF">
        <w:t>mean</w:t>
      </w:r>
      <w:r w:rsidR="00935E5D">
        <w:t>s</w:t>
      </w:r>
      <w:r w:rsidR="000F4CCF">
        <w:t xml:space="preserve"> that </w:t>
      </w:r>
      <w:r w:rsidR="00935E5D">
        <w:t>from</w:t>
      </w:r>
      <w:r>
        <w:t xml:space="preserve"> 2015–16 </w:t>
      </w:r>
      <w:r w:rsidR="00935E5D">
        <w:t>the program</w:t>
      </w:r>
      <w:r w:rsidR="000F4CCF">
        <w:t xml:space="preserve"> fall</w:t>
      </w:r>
      <w:r w:rsidR="00935E5D">
        <w:t>s</w:t>
      </w:r>
      <w:r w:rsidR="000F4CCF">
        <w:t xml:space="preserve"> below </w:t>
      </w:r>
      <w:r>
        <w:t xml:space="preserve">financial </w:t>
      </w:r>
      <w:r w:rsidR="000F4CCF">
        <w:t xml:space="preserve">thresholds </w:t>
      </w:r>
      <w:r>
        <w:t>requiring</w:t>
      </w:r>
      <w:r w:rsidR="00F32771">
        <w:t xml:space="preserve"> the completion of an </w:t>
      </w:r>
      <w:r>
        <w:t>annual performance report</w:t>
      </w:r>
      <w:r w:rsidR="0023106A">
        <w:t>,</w:t>
      </w:r>
      <w:r w:rsidR="00F32771">
        <w:t xml:space="preserve"> and</w:t>
      </w:r>
      <w:r w:rsidR="000F4CCF">
        <w:t xml:space="preserve"> </w:t>
      </w:r>
      <w:r w:rsidR="0023106A">
        <w:t xml:space="preserve">a new strategy document (Aid Investment Plan) </w:t>
      </w:r>
      <w:r w:rsidR="00935E5D">
        <w:t>is not required</w:t>
      </w:r>
      <w:r w:rsidR="000F4CCF">
        <w:t xml:space="preserve">. </w:t>
      </w:r>
    </w:p>
    <w:p w:rsidR="00753AE8" w:rsidRDefault="00935E5D" w:rsidP="00EE7D0B">
      <w:pPr>
        <w:pStyle w:val="ListBullet"/>
        <w:numPr>
          <w:ilvl w:val="0"/>
          <w:numId w:val="0"/>
        </w:numPr>
      </w:pPr>
      <w:r>
        <w:t xml:space="preserve">In 2014–15 </w:t>
      </w:r>
      <w:r w:rsidR="00753AE8">
        <w:t>progress</w:t>
      </w:r>
      <w:r w:rsidR="00A36117">
        <w:t xml:space="preserve"> </w:t>
      </w:r>
      <w:r>
        <w:t>wa</w:t>
      </w:r>
      <w:r w:rsidR="008F1AA8">
        <w:t xml:space="preserve">s satisfactory </w:t>
      </w:r>
      <w:r w:rsidR="00753AE8">
        <w:t xml:space="preserve">towards achieving </w:t>
      </w:r>
      <w:r w:rsidR="008F1AA8">
        <w:t xml:space="preserve">all three </w:t>
      </w:r>
      <w:r w:rsidR="004176A5">
        <w:t xml:space="preserve">objectives </w:t>
      </w:r>
      <w:r w:rsidR="008F1AA8">
        <w:t xml:space="preserve">of the </w:t>
      </w:r>
      <w:r w:rsidR="006D19F3">
        <w:t xml:space="preserve">country </w:t>
      </w:r>
      <w:r w:rsidR="008F1AA8">
        <w:t>strategy</w:t>
      </w:r>
      <w:r>
        <w:t>. Ratings</w:t>
      </w:r>
      <w:r>
        <w:rPr>
          <w:rStyle w:val="FootnoteReference"/>
        </w:rPr>
        <w:footnoteReference w:id="1"/>
      </w:r>
      <w:r>
        <w:t xml:space="preserve"> are maintained or improved</w:t>
      </w:r>
      <w:r w:rsidR="006159EB" w:rsidRPr="004934F4">
        <w:t xml:space="preserve"> </w:t>
      </w:r>
      <w:r>
        <w:t>since</w:t>
      </w:r>
      <w:r w:rsidR="00753AE8" w:rsidRPr="004934F4">
        <w:t xml:space="preserve"> </w:t>
      </w:r>
      <w:r>
        <w:t>2013–14</w:t>
      </w:r>
      <w:r w:rsidR="00753AE8" w:rsidRPr="004934F4">
        <w:t>.</w:t>
      </w:r>
      <w:r w:rsidR="008F1AA8">
        <w:t xml:space="preserve"> </w:t>
      </w:r>
    </w:p>
    <w:tbl>
      <w:tblPr>
        <w:tblStyle w:val="APPR"/>
        <w:tblW w:w="5000" w:type="pct"/>
        <w:tblLook w:val="0000" w:firstRow="0" w:lastRow="0" w:firstColumn="0" w:lastColumn="0" w:noHBand="0" w:noVBand="0"/>
      </w:tblPr>
      <w:tblGrid>
        <w:gridCol w:w="5905"/>
        <w:gridCol w:w="1026"/>
        <w:gridCol w:w="415"/>
        <w:gridCol w:w="1091"/>
      </w:tblGrid>
      <w:tr w:rsidR="006D19F3" w:rsidRPr="0019341B" w:rsidTr="006D19F3">
        <w:trPr>
          <w:cnfStyle w:val="000000010000" w:firstRow="0" w:lastRow="0" w:firstColumn="0" w:lastColumn="0" w:oddVBand="0" w:evenVBand="0" w:oddHBand="0" w:evenHBand="1" w:firstRowFirstColumn="0" w:firstRowLastColumn="0" w:lastRowFirstColumn="0" w:lastRowLastColumn="0"/>
          <w:trHeight w:val="651"/>
        </w:trPr>
        <w:tc>
          <w:tcPr>
            <w:tcW w:w="6192" w:type="dxa"/>
          </w:tcPr>
          <w:p w:rsidR="006D19F3" w:rsidRPr="00AD0AEA" w:rsidRDefault="006D19F3" w:rsidP="00AD0AEA">
            <w:pPr>
              <w:pStyle w:val="TableTextColumnHeading"/>
            </w:pPr>
            <w:r w:rsidRPr="00AD0AEA">
              <w:rPr>
                <w:noProof/>
                <w:lang w:eastAsia="en-AU"/>
              </w:rPr>
              <w:drawing>
                <wp:anchor distT="0" distB="0" distL="114300" distR="114300" simplePos="0" relativeHeight="251667456" behindDoc="0" locked="0" layoutInCell="1" allowOverlap="1" wp14:anchorId="548C1AB5" wp14:editId="1DE97C87">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AEA">
              <w:t>Objective</w:t>
            </w:r>
          </w:p>
        </w:tc>
        <w:tc>
          <w:tcPr>
            <w:tcW w:w="998" w:type="dxa"/>
          </w:tcPr>
          <w:p w:rsidR="006D19F3" w:rsidRPr="0019341B" w:rsidRDefault="006D19F3" w:rsidP="00AD0AEA">
            <w:pPr>
              <w:pStyle w:val="TableTextColumnHeading"/>
            </w:pPr>
            <w:r>
              <w:t>Previous Rating</w:t>
            </w:r>
          </w:p>
        </w:tc>
        <w:tc>
          <w:tcPr>
            <w:tcW w:w="398" w:type="dxa"/>
          </w:tcPr>
          <w:p w:rsidR="006D19F3" w:rsidRDefault="006D19F3" w:rsidP="00AD0AEA">
            <w:pPr>
              <w:pStyle w:val="TableTextColumnHeading"/>
            </w:pPr>
          </w:p>
        </w:tc>
        <w:tc>
          <w:tcPr>
            <w:tcW w:w="1049" w:type="dxa"/>
          </w:tcPr>
          <w:p w:rsidR="006D19F3" w:rsidRPr="0019341B" w:rsidRDefault="006D19F3" w:rsidP="00AD0AEA">
            <w:pPr>
              <w:pStyle w:val="TableTextColumnHeading"/>
            </w:pPr>
            <w:r>
              <w:t>Current Rating</w:t>
            </w:r>
          </w:p>
        </w:tc>
      </w:tr>
      <w:tr w:rsidR="006D19F3" w:rsidRPr="009D53C4" w:rsidTr="006D19F3">
        <w:trPr>
          <w:cnfStyle w:val="000000010000" w:firstRow="0" w:lastRow="0" w:firstColumn="0" w:lastColumn="0" w:oddVBand="0" w:evenVBand="0" w:oddHBand="0" w:evenHBand="1" w:firstRowFirstColumn="0" w:firstRowLastColumn="0" w:lastRowFirstColumn="0" w:lastRowLastColumn="0"/>
        </w:trPr>
        <w:tc>
          <w:tcPr>
            <w:tcW w:w="6192" w:type="dxa"/>
          </w:tcPr>
          <w:p w:rsidR="006D19F3" w:rsidRPr="0019341B" w:rsidRDefault="006D19F3" w:rsidP="00D87748">
            <w:pPr>
              <w:pStyle w:val="TableTextEntries"/>
            </w:pPr>
            <w:r>
              <w:t>Objective 1: Through post graduate scholarships, Mongolia’s government, civil society and private sector deliver better services.</w:t>
            </w:r>
          </w:p>
        </w:tc>
        <w:tc>
          <w:tcPr>
            <w:tcW w:w="998" w:type="dxa"/>
            <w:shd w:val="clear" w:color="auto" w:fill="92D050"/>
            <w:noWrap/>
          </w:tcPr>
          <w:p w:rsidR="006D19F3" w:rsidRPr="00443639" w:rsidRDefault="006D19F3" w:rsidP="00D87748">
            <w:pPr>
              <w:pStyle w:val="TableTextEntries"/>
              <w:jc w:val="center"/>
              <w:rPr>
                <w:color w:val="FFFFFF" w:themeColor="background1"/>
              </w:rPr>
            </w:pPr>
            <w:r w:rsidRPr="00443639">
              <w:rPr>
                <w:color w:val="FFFFFF" w:themeColor="background1"/>
              </w:rPr>
              <w:t>Green</w:t>
            </w:r>
          </w:p>
        </w:tc>
        <w:tc>
          <w:tcPr>
            <w:tcW w:w="398" w:type="dxa"/>
            <w:shd w:val="clear" w:color="auto" w:fill="FFFFFF" w:themeFill="background1"/>
          </w:tcPr>
          <w:p w:rsidR="006D19F3" w:rsidRPr="00443639" w:rsidRDefault="006D19F3" w:rsidP="00D87748">
            <w:pPr>
              <w:pStyle w:val="TableTextEntries"/>
              <w:jc w:val="center"/>
              <w:rPr>
                <w:color w:val="FFFFFF" w:themeColor="background1"/>
              </w:rPr>
            </w:pPr>
          </w:p>
        </w:tc>
        <w:tc>
          <w:tcPr>
            <w:tcW w:w="1049" w:type="dxa"/>
            <w:shd w:val="clear" w:color="auto" w:fill="92D050"/>
            <w:noWrap/>
          </w:tcPr>
          <w:p w:rsidR="006D19F3" w:rsidRPr="00443639" w:rsidRDefault="006D19F3" w:rsidP="00D87748">
            <w:pPr>
              <w:pStyle w:val="TableTextEntries"/>
              <w:jc w:val="center"/>
              <w:rPr>
                <w:color w:val="FFFFFF" w:themeColor="background1"/>
              </w:rPr>
            </w:pPr>
            <w:r>
              <w:rPr>
                <w:color w:val="FFFFFF" w:themeColor="background1"/>
              </w:rPr>
              <w:t>Green</w:t>
            </w:r>
          </w:p>
        </w:tc>
      </w:tr>
      <w:tr w:rsidR="006D19F3" w:rsidRPr="009D53C4" w:rsidTr="006D19F3">
        <w:trPr>
          <w:cnfStyle w:val="000000010000" w:firstRow="0" w:lastRow="0" w:firstColumn="0" w:lastColumn="0" w:oddVBand="0" w:evenVBand="0" w:oddHBand="0" w:evenHBand="1" w:firstRowFirstColumn="0" w:firstRowLastColumn="0" w:lastRowFirstColumn="0" w:lastRowLastColumn="0"/>
        </w:trPr>
        <w:tc>
          <w:tcPr>
            <w:tcW w:w="6192" w:type="dxa"/>
          </w:tcPr>
          <w:p w:rsidR="006D19F3" w:rsidRPr="0019341B" w:rsidRDefault="006D19F3" w:rsidP="00D87748">
            <w:pPr>
              <w:pStyle w:val="TableTextEntries"/>
            </w:pPr>
            <w:r>
              <w:t>Objective 2: Mongolians are benefitting from a sustainably-managed mining sector.</w:t>
            </w:r>
          </w:p>
        </w:tc>
        <w:tc>
          <w:tcPr>
            <w:tcW w:w="998" w:type="dxa"/>
            <w:shd w:val="clear" w:color="auto" w:fill="E36C0A" w:themeFill="accent6" w:themeFillShade="BF"/>
            <w:noWrap/>
          </w:tcPr>
          <w:p w:rsidR="006D19F3" w:rsidRPr="00443639" w:rsidRDefault="006D19F3" w:rsidP="00D87748">
            <w:pPr>
              <w:pStyle w:val="TableTextEntries"/>
              <w:jc w:val="center"/>
              <w:rPr>
                <w:color w:val="FFFFFF" w:themeColor="background1"/>
              </w:rPr>
            </w:pPr>
            <w:r>
              <w:rPr>
                <w:color w:val="FFFFFF" w:themeColor="background1"/>
              </w:rPr>
              <w:t>Amber</w:t>
            </w:r>
          </w:p>
        </w:tc>
        <w:tc>
          <w:tcPr>
            <w:tcW w:w="398" w:type="dxa"/>
          </w:tcPr>
          <w:p w:rsidR="006D19F3" w:rsidRPr="00443639" w:rsidRDefault="006D19F3" w:rsidP="00D87748">
            <w:pPr>
              <w:pStyle w:val="TableTextEntries"/>
              <w:jc w:val="center"/>
              <w:rPr>
                <w:color w:val="FFFFFF" w:themeColor="background1"/>
              </w:rPr>
            </w:pPr>
          </w:p>
        </w:tc>
        <w:tc>
          <w:tcPr>
            <w:tcW w:w="1049" w:type="dxa"/>
            <w:shd w:val="clear" w:color="auto" w:fill="92D050"/>
            <w:noWrap/>
          </w:tcPr>
          <w:p w:rsidR="006D19F3" w:rsidRPr="00443639" w:rsidRDefault="006D19F3" w:rsidP="00D87748">
            <w:pPr>
              <w:pStyle w:val="TableTextEntries"/>
              <w:jc w:val="center"/>
              <w:rPr>
                <w:color w:val="FFFFFF" w:themeColor="background1"/>
              </w:rPr>
            </w:pPr>
            <w:r>
              <w:rPr>
                <w:color w:val="FFFFFF" w:themeColor="background1"/>
              </w:rPr>
              <w:t>Green</w:t>
            </w:r>
          </w:p>
        </w:tc>
      </w:tr>
      <w:tr w:rsidR="006D19F3" w:rsidRPr="009D53C4" w:rsidTr="006D19F3">
        <w:trPr>
          <w:cnfStyle w:val="000000010000" w:firstRow="0" w:lastRow="0" w:firstColumn="0" w:lastColumn="0" w:oddVBand="0" w:evenVBand="0" w:oddHBand="0" w:evenHBand="1" w:firstRowFirstColumn="0" w:firstRowLastColumn="0" w:lastRowFirstColumn="0" w:lastRowLastColumn="0"/>
        </w:trPr>
        <w:tc>
          <w:tcPr>
            <w:tcW w:w="6192" w:type="dxa"/>
          </w:tcPr>
          <w:p w:rsidR="006D19F3" w:rsidRDefault="006D19F3" w:rsidP="00D87748">
            <w:pPr>
              <w:pStyle w:val="TableTextEntries"/>
            </w:pPr>
            <w:r>
              <w:t>Objective 3: School communities are accessing improved water and sanitation and have improved hygiene practices.</w:t>
            </w:r>
          </w:p>
        </w:tc>
        <w:tc>
          <w:tcPr>
            <w:tcW w:w="998" w:type="dxa"/>
            <w:shd w:val="clear" w:color="auto" w:fill="92D050"/>
            <w:noWrap/>
          </w:tcPr>
          <w:p w:rsidR="006D19F3" w:rsidRPr="00443639" w:rsidRDefault="006D19F3" w:rsidP="00D87748">
            <w:pPr>
              <w:pStyle w:val="TableTextEntries"/>
              <w:jc w:val="center"/>
              <w:rPr>
                <w:color w:val="FFFFFF" w:themeColor="background1"/>
              </w:rPr>
            </w:pPr>
            <w:r>
              <w:rPr>
                <w:color w:val="FFFFFF" w:themeColor="background1"/>
              </w:rPr>
              <w:t>Green</w:t>
            </w:r>
          </w:p>
        </w:tc>
        <w:tc>
          <w:tcPr>
            <w:tcW w:w="398" w:type="dxa"/>
          </w:tcPr>
          <w:p w:rsidR="006D19F3" w:rsidRPr="00443639" w:rsidRDefault="006D19F3" w:rsidP="00D87748">
            <w:pPr>
              <w:pStyle w:val="TableTextEntries"/>
              <w:jc w:val="center"/>
              <w:rPr>
                <w:color w:val="FFFFFF" w:themeColor="background1"/>
              </w:rPr>
            </w:pPr>
          </w:p>
        </w:tc>
        <w:tc>
          <w:tcPr>
            <w:tcW w:w="1049" w:type="dxa"/>
            <w:shd w:val="clear" w:color="auto" w:fill="92D050"/>
            <w:noWrap/>
          </w:tcPr>
          <w:p w:rsidR="006D19F3" w:rsidRPr="00443639" w:rsidRDefault="006D19F3" w:rsidP="00D87748">
            <w:pPr>
              <w:pStyle w:val="TableTextEntries"/>
              <w:jc w:val="center"/>
              <w:rPr>
                <w:color w:val="FFFFFF" w:themeColor="background1"/>
              </w:rPr>
            </w:pPr>
            <w:r>
              <w:rPr>
                <w:color w:val="FFFFFF" w:themeColor="background1"/>
              </w:rPr>
              <w:t>Green</w:t>
            </w:r>
          </w:p>
        </w:tc>
      </w:tr>
    </w:tbl>
    <w:p w:rsidR="006D19F3" w:rsidRDefault="006D19F3" w:rsidP="006D19F3">
      <w:pPr>
        <w:pStyle w:val="Note"/>
      </w:pPr>
    </w:p>
    <w:p w:rsidR="002B4EBC" w:rsidRDefault="00A36117" w:rsidP="00EE7D0B">
      <w:pPr>
        <w:pStyle w:val="ListBullet"/>
        <w:numPr>
          <w:ilvl w:val="0"/>
          <w:numId w:val="0"/>
        </w:numPr>
      </w:pPr>
      <w:r>
        <w:t>2014</w:t>
      </w:r>
      <w:r w:rsidR="00166016">
        <w:t>–</w:t>
      </w:r>
      <w:r>
        <w:t>15</w:t>
      </w:r>
      <w:r w:rsidR="00916507">
        <w:t xml:space="preserve"> </w:t>
      </w:r>
      <w:r w:rsidR="002B4EBC">
        <w:t>saw</w:t>
      </w:r>
      <w:r w:rsidR="00916507">
        <w:t xml:space="preserve"> solid </w:t>
      </w:r>
      <w:r w:rsidR="00F32771">
        <w:t>results from</w:t>
      </w:r>
      <w:r w:rsidR="00916507">
        <w:t xml:space="preserve"> long-s</w:t>
      </w:r>
      <w:r w:rsidR="00C15F0C">
        <w:t>tanding in</w:t>
      </w:r>
      <w:r w:rsidR="004176A5">
        <w:t>vestments</w:t>
      </w:r>
      <w:r w:rsidR="009A6610">
        <w:t>, the successful completion of the water and sanitation activity,</w:t>
      </w:r>
      <w:r w:rsidR="00C15F0C">
        <w:t xml:space="preserve"> </w:t>
      </w:r>
      <w:r w:rsidR="00F32771">
        <w:t>and</w:t>
      </w:r>
      <w:r w:rsidR="00916507">
        <w:t xml:space="preserve"> the </w:t>
      </w:r>
      <w:r>
        <w:t>mobilisation</w:t>
      </w:r>
      <w:r w:rsidR="00916507">
        <w:t xml:space="preserve"> of </w:t>
      </w:r>
      <w:r>
        <w:t>a new intervention</w:t>
      </w:r>
      <w:r w:rsidR="00916507">
        <w:t xml:space="preserve"> in the extractives sector</w:t>
      </w:r>
      <w:r>
        <w:t>—the Australia Mongolia Extractives Program (AMEP)</w:t>
      </w:r>
      <w:r w:rsidR="00916507">
        <w:t xml:space="preserve">. </w:t>
      </w:r>
      <w:r w:rsidR="002B4EBC">
        <w:t xml:space="preserve">With </w:t>
      </w:r>
      <w:r w:rsidR="001E613A">
        <w:t xml:space="preserve">the </w:t>
      </w:r>
      <w:r w:rsidR="00F32771">
        <w:t>2015–16</w:t>
      </w:r>
      <w:r w:rsidR="006D19F3">
        <w:t xml:space="preserve"> </w:t>
      </w:r>
      <w:r w:rsidR="002B4EBC">
        <w:t>budget</w:t>
      </w:r>
      <w:r w:rsidR="001E613A">
        <w:t xml:space="preserve"> reduction</w:t>
      </w:r>
      <w:r w:rsidR="002B4EBC">
        <w:t xml:space="preserve"> </w:t>
      </w:r>
      <w:r w:rsidR="00F32771">
        <w:t>the scope of</w:t>
      </w:r>
      <w:r w:rsidR="00430C14">
        <w:t xml:space="preserve"> </w:t>
      </w:r>
      <w:r w:rsidR="000F4CCF">
        <w:t>AMEP</w:t>
      </w:r>
      <w:r w:rsidR="002B4EBC">
        <w:t xml:space="preserve"> will be </w:t>
      </w:r>
      <w:r w:rsidR="001E613A">
        <w:t>narrowed</w:t>
      </w:r>
      <w:r w:rsidR="002B4EBC">
        <w:t>.</w:t>
      </w:r>
    </w:p>
    <w:p w:rsidR="00753AE8" w:rsidRDefault="00A36117" w:rsidP="00EE7D0B">
      <w:pPr>
        <w:pStyle w:val="ListBullet"/>
        <w:numPr>
          <w:ilvl w:val="0"/>
          <w:numId w:val="0"/>
        </w:numPr>
      </w:pPr>
      <w:r>
        <w:t>Key achievements during 2014</w:t>
      </w:r>
      <w:r w:rsidR="00166016">
        <w:t>–</w:t>
      </w:r>
      <w:r>
        <w:t>15</w:t>
      </w:r>
      <w:r w:rsidR="00753AE8">
        <w:t xml:space="preserve"> include:</w:t>
      </w:r>
    </w:p>
    <w:p w:rsidR="00DB20ED" w:rsidRDefault="00852B9F" w:rsidP="00DB20ED">
      <w:pPr>
        <w:pStyle w:val="BodyText"/>
        <w:numPr>
          <w:ilvl w:val="0"/>
          <w:numId w:val="20"/>
        </w:numPr>
      </w:pPr>
      <w:r>
        <w:t>The e</w:t>
      </w:r>
      <w:r w:rsidR="00DB20ED">
        <w:t>stablish</w:t>
      </w:r>
      <w:r w:rsidR="00430C14">
        <w:t>ment of</w:t>
      </w:r>
      <w:r w:rsidR="00DB20ED" w:rsidRPr="009D16EA">
        <w:t xml:space="preserve"> </w:t>
      </w:r>
      <w:r w:rsidR="00DB20ED">
        <w:t>good</w:t>
      </w:r>
      <w:r w:rsidR="00DB20ED" w:rsidRPr="009D16EA">
        <w:t xml:space="preserve"> relations </w:t>
      </w:r>
      <w:r w:rsidR="00430C14">
        <w:t xml:space="preserve">between DFAT and </w:t>
      </w:r>
      <w:r w:rsidR="00DB20ED">
        <w:t xml:space="preserve">our new </w:t>
      </w:r>
      <w:r w:rsidR="000F4CCF">
        <w:t xml:space="preserve">Government of Mongolia </w:t>
      </w:r>
      <w:r w:rsidR="00452CCF">
        <w:t xml:space="preserve">(GoM) </w:t>
      </w:r>
      <w:r w:rsidR="00DB20ED">
        <w:t xml:space="preserve">counterpart on the aid program, </w:t>
      </w:r>
      <w:r w:rsidR="00DB20ED" w:rsidRPr="009D16EA">
        <w:t xml:space="preserve">the Ministry of </w:t>
      </w:r>
      <w:r w:rsidR="00DB20ED">
        <w:t>Finance.</w:t>
      </w:r>
    </w:p>
    <w:p w:rsidR="00DB20ED" w:rsidRDefault="00852B9F" w:rsidP="00430C14">
      <w:pPr>
        <w:pStyle w:val="ListBullet"/>
        <w:numPr>
          <w:ilvl w:val="0"/>
          <w:numId w:val="20"/>
        </w:numPr>
      </w:pPr>
      <w:r>
        <w:t>The c</w:t>
      </w:r>
      <w:r w:rsidR="00430C14">
        <w:t>ommencement of t</w:t>
      </w:r>
      <w:r w:rsidR="00430C14" w:rsidRPr="00430C14">
        <w:t xml:space="preserve">he Women’s Leadership Program to promote and advocate gender equality for </w:t>
      </w:r>
      <w:r w:rsidR="00430C14">
        <w:t xml:space="preserve">Australia Awards </w:t>
      </w:r>
      <w:r w:rsidR="00430C14" w:rsidRPr="00430C14">
        <w:t>graduates in their career development and promotion</w:t>
      </w:r>
      <w:r w:rsidR="00F32771">
        <w:t>.</w:t>
      </w:r>
    </w:p>
    <w:p w:rsidR="004C6FC1" w:rsidRDefault="00852B9F" w:rsidP="00065B96">
      <w:pPr>
        <w:pStyle w:val="ListBullet"/>
        <w:numPr>
          <w:ilvl w:val="0"/>
          <w:numId w:val="20"/>
        </w:numPr>
      </w:pPr>
      <w:r>
        <w:rPr>
          <w:szCs w:val="21"/>
        </w:rPr>
        <w:t>The m</w:t>
      </w:r>
      <w:r w:rsidR="00065B96">
        <w:rPr>
          <w:szCs w:val="21"/>
        </w:rPr>
        <w:t>obilisation of the twinning arrangement between Melbourne Polytechnic College</w:t>
      </w:r>
      <w:r w:rsidR="00964B56">
        <w:rPr>
          <w:szCs w:val="21"/>
        </w:rPr>
        <w:t xml:space="preserve"> and </w:t>
      </w:r>
      <w:r w:rsidR="00A257B2">
        <w:rPr>
          <w:szCs w:val="21"/>
        </w:rPr>
        <w:t xml:space="preserve">the Dalanzadgad college, and </w:t>
      </w:r>
      <w:r w:rsidR="00964B56">
        <w:rPr>
          <w:szCs w:val="21"/>
        </w:rPr>
        <w:t xml:space="preserve">placement of an adviser in the Ministry of Labour to </w:t>
      </w:r>
      <w:r w:rsidR="00964B56" w:rsidRPr="00186308">
        <w:rPr>
          <w:szCs w:val="21"/>
        </w:rPr>
        <w:t xml:space="preserve">help develop accredited </w:t>
      </w:r>
      <w:r w:rsidR="00F32771">
        <w:rPr>
          <w:szCs w:val="21"/>
        </w:rPr>
        <w:t xml:space="preserve"> technical and vocational education </w:t>
      </w:r>
      <w:r w:rsidR="00964B56" w:rsidRPr="00186308">
        <w:rPr>
          <w:szCs w:val="21"/>
        </w:rPr>
        <w:t>curricula</w:t>
      </w:r>
      <w:r w:rsidR="00F32771">
        <w:rPr>
          <w:szCs w:val="21"/>
        </w:rPr>
        <w:t>.</w:t>
      </w:r>
      <w:r w:rsidR="00964B56">
        <w:rPr>
          <w:szCs w:val="21"/>
        </w:rPr>
        <w:t xml:space="preserve"> </w:t>
      </w:r>
      <w:r w:rsidR="00065B96">
        <w:rPr>
          <w:szCs w:val="21"/>
        </w:rPr>
        <w:t xml:space="preserve">  </w:t>
      </w:r>
    </w:p>
    <w:p w:rsidR="002A3152" w:rsidRDefault="00881109" w:rsidP="002A3152">
      <w:pPr>
        <w:pStyle w:val="ListBullet"/>
        <w:numPr>
          <w:ilvl w:val="0"/>
          <w:numId w:val="20"/>
        </w:numPr>
      </w:pPr>
      <w:r>
        <w:t>T</w:t>
      </w:r>
      <w:r w:rsidR="00140C77">
        <w:t xml:space="preserve">he school water and sanitation program </w:t>
      </w:r>
      <w:r w:rsidR="00852B9F">
        <w:t>exceeding</w:t>
      </w:r>
      <w:r>
        <w:t xml:space="preserve"> its targets, </w:t>
      </w:r>
      <w:r w:rsidR="00140C77">
        <w:t>with 9000 children benefiting from improved facilities and new national standards endorsed</w:t>
      </w:r>
      <w:r w:rsidR="00755849">
        <w:t xml:space="preserve">. </w:t>
      </w:r>
    </w:p>
    <w:p w:rsidR="00916507" w:rsidRDefault="004332D4" w:rsidP="00950481">
      <w:pPr>
        <w:pStyle w:val="ListBullet"/>
        <w:numPr>
          <w:ilvl w:val="0"/>
          <w:numId w:val="0"/>
        </w:numPr>
      </w:pPr>
      <w:r>
        <w:t>In May 2015 Australia announced its</w:t>
      </w:r>
      <w:r w:rsidR="001E613A">
        <w:t xml:space="preserve"> intention to open an</w:t>
      </w:r>
      <w:r w:rsidR="00950481">
        <w:t xml:space="preserve"> </w:t>
      </w:r>
      <w:r w:rsidR="00881109">
        <w:t>embassy in Ulaanbaata</w:t>
      </w:r>
      <w:r w:rsidR="00A36117">
        <w:t>r.</w:t>
      </w:r>
      <w:r w:rsidR="00916507">
        <w:t xml:space="preserve"> </w:t>
      </w:r>
    </w:p>
    <w:p w:rsidR="00916507" w:rsidRDefault="00A20511" w:rsidP="00935E5D">
      <w:pPr>
        <w:pStyle w:val="ListBullet"/>
        <w:numPr>
          <w:ilvl w:val="0"/>
          <w:numId w:val="0"/>
        </w:numPr>
      </w:pPr>
      <w:r>
        <w:lastRenderedPageBreak/>
        <w:t>With</w:t>
      </w:r>
      <w:r w:rsidR="001E613A">
        <w:t xml:space="preserve"> a significantly</w:t>
      </w:r>
      <w:r w:rsidR="00881109">
        <w:t xml:space="preserve"> reduced</w:t>
      </w:r>
      <w:r w:rsidR="001E613A">
        <w:t xml:space="preserve"> Mongolia </w:t>
      </w:r>
      <w:r w:rsidR="004332D4">
        <w:t xml:space="preserve">aid </w:t>
      </w:r>
      <w:r w:rsidR="001E613A">
        <w:t>p</w:t>
      </w:r>
      <w:r w:rsidR="00881109">
        <w:t>rogram budget, k</w:t>
      </w:r>
      <w:r w:rsidR="00A36117">
        <w:t>ey challenges for 2015</w:t>
      </w:r>
      <w:r w:rsidR="00166016">
        <w:t>–</w:t>
      </w:r>
      <w:r w:rsidR="00A36117">
        <w:t>16</w:t>
      </w:r>
      <w:r w:rsidR="00916507">
        <w:t xml:space="preserve"> include:</w:t>
      </w:r>
    </w:p>
    <w:p w:rsidR="00881109" w:rsidRDefault="00881109" w:rsidP="00881109">
      <w:pPr>
        <w:pStyle w:val="ListBullet"/>
        <w:numPr>
          <w:ilvl w:val="0"/>
          <w:numId w:val="21"/>
        </w:numPr>
      </w:pPr>
      <w:r>
        <w:t xml:space="preserve">maintaining program quality and </w:t>
      </w:r>
      <w:r w:rsidR="00F32771">
        <w:t>achieving</w:t>
      </w:r>
      <w:r>
        <w:t xml:space="preserve"> objectives while streamlining activities</w:t>
      </w:r>
    </w:p>
    <w:p w:rsidR="00A36117" w:rsidRDefault="00881109" w:rsidP="00881109">
      <w:pPr>
        <w:pStyle w:val="ListBullet"/>
        <w:numPr>
          <w:ilvl w:val="0"/>
          <w:numId w:val="21"/>
        </w:numPr>
      </w:pPr>
      <w:r>
        <w:t>continuing</w:t>
      </w:r>
      <w:r w:rsidR="002B4EBC">
        <w:t xml:space="preserve"> </w:t>
      </w:r>
      <w:r>
        <w:t xml:space="preserve">meaningful </w:t>
      </w:r>
      <w:r w:rsidR="002B4EBC">
        <w:t xml:space="preserve">engagement on extractives </w:t>
      </w:r>
      <w:r>
        <w:t>under a smaller AMEP portfolio</w:t>
      </w:r>
    </w:p>
    <w:p w:rsidR="00881109" w:rsidRDefault="00222105" w:rsidP="00881109">
      <w:pPr>
        <w:pStyle w:val="ListBullet"/>
        <w:numPr>
          <w:ilvl w:val="0"/>
          <w:numId w:val="21"/>
        </w:numPr>
      </w:pPr>
      <w:r>
        <w:t>planning for</w:t>
      </w:r>
      <w:r w:rsidR="00881109">
        <w:t xml:space="preserve"> the transition of program management f</w:t>
      </w:r>
      <w:r>
        <w:t>rom Seoul to Ulaanbaatar</w:t>
      </w:r>
      <w:r w:rsidR="00881109">
        <w:t>.</w:t>
      </w:r>
    </w:p>
    <w:p w:rsidR="00BF15C1" w:rsidRDefault="005A0DFC" w:rsidP="00EE7D0B">
      <w:pPr>
        <w:pStyle w:val="ListBullet"/>
        <w:numPr>
          <w:ilvl w:val="0"/>
          <w:numId w:val="0"/>
        </w:numPr>
      </w:pPr>
      <w:r>
        <w:t>The</w:t>
      </w:r>
      <w:r w:rsidR="00916507">
        <w:t xml:space="preserve"> </w:t>
      </w:r>
      <w:r w:rsidR="002B4EBC">
        <w:t xml:space="preserve">Mongolia </w:t>
      </w:r>
      <w:r w:rsidR="00916507">
        <w:t xml:space="preserve">program </w:t>
      </w:r>
      <w:r w:rsidR="003B468C">
        <w:t xml:space="preserve">will </w:t>
      </w:r>
      <w:r>
        <w:t xml:space="preserve">continue to </w:t>
      </w:r>
      <w:r w:rsidR="00916507">
        <w:t>draw</w:t>
      </w:r>
      <w:r w:rsidR="003B468C">
        <w:t xml:space="preserve"> </w:t>
      </w:r>
      <w:r w:rsidR="00916507">
        <w:t>on th</w:t>
      </w:r>
      <w:r>
        <w:t>e synergies between Australia’s</w:t>
      </w:r>
      <w:r w:rsidR="00916507">
        <w:t xml:space="preserve"> aid, trade and foreign policy </w:t>
      </w:r>
      <w:r w:rsidR="003B468C">
        <w:t>interests</w:t>
      </w:r>
      <w:r w:rsidR="00916507">
        <w:t xml:space="preserve"> in Mongolia. </w:t>
      </w:r>
      <w:r w:rsidR="00C15F0C">
        <w:t>Australi</w:t>
      </w:r>
      <w:r w:rsidR="003B468C">
        <w:t>a’s</w:t>
      </w:r>
      <w:r w:rsidR="00C15F0C">
        <w:t xml:space="preserve"> strengths as a mining nation and the strong people-to-people links through our scholarships and volunteers programs</w:t>
      </w:r>
      <w:r w:rsidR="00A36117">
        <w:t xml:space="preserve"> will </w:t>
      </w:r>
      <w:r w:rsidR="008F31FC">
        <w:t>help</w:t>
      </w:r>
      <w:r>
        <w:t xml:space="preserve"> </w:t>
      </w:r>
      <w:r w:rsidR="008F31FC">
        <w:t>maintain the</w:t>
      </w:r>
      <w:r>
        <w:t xml:space="preserve"> cooperative relationship with Mongolia as we work through the effects of the </w:t>
      </w:r>
      <w:r w:rsidR="008349E6">
        <w:t>reduced aid program</w:t>
      </w:r>
      <w:r w:rsidR="00A36117">
        <w:t>.</w:t>
      </w:r>
    </w:p>
    <w:p w:rsidR="000D733F" w:rsidRPr="006D19F3" w:rsidRDefault="008F1AA8" w:rsidP="008F1AA8">
      <w:pPr>
        <w:pStyle w:val="Heading2"/>
        <w:rPr>
          <w:rStyle w:val="BodyTextChar"/>
          <w:rFonts w:ascii="Helvetica" w:hAnsi="Helvetica" w:cs="Arial"/>
          <w:color w:val="auto"/>
          <w:sz w:val="24"/>
          <w:szCs w:val="28"/>
        </w:rPr>
      </w:pPr>
      <w:r w:rsidRPr="006D19F3">
        <w:rPr>
          <w:color w:val="auto"/>
        </w:rPr>
        <w:t>Country c</w:t>
      </w:r>
      <w:r w:rsidR="000D733F" w:rsidRPr="006D19F3">
        <w:rPr>
          <w:color w:val="auto"/>
        </w:rPr>
        <w:t xml:space="preserve">ontext </w:t>
      </w:r>
      <w:r w:rsidR="000D733F" w:rsidRPr="006D19F3">
        <w:rPr>
          <w:color w:val="auto"/>
        </w:rPr>
        <w:tab/>
      </w:r>
      <w:r w:rsidR="000D733F" w:rsidRPr="006D19F3">
        <w:rPr>
          <w:color w:val="auto"/>
        </w:rPr>
        <w:tab/>
      </w:r>
      <w:r w:rsidR="000D733F" w:rsidRPr="006D19F3">
        <w:rPr>
          <w:rStyle w:val="BodyTextChar"/>
          <w:rFonts w:ascii="Helvetica" w:hAnsi="Helvetica" w:cs="Arial"/>
          <w:color w:val="auto"/>
          <w:sz w:val="24"/>
          <w:szCs w:val="28"/>
        </w:rPr>
        <w:tab/>
      </w:r>
      <w:r w:rsidR="000D733F" w:rsidRPr="006D19F3">
        <w:rPr>
          <w:rStyle w:val="BodyTextChar"/>
          <w:rFonts w:ascii="Helvetica" w:hAnsi="Helvetica" w:cs="Arial"/>
          <w:color w:val="auto"/>
          <w:sz w:val="24"/>
          <w:szCs w:val="28"/>
        </w:rPr>
        <w:tab/>
      </w:r>
      <w:r w:rsidR="000D733F" w:rsidRPr="006D19F3">
        <w:rPr>
          <w:rStyle w:val="BodyTextChar"/>
          <w:rFonts w:ascii="Helvetica" w:hAnsi="Helvetica" w:cs="Arial"/>
          <w:color w:val="auto"/>
          <w:sz w:val="24"/>
          <w:szCs w:val="28"/>
        </w:rPr>
        <w:tab/>
      </w:r>
      <w:r w:rsidR="000D733F" w:rsidRPr="006D19F3">
        <w:rPr>
          <w:rStyle w:val="BodyTextChar"/>
          <w:rFonts w:ascii="Helvetica" w:hAnsi="Helvetica" w:cs="Arial"/>
          <w:color w:val="auto"/>
          <w:sz w:val="24"/>
          <w:szCs w:val="28"/>
        </w:rPr>
        <w:tab/>
      </w:r>
      <w:r w:rsidR="000D733F" w:rsidRPr="006D19F3">
        <w:rPr>
          <w:rStyle w:val="BodyTextChar"/>
          <w:rFonts w:ascii="Helvetica" w:hAnsi="Helvetica" w:cs="Arial"/>
          <w:color w:val="auto"/>
          <w:sz w:val="24"/>
          <w:szCs w:val="28"/>
        </w:rPr>
        <w:tab/>
      </w:r>
    </w:p>
    <w:p w:rsidR="00F56C80" w:rsidRPr="00186308" w:rsidRDefault="00F56C80" w:rsidP="00186308">
      <w:pPr>
        <w:spacing w:before="75" w:after="225" w:line="285" w:lineRule="atLeast"/>
        <w:rPr>
          <w:rFonts w:ascii="Franklin Gothic Book" w:hAnsi="Franklin Gothic Book"/>
          <w:color w:val="000000" w:themeColor="text1"/>
          <w:sz w:val="21"/>
          <w:szCs w:val="21"/>
          <w:lang w:eastAsia="ko-KR"/>
        </w:rPr>
      </w:pPr>
      <w:r w:rsidRPr="001E18CC">
        <w:rPr>
          <w:rFonts w:ascii="Franklin Gothic Book" w:hAnsi="Franklin Gothic Book"/>
          <w:color w:val="000000" w:themeColor="text1"/>
          <w:sz w:val="21"/>
          <w:szCs w:val="21"/>
          <w:lang w:eastAsia="ko-KR"/>
        </w:rPr>
        <w:t xml:space="preserve">Mongolia formed a new </w:t>
      </w:r>
      <w:r w:rsidR="000F4CCF">
        <w:rPr>
          <w:rFonts w:ascii="Franklin Gothic Book" w:hAnsi="Franklin Gothic Book"/>
          <w:color w:val="000000" w:themeColor="text1"/>
          <w:sz w:val="21"/>
          <w:szCs w:val="21"/>
          <w:lang w:eastAsia="ko-KR"/>
        </w:rPr>
        <w:t xml:space="preserve">coalition </w:t>
      </w:r>
      <w:r w:rsidRPr="001E18CC">
        <w:rPr>
          <w:rFonts w:ascii="Franklin Gothic Book" w:hAnsi="Franklin Gothic Book"/>
          <w:color w:val="000000" w:themeColor="text1"/>
          <w:sz w:val="21"/>
          <w:szCs w:val="21"/>
          <w:lang w:eastAsia="ko-KR"/>
        </w:rPr>
        <w:t>government in December 2014</w:t>
      </w:r>
      <w:r w:rsidR="00186308">
        <w:rPr>
          <w:rFonts w:ascii="Franklin Gothic Book" w:hAnsi="Franklin Gothic Book"/>
          <w:color w:val="000000" w:themeColor="text1"/>
          <w:sz w:val="21"/>
          <w:szCs w:val="21"/>
          <w:lang w:eastAsia="ko-KR"/>
        </w:rPr>
        <w:t xml:space="preserve">, led by </w:t>
      </w:r>
      <w:r w:rsidR="00186308" w:rsidRPr="00186308">
        <w:rPr>
          <w:rFonts w:ascii="Franklin Gothic Book" w:hAnsi="Franklin Gothic Book"/>
          <w:color w:val="000000" w:themeColor="text1"/>
          <w:sz w:val="21"/>
          <w:szCs w:val="21"/>
          <w:lang w:eastAsia="ko-KR"/>
        </w:rPr>
        <w:t>Prime Minister Saikhanbileg</w:t>
      </w:r>
      <w:r w:rsidRPr="001E18CC">
        <w:rPr>
          <w:rFonts w:ascii="Franklin Gothic Book" w:hAnsi="Franklin Gothic Book"/>
          <w:color w:val="000000" w:themeColor="text1"/>
          <w:sz w:val="21"/>
          <w:szCs w:val="21"/>
          <w:lang w:eastAsia="ko-KR"/>
        </w:rPr>
        <w:t xml:space="preserve">. </w:t>
      </w:r>
      <w:r w:rsidRPr="00186308">
        <w:rPr>
          <w:rFonts w:ascii="Franklin Gothic Book" w:hAnsi="Franklin Gothic Book"/>
          <w:color w:val="000000" w:themeColor="text1"/>
          <w:sz w:val="21"/>
          <w:szCs w:val="21"/>
          <w:lang w:eastAsia="ko-KR"/>
        </w:rPr>
        <w:t xml:space="preserve">The </w:t>
      </w:r>
      <w:r w:rsidR="00F62B59">
        <w:rPr>
          <w:rFonts w:ascii="Franklin Gothic Book" w:hAnsi="Franklin Gothic Book"/>
          <w:color w:val="000000" w:themeColor="text1"/>
          <w:sz w:val="21"/>
          <w:szCs w:val="21"/>
          <w:lang w:eastAsia="ko-KR"/>
        </w:rPr>
        <w:t>restructured</w:t>
      </w:r>
      <w:r w:rsidR="00186308" w:rsidRPr="00186308">
        <w:rPr>
          <w:rFonts w:ascii="Franklin Gothic Book" w:hAnsi="Franklin Gothic Book"/>
          <w:color w:val="000000" w:themeColor="text1"/>
          <w:sz w:val="21"/>
          <w:szCs w:val="21"/>
          <w:lang w:eastAsia="ko-KR"/>
        </w:rPr>
        <w:t xml:space="preserve"> government</w:t>
      </w:r>
      <w:r w:rsidR="00186308">
        <w:rPr>
          <w:rFonts w:ascii="Franklin Gothic Book" w:hAnsi="Franklin Gothic Book"/>
          <w:color w:val="000000" w:themeColor="text1"/>
          <w:sz w:val="21"/>
          <w:szCs w:val="21"/>
          <w:lang w:eastAsia="ko-KR"/>
        </w:rPr>
        <w:t xml:space="preserve"> comprises 19 members and 15 ministries.</w:t>
      </w:r>
      <w:r w:rsidR="00186308" w:rsidRPr="00186308">
        <w:rPr>
          <w:rFonts w:ascii="Franklin Gothic Book" w:hAnsi="Franklin Gothic Book"/>
          <w:color w:val="000000" w:themeColor="text1"/>
          <w:sz w:val="21"/>
          <w:szCs w:val="21"/>
          <w:lang w:eastAsia="ko-KR"/>
        </w:rPr>
        <w:t xml:space="preserve"> </w:t>
      </w:r>
      <w:r w:rsidR="00186308">
        <w:rPr>
          <w:rFonts w:ascii="Franklin Gothic Book" w:hAnsi="Franklin Gothic Book"/>
          <w:color w:val="000000" w:themeColor="text1"/>
          <w:sz w:val="21"/>
          <w:szCs w:val="21"/>
          <w:lang w:eastAsia="ko-KR"/>
        </w:rPr>
        <w:t>Saikhanbileg</w:t>
      </w:r>
      <w:r w:rsidR="00186308" w:rsidRPr="00186308">
        <w:rPr>
          <w:rFonts w:ascii="Franklin Gothic Book" w:hAnsi="Franklin Gothic Book"/>
          <w:color w:val="000000" w:themeColor="text1"/>
          <w:sz w:val="21"/>
          <w:szCs w:val="21"/>
          <w:lang w:eastAsia="ko-KR"/>
        </w:rPr>
        <w:t xml:space="preserve"> </w:t>
      </w:r>
      <w:r w:rsidRPr="00186308">
        <w:rPr>
          <w:rFonts w:ascii="Franklin Gothic Book" w:hAnsi="Franklin Gothic Book"/>
          <w:color w:val="000000" w:themeColor="text1"/>
          <w:sz w:val="21"/>
          <w:szCs w:val="21"/>
          <w:lang w:eastAsia="ko-KR"/>
        </w:rPr>
        <w:t xml:space="preserve">resolved to take prompt action </w:t>
      </w:r>
      <w:r w:rsidR="00186308">
        <w:rPr>
          <w:rFonts w:ascii="Franklin Gothic Book" w:hAnsi="Franklin Gothic Book"/>
          <w:color w:val="000000" w:themeColor="text1"/>
          <w:sz w:val="21"/>
          <w:szCs w:val="21"/>
          <w:lang w:eastAsia="ko-KR"/>
        </w:rPr>
        <w:t>to mend</w:t>
      </w:r>
      <w:r w:rsidRPr="00186308">
        <w:rPr>
          <w:rFonts w:ascii="Franklin Gothic Book" w:hAnsi="Franklin Gothic Book"/>
          <w:color w:val="000000" w:themeColor="text1"/>
          <w:sz w:val="21"/>
          <w:szCs w:val="21"/>
          <w:lang w:eastAsia="ko-KR"/>
        </w:rPr>
        <w:t xml:space="preserve"> Mongolia’s economy</w:t>
      </w:r>
      <w:r w:rsidR="00186308">
        <w:rPr>
          <w:rFonts w:ascii="Franklin Gothic Book" w:hAnsi="Franklin Gothic Book"/>
          <w:color w:val="000000" w:themeColor="text1"/>
          <w:sz w:val="21"/>
          <w:szCs w:val="21"/>
          <w:lang w:eastAsia="ko-KR"/>
        </w:rPr>
        <w:t xml:space="preserve"> by</w:t>
      </w:r>
      <w:r w:rsidRPr="00186308">
        <w:rPr>
          <w:rFonts w:ascii="Franklin Gothic Book" w:hAnsi="Franklin Gothic Book"/>
          <w:color w:val="000000" w:themeColor="text1"/>
          <w:sz w:val="21"/>
          <w:szCs w:val="21"/>
          <w:lang w:eastAsia="ko-KR"/>
        </w:rPr>
        <w:t xml:space="preserve"> focus</w:t>
      </w:r>
      <w:r w:rsidR="00186308">
        <w:rPr>
          <w:rFonts w:ascii="Franklin Gothic Book" w:hAnsi="Franklin Gothic Book"/>
          <w:color w:val="000000" w:themeColor="text1"/>
          <w:sz w:val="21"/>
          <w:szCs w:val="21"/>
          <w:lang w:eastAsia="ko-KR"/>
        </w:rPr>
        <w:t>ing</w:t>
      </w:r>
      <w:r w:rsidRPr="00186308">
        <w:rPr>
          <w:rFonts w:ascii="Franklin Gothic Book" w:hAnsi="Franklin Gothic Book"/>
          <w:color w:val="000000" w:themeColor="text1"/>
          <w:sz w:val="21"/>
          <w:szCs w:val="21"/>
          <w:lang w:eastAsia="ko-KR"/>
        </w:rPr>
        <w:t xml:space="preserve"> on creating a</w:t>
      </w:r>
      <w:r w:rsidR="00186308">
        <w:rPr>
          <w:rFonts w:ascii="Franklin Gothic Book" w:hAnsi="Franklin Gothic Book"/>
          <w:color w:val="000000" w:themeColor="text1"/>
          <w:sz w:val="21"/>
          <w:szCs w:val="21"/>
          <w:lang w:eastAsia="ko-KR"/>
        </w:rPr>
        <w:t>n open</w:t>
      </w:r>
      <w:r w:rsidRPr="00186308">
        <w:rPr>
          <w:rFonts w:ascii="Franklin Gothic Book" w:hAnsi="Franklin Gothic Book"/>
          <w:color w:val="000000" w:themeColor="text1"/>
          <w:sz w:val="21"/>
          <w:szCs w:val="21"/>
          <w:lang w:eastAsia="ko-KR"/>
        </w:rPr>
        <w:t xml:space="preserve"> welcoming business environment</w:t>
      </w:r>
      <w:r w:rsidR="00186308" w:rsidRPr="00186308">
        <w:rPr>
          <w:rFonts w:ascii="Franklin Gothic Book" w:hAnsi="Franklin Gothic Book"/>
          <w:color w:val="000000" w:themeColor="text1"/>
          <w:sz w:val="21"/>
          <w:szCs w:val="21"/>
          <w:lang w:eastAsia="ko-KR"/>
        </w:rPr>
        <w:t>,</w:t>
      </w:r>
      <w:r w:rsidRPr="00186308">
        <w:rPr>
          <w:rFonts w:ascii="Franklin Gothic Book" w:hAnsi="Franklin Gothic Book"/>
          <w:color w:val="000000" w:themeColor="text1"/>
          <w:sz w:val="21"/>
          <w:szCs w:val="21"/>
          <w:lang w:eastAsia="ko-KR"/>
        </w:rPr>
        <w:t xml:space="preserve"> supporting the private sector and </w:t>
      </w:r>
      <w:r w:rsidR="00F62B59">
        <w:rPr>
          <w:rFonts w:ascii="Franklin Gothic Book" w:hAnsi="Franklin Gothic Book"/>
          <w:color w:val="000000" w:themeColor="text1"/>
          <w:sz w:val="21"/>
          <w:szCs w:val="21"/>
          <w:lang w:eastAsia="ko-KR"/>
        </w:rPr>
        <w:t>addressing</w:t>
      </w:r>
      <w:r w:rsidR="00186308" w:rsidRPr="00186308">
        <w:rPr>
          <w:rFonts w:ascii="Franklin Gothic Book" w:hAnsi="Franklin Gothic Book"/>
          <w:color w:val="000000" w:themeColor="text1"/>
          <w:sz w:val="21"/>
          <w:szCs w:val="21"/>
          <w:lang w:eastAsia="ko-KR"/>
        </w:rPr>
        <w:t xml:space="preserve"> </w:t>
      </w:r>
      <w:r w:rsidRPr="00186308">
        <w:rPr>
          <w:rFonts w:ascii="Franklin Gothic Book" w:hAnsi="Franklin Gothic Book"/>
          <w:color w:val="000000" w:themeColor="text1"/>
          <w:sz w:val="21"/>
          <w:szCs w:val="21"/>
          <w:lang w:eastAsia="ko-KR"/>
        </w:rPr>
        <w:t>barriers to mining sector expansion.</w:t>
      </w:r>
    </w:p>
    <w:p w:rsidR="00FE1643" w:rsidRDefault="00F0457F" w:rsidP="00EE7D0B">
      <w:pPr>
        <w:pStyle w:val="BodyText"/>
        <w:rPr>
          <w:rFonts w:ascii="Verdana" w:hAnsi="Verdana" w:cs="Arial"/>
          <w:sz w:val="20"/>
          <w:szCs w:val="20"/>
        </w:rPr>
      </w:pPr>
      <w:r w:rsidRPr="00D512B9">
        <w:t xml:space="preserve">The </w:t>
      </w:r>
      <w:r>
        <w:t xml:space="preserve">Mongolian </w:t>
      </w:r>
      <w:r w:rsidRPr="00D512B9">
        <w:t>economy re</w:t>
      </w:r>
      <w:r>
        <w:t>lies</w:t>
      </w:r>
      <w:r w:rsidRPr="00D512B9">
        <w:t xml:space="preserve"> heavily on mining</w:t>
      </w:r>
      <w:r w:rsidR="00242A6C">
        <w:t>,</w:t>
      </w:r>
      <w:r w:rsidRPr="00D512B9">
        <w:t xml:space="preserve"> which makes up 80 per cent of exports and 40 per cent of government revenue</w:t>
      </w:r>
      <w:r w:rsidR="00166016">
        <w:t xml:space="preserve">. </w:t>
      </w:r>
      <w:r w:rsidR="00F62B59">
        <w:t xml:space="preserve">While economic growth slowed from 17.5 per cent in 2012, it remains rapid with GDP growth </w:t>
      </w:r>
      <w:r w:rsidR="004332D4">
        <w:t>forecast at 7.1 per cent</w:t>
      </w:r>
      <w:r w:rsidR="00937DAC" w:rsidRPr="00937DAC">
        <w:t xml:space="preserve"> in 2015 (World Bank 2014)</w:t>
      </w:r>
      <w:r w:rsidR="00F62B59">
        <w:t xml:space="preserve">. However, </w:t>
      </w:r>
      <w:r w:rsidR="00937DAC" w:rsidRPr="00937DAC">
        <w:t>the lack of economic diversification and high dependency on mining rev</w:t>
      </w:r>
      <w:r w:rsidR="008349E6">
        <w:t>enues expose</w:t>
      </w:r>
      <w:r w:rsidR="00937DAC" w:rsidRPr="00937DAC">
        <w:t xml:space="preserve"> Mongolia to shocks in the external environment. </w:t>
      </w:r>
      <w:r w:rsidR="00F62B59">
        <w:t>Lower</w:t>
      </w:r>
      <w:r w:rsidR="00937DAC" w:rsidRPr="00937DAC">
        <w:t xml:space="preserve"> commodity prices, </w:t>
      </w:r>
      <w:r w:rsidR="00F62B59">
        <w:t xml:space="preserve">combined with an unpredictable regulatory environment, led to a plunge in </w:t>
      </w:r>
      <w:r w:rsidR="00937DAC" w:rsidRPr="00937DAC">
        <w:t>foreign investment</w:t>
      </w:r>
      <w:r w:rsidR="00375C7A">
        <w:rPr>
          <w:rStyle w:val="FootnoteReference"/>
        </w:rPr>
        <w:footnoteReference w:id="2"/>
      </w:r>
      <w:r w:rsidR="00937DAC" w:rsidRPr="00937DAC">
        <w:t xml:space="preserve"> </w:t>
      </w:r>
      <w:r w:rsidR="00F62B59">
        <w:t>which has translated</w:t>
      </w:r>
      <w:r w:rsidR="00937DAC" w:rsidRPr="00937DAC">
        <w:t xml:space="preserve"> into lower employment growth, incomes, and government revenue</w:t>
      </w:r>
      <w:r w:rsidR="00937DAC">
        <w:t xml:space="preserve">. </w:t>
      </w:r>
      <w:r w:rsidR="00937DAC" w:rsidRPr="00937DAC">
        <w:t>The government has continued to increase expenditure, running budget deficits, with public debt increasing above the</w:t>
      </w:r>
      <w:r w:rsidR="004332D4">
        <w:t xml:space="preserve"> previously</w:t>
      </w:r>
      <w:r w:rsidR="00937DAC" w:rsidRPr="00937DAC">
        <w:t xml:space="preserve"> legislated limit of 40 per cent</w:t>
      </w:r>
      <w:r w:rsidR="000F4CCF">
        <w:rPr>
          <w:rStyle w:val="FootnoteReference"/>
        </w:rPr>
        <w:footnoteReference w:id="3"/>
      </w:r>
      <w:r w:rsidR="00937DAC" w:rsidRPr="00937DAC">
        <w:t xml:space="preserve">. </w:t>
      </w:r>
    </w:p>
    <w:p w:rsidR="00810668" w:rsidRDefault="00810668" w:rsidP="00810668">
      <w:pPr>
        <w:pStyle w:val="BodyText"/>
        <w:rPr>
          <w:rFonts w:eastAsia="Malgun Gothic"/>
          <w:lang w:eastAsia="ko-KR"/>
        </w:rPr>
      </w:pPr>
      <w:r w:rsidRPr="008A07B6">
        <w:t xml:space="preserve">The Mongolian Government has </w:t>
      </w:r>
      <w:r>
        <w:t>enacted</w:t>
      </w:r>
      <w:r w:rsidRPr="008A07B6">
        <w:t xml:space="preserve"> </w:t>
      </w:r>
      <w:r>
        <w:t xml:space="preserve">legislation </w:t>
      </w:r>
      <w:r w:rsidRPr="008A07B6">
        <w:t>to improving its management of mining revenues</w:t>
      </w:r>
      <w:r>
        <w:t>, for example</w:t>
      </w:r>
      <w:r w:rsidRPr="008A07B6">
        <w:t xml:space="preserve"> through the F</w:t>
      </w:r>
      <w:r>
        <w:t xml:space="preserve">iscal </w:t>
      </w:r>
      <w:r w:rsidRPr="008A07B6">
        <w:t>S</w:t>
      </w:r>
      <w:r>
        <w:t xml:space="preserve">tability </w:t>
      </w:r>
      <w:r w:rsidRPr="008A07B6">
        <w:t>L</w:t>
      </w:r>
      <w:r>
        <w:t>aw. H</w:t>
      </w:r>
      <w:r w:rsidRPr="008A07B6">
        <w:t xml:space="preserve">owever, the fiscal limits </w:t>
      </w:r>
      <w:r>
        <w:t xml:space="preserve">in the law must be adhered to. </w:t>
      </w:r>
      <w:r w:rsidR="008349E6">
        <w:rPr>
          <w:rFonts w:eastAsia="Malgun Gothic"/>
          <w:lang w:eastAsia="ko-KR"/>
        </w:rPr>
        <w:t>In 2014 t</w:t>
      </w:r>
      <w:r>
        <w:rPr>
          <w:rFonts w:eastAsia="Malgun Gothic" w:hint="eastAsia"/>
          <w:lang w:eastAsia="ko-KR"/>
        </w:rPr>
        <w:t xml:space="preserve">he </w:t>
      </w:r>
      <w:r w:rsidR="008349E6">
        <w:rPr>
          <w:rFonts w:eastAsia="Malgun Gothic"/>
          <w:lang w:eastAsia="ko-KR"/>
        </w:rPr>
        <w:t>amendment to</w:t>
      </w:r>
      <w:r>
        <w:rPr>
          <w:rFonts w:eastAsia="Malgun Gothic" w:hint="eastAsia"/>
          <w:lang w:eastAsia="ko-KR"/>
        </w:rPr>
        <w:t xml:space="preserve"> the Minerals Law </w:t>
      </w:r>
      <w:r w:rsidR="008349E6">
        <w:rPr>
          <w:rFonts w:eastAsia="Malgun Gothic" w:hint="eastAsia"/>
          <w:lang w:eastAsia="ko-KR"/>
        </w:rPr>
        <w:t xml:space="preserve">and the </w:t>
      </w:r>
      <w:r w:rsidR="008349E6">
        <w:rPr>
          <w:rFonts w:eastAsia="Malgun Gothic"/>
          <w:lang w:eastAsia="ko-KR"/>
        </w:rPr>
        <w:t>r</w:t>
      </w:r>
      <w:r>
        <w:rPr>
          <w:rFonts w:eastAsia="Malgun Gothic" w:hint="eastAsia"/>
          <w:lang w:eastAsia="ko-KR"/>
        </w:rPr>
        <w:t>epeal of the Law on Prohibition of Granting Exploration Licences attempt to resuscitate the mining sector, ensure c</w:t>
      </w:r>
      <w:r w:rsidR="008349E6">
        <w:rPr>
          <w:rFonts w:eastAsia="Malgun Gothic" w:hint="eastAsia"/>
          <w:lang w:eastAsia="ko-KR"/>
        </w:rPr>
        <w:t xml:space="preserve">ontinued economic growth and </w:t>
      </w:r>
      <w:r>
        <w:rPr>
          <w:rFonts w:eastAsia="Malgun Gothic" w:hint="eastAsia"/>
          <w:lang w:eastAsia="ko-KR"/>
        </w:rPr>
        <w:t xml:space="preserve">encourage foreign investment.  </w:t>
      </w:r>
    </w:p>
    <w:p w:rsidR="00810668" w:rsidRDefault="00810668" w:rsidP="00810668">
      <w:pPr>
        <w:pStyle w:val="BodyText"/>
        <w:rPr>
          <w:rFonts w:ascii="Verdana" w:hAnsi="Verdana" w:cs="Arial"/>
          <w:sz w:val="20"/>
          <w:szCs w:val="20"/>
        </w:rPr>
      </w:pPr>
      <w:r>
        <w:rPr>
          <w:rFonts w:eastAsia="Malgun Gothic"/>
          <w:lang w:eastAsia="ko-KR"/>
        </w:rPr>
        <w:t>I</w:t>
      </w:r>
      <w:r>
        <w:rPr>
          <w:rFonts w:eastAsia="Malgun Gothic" w:hint="eastAsia"/>
          <w:lang w:eastAsia="ko-KR"/>
        </w:rPr>
        <w:t>n May 2015 Mongolia and Rio Tinto reached an agreement to resume the second phase of the Oyu Tolgoi</w:t>
      </w:r>
      <w:r>
        <w:rPr>
          <w:rFonts w:eastAsia="Malgun Gothic"/>
          <w:lang w:eastAsia="ko-KR"/>
        </w:rPr>
        <w:t xml:space="preserve"> (OT) </w:t>
      </w:r>
      <w:r>
        <w:rPr>
          <w:rFonts w:eastAsia="Malgun Gothic" w:hint="eastAsia"/>
          <w:lang w:eastAsia="ko-KR"/>
        </w:rPr>
        <w:t>project</w:t>
      </w:r>
      <w:r>
        <w:rPr>
          <w:rFonts w:eastAsia="Malgun Gothic"/>
          <w:lang w:eastAsia="ko-KR"/>
        </w:rPr>
        <w:t>—</w:t>
      </w:r>
      <w:r>
        <w:rPr>
          <w:rFonts w:eastAsia="Malgun Gothic" w:hint="eastAsia"/>
          <w:lang w:eastAsia="ko-KR"/>
        </w:rPr>
        <w:t xml:space="preserve"> the largest single foreign investment in Mongolia</w:t>
      </w:r>
      <w:r>
        <w:rPr>
          <w:rFonts w:eastAsia="Malgun Gothic"/>
          <w:lang w:eastAsia="ko-KR"/>
        </w:rPr>
        <w:t>—</w:t>
      </w:r>
      <w:r>
        <w:rPr>
          <w:rFonts w:eastAsia="Malgun Gothic" w:hint="eastAsia"/>
          <w:lang w:eastAsia="ko-KR"/>
        </w:rPr>
        <w:t>following two years of suspension</w:t>
      </w:r>
      <w:r>
        <w:rPr>
          <w:rFonts w:eastAsia="Malgun Gothic"/>
          <w:lang w:eastAsia="ko-KR"/>
        </w:rPr>
        <w:t>.</w:t>
      </w:r>
      <w:r>
        <w:rPr>
          <w:rFonts w:eastAsia="Malgun Gothic" w:hint="eastAsia"/>
          <w:lang w:eastAsia="ko-KR"/>
        </w:rPr>
        <w:t xml:space="preserve"> </w:t>
      </w:r>
      <w:r>
        <w:rPr>
          <w:rFonts w:eastAsia="Malgun Gothic"/>
          <w:lang w:eastAsia="ko-KR"/>
        </w:rPr>
        <w:t>At full capacity the project</w:t>
      </w:r>
      <w:r>
        <w:rPr>
          <w:rFonts w:eastAsia="Malgun Gothic" w:hint="eastAsia"/>
          <w:lang w:eastAsia="ko-KR"/>
        </w:rPr>
        <w:t xml:space="preserve"> </w:t>
      </w:r>
      <w:r>
        <w:rPr>
          <w:rFonts w:eastAsia="Malgun Gothic"/>
          <w:lang w:eastAsia="ko-KR"/>
        </w:rPr>
        <w:t>could</w:t>
      </w:r>
      <w:r>
        <w:rPr>
          <w:rFonts w:eastAsia="Malgun Gothic" w:hint="eastAsia"/>
          <w:lang w:eastAsia="ko-KR"/>
        </w:rPr>
        <w:t xml:space="preserve"> boost Mongolia</w:t>
      </w:r>
      <w:r>
        <w:rPr>
          <w:rFonts w:eastAsia="Malgun Gothic"/>
          <w:lang w:eastAsia="ko-KR"/>
        </w:rPr>
        <w:t>’</w:t>
      </w:r>
      <w:r>
        <w:rPr>
          <w:rFonts w:eastAsia="Malgun Gothic" w:hint="eastAsia"/>
          <w:lang w:eastAsia="ko-KR"/>
        </w:rPr>
        <w:t>s economy by a third.</w:t>
      </w:r>
    </w:p>
    <w:p w:rsidR="00937DAC" w:rsidRDefault="00810668" w:rsidP="00EE7D0B">
      <w:pPr>
        <w:pStyle w:val="BodyText"/>
      </w:pPr>
      <w:r w:rsidRPr="00937DAC">
        <w:t>The challenge for Mongolia is to manage its resource dependency in a way that stabilises the economy and transfers the wealth equitably.</w:t>
      </w:r>
      <w:r>
        <w:t xml:space="preserve"> </w:t>
      </w:r>
      <w:r w:rsidR="00937DAC">
        <w:t xml:space="preserve">Despite </w:t>
      </w:r>
      <w:r w:rsidR="00E04B5A">
        <w:t xml:space="preserve">the </w:t>
      </w:r>
      <w:r w:rsidR="00937DAC">
        <w:t>challenges, t</w:t>
      </w:r>
      <w:r w:rsidR="00937DAC" w:rsidRPr="003F730A">
        <w:t>here has</w:t>
      </w:r>
      <w:r w:rsidR="00937DAC">
        <w:t xml:space="preserve"> </w:t>
      </w:r>
      <w:r w:rsidR="00937DAC" w:rsidRPr="003F730A">
        <w:t xml:space="preserve">been a consistent </w:t>
      </w:r>
      <w:r w:rsidR="00937DAC">
        <w:t>fall in</w:t>
      </w:r>
      <w:r w:rsidR="00FE1643">
        <w:t xml:space="preserve"> the</w:t>
      </w:r>
      <w:r w:rsidR="00937DAC" w:rsidRPr="003F730A">
        <w:t xml:space="preserve"> </w:t>
      </w:r>
      <w:r w:rsidR="00937DAC">
        <w:t xml:space="preserve">overall </w:t>
      </w:r>
      <w:r w:rsidR="00937DAC" w:rsidRPr="003F730A">
        <w:t>pover</w:t>
      </w:r>
      <w:r w:rsidR="00937DAC">
        <w:t>ty</w:t>
      </w:r>
      <w:r w:rsidR="00FE1643">
        <w:t xml:space="preserve"> rate</w:t>
      </w:r>
      <w:r w:rsidR="00937DAC">
        <w:t xml:space="preserve"> in recent years </w:t>
      </w:r>
      <w:r w:rsidR="00937DAC" w:rsidRPr="003F730A">
        <w:t>to 2</w:t>
      </w:r>
      <w:r w:rsidR="00ED2FB7">
        <w:t>1.6</w:t>
      </w:r>
      <w:r w:rsidR="00937DAC" w:rsidRPr="003F730A">
        <w:t xml:space="preserve"> per cent of the population</w:t>
      </w:r>
      <w:r w:rsidR="00ED2FB7">
        <w:rPr>
          <w:rStyle w:val="FootnoteReference"/>
        </w:rPr>
        <w:footnoteReference w:id="4"/>
      </w:r>
      <w:r w:rsidR="00937DAC">
        <w:t xml:space="preserve">. </w:t>
      </w:r>
      <w:r w:rsidR="00937DAC">
        <w:lastRenderedPageBreak/>
        <w:t>There is a</w:t>
      </w:r>
      <w:r w:rsidR="00ED2FB7">
        <w:t>n</w:t>
      </w:r>
      <w:r w:rsidR="00937DAC" w:rsidRPr="003F730A">
        <w:t xml:space="preserve"> </w:t>
      </w:r>
      <w:r w:rsidR="00ED2FB7">
        <w:t>urban-rural divide—around 18.8</w:t>
      </w:r>
      <w:r w:rsidR="00937DAC">
        <w:t xml:space="preserve"> per cent in Ulaanbaatar</w:t>
      </w:r>
      <w:r w:rsidR="00937DAC" w:rsidRPr="003F730A">
        <w:rPr>
          <w:i/>
          <w:vertAlign w:val="superscript"/>
        </w:rPr>
        <w:footnoteReference w:id="5"/>
      </w:r>
      <w:r w:rsidR="00937DAC" w:rsidRPr="003F730A">
        <w:t xml:space="preserve"> </w:t>
      </w:r>
      <w:r w:rsidR="00ED2FB7">
        <w:t>but 26</w:t>
      </w:r>
      <w:r w:rsidR="00215F76">
        <w:t>.4</w:t>
      </w:r>
      <w:r w:rsidR="00937DAC">
        <w:t xml:space="preserve"> per cent in the countryside</w:t>
      </w:r>
      <w:r w:rsidR="00937DAC" w:rsidRPr="003F730A">
        <w:rPr>
          <w:i/>
          <w:vertAlign w:val="superscript"/>
        </w:rPr>
        <w:footnoteReference w:id="6"/>
      </w:r>
      <w:r w:rsidR="00937DAC">
        <w:t>.</w:t>
      </w:r>
      <w:r w:rsidR="00937DAC" w:rsidRPr="0024414A">
        <w:t xml:space="preserve"> </w:t>
      </w:r>
      <w:r w:rsidR="00937DAC" w:rsidRPr="00C53CE3">
        <w:t>Remoteness, low income and employment opportunities</w:t>
      </w:r>
      <w:r w:rsidR="00270D68">
        <w:t>,</w:t>
      </w:r>
      <w:r w:rsidR="00937DAC" w:rsidRPr="00C53CE3">
        <w:t xml:space="preserve"> coupled with a lack of industrial infrastructure and environmental degradation are</w:t>
      </w:r>
      <w:r w:rsidR="00937DAC">
        <w:t xml:space="preserve"> the</w:t>
      </w:r>
      <w:r w:rsidR="00937DAC" w:rsidRPr="00C53CE3">
        <w:t xml:space="preserve"> major cause</w:t>
      </w:r>
      <w:r w:rsidR="00937DAC">
        <w:t>s</w:t>
      </w:r>
      <w:r w:rsidR="00937DAC" w:rsidRPr="00C53CE3">
        <w:t xml:space="preserve"> for higher rural poverty. </w:t>
      </w:r>
    </w:p>
    <w:p w:rsidR="00937DAC" w:rsidRDefault="006A18AF" w:rsidP="00EE7D0B">
      <w:pPr>
        <w:pStyle w:val="BodyText"/>
      </w:pPr>
      <w:r w:rsidRPr="00D512B9">
        <w:t xml:space="preserve">Mongolia </w:t>
      </w:r>
      <w:r w:rsidR="005D5C34">
        <w:t xml:space="preserve">is ranked </w:t>
      </w:r>
      <w:r>
        <w:t>103</w:t>
      </w:r>
      <w:r w:rsidR="005D5C34">
        <w:t xml:space="preserve"> </w:t>
      </w:r>
      <w:r>
        <w:t>out of 18</w:t>
      </w:r>
      <w:r w:rsidR="00F56C80">
        <w:t>7</w:t>
      </w:r>
      <w:r>
        <w:t xml:space="preserve"> countries</w:t>
      </w:r>
      <w:r w:rsidR="00B84C2C" w:rsidRPr="00242A6C">
        <w:rPr>
          <w:rStyle w:val="FootnoteReference"/>
          <w:rFonts w:ascii="Franklin Gothic Book" w:hAnsi="Franklin Gothic Book"/>
        </w:rPr>
        <w:footnoteReference w:id="7"/>
      </w:r>
      <w:r w:rsidR="005D5C34">
        <w:t xml:space="preserve"> in the United Nation’s Human Development Index.</w:t>
      </w:r>
      <w:r w:rsidR="005D5C34" w:rsidRPr="00D512B9">
        <w:t xml:space="preserve"> </w:t>
      </w:r>
      <w:r w:rsidR="00EE7D0B" w:rsidRPr="00D512B9">
        <w:t xml:space="preserve">Mongolia is either on-track or has already achieved one-third </w:t>
      </w:r>
      <w:r w:rsidR="00B84C2C">
        <w:t xml:space="preserve">of </w:t>
      </w:r>
      <w:r w:rsidR="00810668">
        <w:t>its</w:t>
      </w:r>
      <w:r w:rsidR="00B84C2C">
        <w:t xml:space="preserve"> MDG targets</w:t>
      </w:r>
      <w:r w:rsidR="00FE1643">
        <w:rPr>
          <w:rStyle w:val="FootnoteReference"/>
        </w:rPr>
        <w:footnoteReference w:id="8"/>
      </w:r>
      <w:r w:rsidR="00B036D5">
        <w:t xml:space="preserve">, and is expected to achieve </w:t>
      </w:r>
      <w:r w:rsidR="00F56C80">
        <w:t>63</w:t>
      </w:r>
      <w:r w:rsidR="00B036D5">
        <w:t xml:space="preserve"> per</w:t>
      </w:r>
      <w:r w:rsidR="00533CB4">
        <w:t xml:space="preserve"> </w:t>
      </w:r>
      <w:r w:rsidR="00B036D5">
        <w:t>cent of the targets by 2015</w:t>
      </w:r>
      <w:r w:rsidR="00B84C2C">
        <w:t xml:space="preserve">. </w:t>
      </w:r>
      <w:r w:rsidR="00F56C80">
        <w:t>Four t</w:t>
      </w:r>
      <w:r w:rsidR="00375C7A">
        <w:t>argets</w:t>
      </w:r>
      <w:r w:rsidR="00F56C80">
        <w:t>—</w:t>
      </w:r>
      <w:r w:rsidR="00F56C80">
        <w:rPr>
          <w:rFonts w:eastAsia="Malgun Gothic" w:hint="eastAsia"/>
          <w:lang w:eastAsia="ko-KR"/>
        </w:rPr>
        <w:t xml:space="preserve">to reduce </w:t>
      </w:r>
      <w:r w:rsidR="004A315C">
        <w:rPr>
          <w:rFonts w:eastAsia="Malgun Gothic"/>
          <w:lang w:eastAsia="ko-KR"/>
        </w:rPr>
        <w:t xml:space="preserve">urban </w:t>
      </w:r>
      <w:r w:rsidR="00F56C80">
        <w:rPr>
          <w:rFonts w:eastAsia="Malgun Gothic" w:hint="eastAsia"/>
          <w:lang w:eastAsia="ko-KR"/>
        </w:rPr>
        <w:t>air pollution</w:t>
      </w:r>
      <w:r w:rsidR="00F56C80">
        <w:rPr>
          <w:rFonts w:eastAsia="Malgun Gothic"/>
          <w:lang w:eastAsia="ko-KR"/>
        </w:rPr>
        <w:t xml:space="preserve">, </w:t>
      </w:r>
      <w:r w:rsidR="00F56C80">
        <w:rPr>
          <w:rFonts w:eastAsia="Malgun Gothic" w:hint="eastAsia"/>
          <w:lang w:eastAsia="ko-KR"/>
        </w:rPr>
        <w:t xml:space="preserve">to increase </w:t>
      </w:r>
      <w:r w:rsidR="00F56C80">
        <w:t xml:space="preserve">women’s </w:t>
      </w:r>
      <w:r w:rsidR="004A315C">
        <w:t xml:space="preserve">political </w:t>
      </w:r>
      <w:r w:rsidR="00F56C80">
        <w:t>participation</w:t>
      </w:r>
      <w:r w:rsidR="00F56C80">
        <w:rPr>
          <w:rFonts w:eastAsia="Malgun Gothic" w:hint="eastAsia"/>
          <w:lang w:eastAsia="ko-KR"/>
        </w:rPr>
        <w:t xml:space="preserve">, to create favourable </w:t>
      </w:r>
      <w:r w:rsidR="004A315C">
        <w:rPr>
          <w:rFonts w:eastAsia="Malgun Gothic" w:hint="eastAsia"/>
          <w:lang w:eastAsia="ko-KR"/>
        </w:rPr>
        <w:t>trade and financial system</w:t>
      </w:r>
      <w:r w:rsidR="005D5C34">
        <w:rPr>
          <w:rFonts w:eastAsia="Malgun Gothic"/>
          <w:lang w:eastAsia="ko-KR"/>
        </w:rPr>
        <w:t>s</w:t>
      </w:r>
      <w:r w:rsidR="004A315C">
        <w:rPr>
          <w:rFonts w:eastAsia="Malgun Gothic" w:hint="eastAsia"/>
          <w:lang w:eastAsia="ko-KR"/>
        </w:rPr>
        <w:t xml:space="preserve"> </w:t>
      </w:r>
      <w:r w:rsidR="00F56C80">
        <w:rPr>
          <w:rFonts w:eastAsia="Malgun Gothic" w:hint="eastAsia"/>
          <w:lang w:eastAsia="ko-KR"/>
        </w:rPr>
        <w:t>condition</w:t>
      </w:r>
      <w:r w:rsidR="00F56C80">
        <w:rPr>
          <w:rFonts w:eastAsia="Malgun Gothic"/>
          <w:lang w:eastAsia="ko-KR"/>
        </w:rPr>
        <w:t>s</w:t>
      </w:r>
      <w:r w:rsidR="00F56C80">
        <w:rPr>
          <w:rFonts w:eastAsia="Malgun Gothic" w:hint="eastAsia"/>
          <w:lang w:eastAsia="ko-KR"/>
        </w:rPr>
        <w:t xml:space="preserve">, to </w:t>
      </w:r>
      <w:r w:rsidR="004A315C">
        <w:rPr>
          <w:rFonts w:eastAsia="Malgun Gothic" w:hint="eastAsia"/>
          <w:lang w:eastAsia="ko-KR"/>
        </w:rPr>
        <w:t>negotiat</w:t>
      </w:r>
      <w:r w:rsidR="004A315C">
        <w:rPr>
          <w:rFonts w:eastAsia="Malgun Gothic"/>
          <w:lang w:eastAsia="ko-KR"/>
        </w:rPr>
        <w:t>e</w:t>
      </w:r>
      <w:r w:rsidR="004A315C">
        <w:rPr>
          <w:rFonts w:eastAsia="Malgun Gothic" w:hint="eastAsia"/>
          <w:lang w:eastAsia="ko-KR"/>
        </w:rPr>
        <w:t xml:space="preserve"> favourable terms </w:t>
      </w:r>
      <w:r w:rsidR="00F56C80">
        <w:rPr>
          <w:rFonts w:eastAsia="Malgun Gothic" w:hint="eastAsia"/>
          <w:lang w:eastAsia="ko-KR"/>
        </w:rPr>
        <w:t xml:space="preserve">as </w:t>
      </w:r>
      <w:r w:rsidR="008349E6">
        <w:rPr>
          <w:rFonts w:eastAsia="Malgun Gothic"/>
          <w:lang w:eastAsia="ko-KR"/>
        </w:rPr>
        <w:t xml:space="preserve">a </w:t>
      </w:r>
      <w:r w:rsidR="00F56C80">
        <w:rPr>
          <w:rFonts w:eastAsia="Malgun Gothic" w:hint="eastAsia"/>
          <w:lang w:eastAsia="ko-KR"/>
        </w:rPr>
        <w:t>landlocked country</w:t>
      </w:r>
      <w:r w:rsidR="004A315C">
        <w:t>—</w:t>
      </w:r>
      <w:r w:rsidR="004508B3">
        <w:t>will be</w:t>
      </w:r>
      <w:r w:rsidR="00B036D5">
        <w:t xml:space="preserve"> difficult to achieve</w:t>
      </w:r>
      <w:r w:rsidR="00B036D5" w:rsidRPr="00242A6C">
        <w:rPr>
          <w:rStyle w:val="FootnoteReference"/>
          <w:rFonts w:ascii="Franklin Gothic Book" w:hAnsi="Franklin Gothic Book"/>
        </w:rPr>
        <w:footnoteReference w:id="9"/>
      </w:r>
      <w:r w:rsidR="00B036D5">
        <w:t xml:space="preserve">. </w:t>
      </w:r>
      <w:r w:rsidR="005D5C34">
        <w:rPr>
          <w:rFonts w:eastAsia="Malgun Gothic"/>
          <w:lang w:eastAsia="ko-KR"/>
        </w:rPr>
        <w:t xml:space="preserve">Some </w:t>
      </w:r>
      <w:r w:rsidR="005D5C34">
        <w:rPr>
          <w:rFonts w:eastAsia="Malgun Gothic" w:hint="eastAsia"/>
          <w:lang w:eastAsia="ko-KR"/>
        </w:rPr>
        <w:t xml:space="preserve">targets </w:t>
      </w:r>
      <w:r w:rsidR="005D5C34">
        <w:rPr>
          <w:rFonts w:eastAsia="Malgun Gothic"/>
          <w:lang w:eastAsia="ko-KR"/>
        </w:rPr>
        <w:t>are</w:t>
      </w:r>
      <w:r w:rsidR="00F56C80">
        <w:rPr>
          <w:rFonts w:eastAsia="Malgun Gothic" w:hint="eastAsia"/>
          <w:lang w:eastAsia="ko-KR"/>
        </w:rPr>
        <w:t xml:space="preserve"> difficult to assess due to data measurement issues</w:t>
      </w:r>
      <w:r w:rsidR="00375C7A">
        <w:rPr>
          <w:rFonts w:eastAsia="Malgun Gothic"/>
          <w:lang w:eastAsia="ko-KR"/>
        </w:rPr>
        <w:t>.</w:t>
      </w:r>
    </w:p>
    <w:p w:rsidR="00EE7D0B" w:rsidRDefault="005028E7" w:rsidP="00F56C80">
      <w:pPr>
        <w:pStyle w:val="BodyText"/>
      </w:pPr>
      <w:r>
        <w:t xml:space="preserve">Mongolia </w:t>
      </w:r>
      <w:r w:rsidR="005C5057">
        <w:t>compares well in narrowing</w:t>
      </w:r>
      <w:r>
        <w:t xml:space="preserve"> gender equality gaps</w:t>
      </w:r>
      <w:r w:rsidR="005C5057" w:rsidRPr="00242A6C">
        <w:rPr>
          <w:rStyle w:val="FootnoteReference"/>
          <w:rFonts w:ascii="Franklin Gothic Book" w:hAnsi="Franklin Gothic Book"/>
        </w:rPr>
        <w:footnoteReference w:id="10"/>
      </w:r>
      <w:r w:rsidR="00A20511">
        <w:t>.</w:t>
      </w:r>
      <w:r>
        <w:t xml:space="preserve"> </w:t>
      </w:r>
      <w:r w:rsidR="00937DAC" w:rsidRPr="006F5C61">
        <w:t>Mongolia</w:t>
      </w:r>
      <w:r w:rsidR="00937DAC">
        <w:t>n</w:t>
      </w:r>
      <w:r w:rsidR="00937DAC" w:rsidRPr="006F5C61">
        <w:t xml:space="preserve"> girls and women </w:t>
      </w:r>
      <w:r w:rsidR="00937DAC">
        <w:t>have</w:t>
      </w:r>
      <w:r w:rsidR="00937DAC" w:rsidRPr="006F5C61">
        <w:t xml:space="preserve"> higher rates of </w:t>
      </w:r>
      <w:r w:rsidR="00F56C80">
        <w:t xml:space="preserve">secondary school </w:t>
      </w:r>
      <w:r w:rsidR="00937DAC" w:rsidRPr="006F5C61">
        <w:t xml:space="preserve">education and literacy </w:t>
      </w:r>
      <w:r w:rsidR="00937DAC">
        <w:t xml:space="preserve">than boys and men, but this </w:t>
      </w:r>
      <w:r w:rsidR="00937DAC" w:rsidRPr="006F5C61">
        <w:t>do</w:t>
      </w:r>
      <w:r w:rsidR="00937DAC">
        <w:t>es</w:t>
      </w:r>
      <w:r w:rsidR="00937DAC" w:rsidRPr="006F5C61">
        <w:t xml:space="preserve"> not translate into higher salaries or employment positions for women. Fewer women are in </w:t>
      </w:r>
      <w:r w:rsidR="00937DAC">
        <w:t xml:space="preserve">management and </w:t>
      </w:r>
      <w:r w:rsidR="003B468C">
        <w:t xml:space="preserve">there are </w:t>
      </w:r>
      <w:r w:rsidR="00937DAC">
        <w:t>gender-</w:t>
      </w:r>
      <w:r w:rsidR="003B468C">
        <w:t>based salary gaps</w:t>
      </w:r>
      <w:r w:rsidR="00937DAC" w:rsidRPr="006F5C61">
        <w:t xml:space="preserve">. </w:t>
      </w:r>
      <w:r w:rsidR="0032667F">
        <w:t>This situation</w:t>
      </w:r>
      <w:r w:rsidR="00937DAC" w:rsidRPr="006F5C61">
        <w:t xml:space="preserve"> </w:t>
      </w:r>
      <w:r w:rsidR="00A20511">
        <w:t>has</w:t>
      </w:r>
      <w:r w:rsidR="00937DAC" w:rsidRPr="006F5C61">
        <w:t xml:space="preserve"> detrimental impacts both on the education of boys, and </w:t>
      </w:r>
      <w:r w:rsidR="00937DAC">
        <w:t xml:space="preserve">on </w:t>
      </w:r>
      <w:r w:rsidR="00937DAC" w:rsidRPr="006F5C61">
        <w:t xml:space="preserve">women’s </w:t>
      </w:r>
      <w:r w:rsidR="00810668" w:rsidRPr="006F5C61">
        <w:t xml:space="preserve">career </w:t>
      </w:r>
      <w:r w:rsidR="00810668">
        <w:t>opportunities</w:t>
      </w:r>
      <w:r w:rsidR="00937DAC">
        <w:t>. The social and gender impacts of the boom-bust economic cycle include increasing</w:t>
      </w:r>
      <w:r w:rsidR="00937DAC" w:rsidRPr="00D70F75">
        <w:t xml:space="preserve"> domestic violence and a</w:t>
      </w:r>
      <w:r w:rsidR="00937DAC">
        <w:t>lcohol abuse</w:t>
      </w:r>
      <w:r w:rsidR="00937DAC" w:rsidRPr="003B468C">
        <w:t>.</w:t>
      </w:r>
      <w:r w:rsidR="003B468C">
        <w:t xml:space="preserve"> </w:t>
      </w:r>
      <w:r w:rsidR="00F56C80">
        <w:rPr>
          <w:rFonts w:eastAsia="Malgun Gothic" w:hint="eastAsia"/>
          <w:lang w:eastAsia="ko-KR"/>
        </w:rPr>
        <w:t xml:space="preserve">The Gender Equality Law enacted </w:t>
      </w:r>
      <w:r w:rsidR="004A315C">
        <w:rPr>
          <w:rFonts w:eastAsia="Malgun Gothic" w:hint="eastAsia"/>
          <w:lang w:eastAsia="ko-KR"/>
        </w:rPr>
        <w:t>in 2011</w:t>
      </w:r>
      <w:r w:rsidR="00F56C80">
        <w:rPr>
          <w:rFonts w:eastAsia="Malgun Gothic" w:hint="eastAsia"/>
          <w:lang w:eastAsia="ko-KR"/>
        </w:rPr>
        <w:t xml:space="preserve"> </w:t>
      </w:r>
      <w:r w:rsidR="004A315C">
        <w:rPr>
          <w:rFonts w:eastAsia="Malgun Gothic"/>
          <w:lang w:eastAsia="ko-KR"/>
        </w:rPr>
        <w:t>is</w:t>
      </w:r>
      <w:r w:rsidR="00F56C80">
        <w:rPr>
          <w:rFonts w:eastAsia="Malgun Gothic" w:hint="eastAsia"/>
          <w:lang w:eastAsia="ko-KR"/>
        </w:rPr>
        <w:t xml:space="preserve"> a legal foundation for ensuring equal participation of men and women and embedding gender-sensitive practices</w:t>
      </w:r>
      <w:r w:rsidR="00F56C80">
        <w:rPr>
          <w:rFonts w:eastAsia="Malgun Gothic"/>
          <w:lang w:eastAsia="ko-KR"/>
        </w:rPr>
        <w:t>.</w:t>
      </w:r>
    </w:p>
    <w:p w:rsidR="00EE7D0B" w:rsidRPr="006D19F3" w:rsidRDefault="00EE7D0B" w:rsidP="008155EE">
      <w:pPr>
        <w:pStyle w:val="Heading2"/>
        <w:rPr>
          <w:color w:val="auto"/>
        </w:rPr>
      </w:pPr>
      <w:r w:rsidRPr="006D19F3">
        <w:rPr>
          <w:color w:val="auto"/>
        </w:rPr>
        <w:t>Australian aid to Mongolia</w:t>
      </w:r>
      <w:r w:rsidR="005D5C34" w:rsidRPr="006D19F3">
        <w:rPr>
          <w:color w:val="auto"/>
        </w:rPr>
        <w:t xml:space="preserve"> </w:t>
      </w:r>
    </w:p>
    <w:p w:rsidR="00BA190C" w:rsidRDefault="003B468C" w:rsidP="00BA190C">
      <w:pPr>
        <w:pStyle w:val="BodyText"/>
        <w:rPr>
          <w:iCs/>
          <w:lang w:eastAsia="en-US"/>
        </w:rPr>
      </w:pPr>
      <w:r>
        <w:t xml:space="preserve">It is in both </w:t>
      </w:r>
      <w:r w:rsidR="0093693D">
        <w:t>countries’</w:t>
      </w:r>
      <w:r w:rsidR="00BA190C">
        <w:t xml:space="preserve"> </w:t>
      </w:r>
      <w:r w:rsidR="0093693D">
        <w:t>interests that Mongolia has a well-managed and inclusive economy. Australia’s</w:t>
      </w:r>
      <w:r w:rsidR="00BA190C">
        <w:t xml:space="preserve"> aid program </w:t>
      </w:r>
      <w:r w:rsidR="004332D4">
        <w:t xml:space="preserve">aims to </w:t>
      </w:r>
      <w:r w:rsidR="00BA190C" w:rsidRPr="000C09AD">
        <w:rPr>
          <w:iCs/>
          <w:lang w:eastAsia="en-US"/>
        </w:rPr>
        <w:t>promote</w:t>
      </w:r>
      <w:r w:rsidR="00242A6C">
        <w:rPr>
          <w:iCs/>
          <w:lang w:eastAsia="en-US"/>
        </w:rPr>
        <w:t xml:space="preserve"> well-</w:t>
      </w:r>
      <w:r w:rsidR="00BA190C" w:rsidRPr="000C09AD">
        <w:rPr>
          <w:iCs/>
          <w:lang w:eastAsia="en-US"/>
        </w:rPr>
        <w:t xml:space="preserve">governed, </w:t>
      </w:r>
      <w:r w:rsidR="0093693D">
        <w:rPr>
          <w:iCs/>
          <w:lang w:eastAsia="en-US"/>
        </w:rPr>
        <w:t>efficient public and private sector</w:t>
      </w:r>
      <w:r w:rsidR="00034187">
        <w:rPr>
          <w:iCs/>
          <w:lang w:eastAsia="en-US"/>
        </w:rPr>
        <w:t>s that support</w:t>
      </w:r>
      <w:r w:rsidR="0093693D">
        <w:rPr>
          <w:iCs/>
          <w:lang w:eastAsia="en-US"/>
        </w:rPr>
        <w:t xml:space="preserve"> Mongolian communities to benefit from resource-driven growth</w:t>
      </w:r>
      <w:r w:rsidR="00BA190C">
        <w:rPr>
          <w:iCs/>
          <w:lang w:eastAsia="en-US"/>
        </w:rPr>
        <w:t>.</w:t>
      </w:r>
      <w:r w:rsidR="00756538">
        <w:rPr>
          <w:iCs/>
          <w:lang w:eastAsia="en-US"/>
        </w:rPr>
        <w:t xml:space="preserve"> Our areas of investment are where Australia has a comparative advantage and are aligned with the development objectives identified by the Government of Mongolia.</w:t>
      </w:r>
    </w:p>
    <w:p w:rsidR="00756538" w:rsidRDefault="00756538" w:rsidP="00BA190C">
      <w:pPr>
        <w:pStyle w:val="BodyText"/>
      </w:pPr>
      <w:r w:rsidRPr="00756538">
        <w:rPr>
          <w:iCs/>
          <w:lang w:eastAsia="en-US"/>
        </w:rPr>
        <w:t>The rapid development of Mon</w:t>
      </w:r>
      <w:r w:rsidR="00861B29">
        <w:rPr>
          <w:iCs/>
          <w:lang w:eastAsia="en-US"/>
        </w:rPr>
        <w:t>golia’s mining sector places</w:t>
      </w:r>
      <w:r w:rsidRPr="00756538">
        <w:rPr>
          <w:iCs/>
          <w:lang w:eastAsia="en-US"/>
        </w:rPr>
        <w:t xml:space="preserve"> demands on human resources in the public and private sectors.</w:t>
      </w:r>
      <w:r>
        <w:rPr>
          <w:iCs/>
          <w:lang w:eastAsia="en-US"/>
        </w:rPr>
        <w:t xml:space="preserve"> </w:t>
      </w:r>
      <w:r w:rsidR="00861B29">
        <w:rPr>
          <w:iCs/>
          <w:lang w:eastAsia="en-US"/>
        </w:rPr>
        <w:t>A</w:t>
      </w:r>
      <w:r w:rsidR="00861B29" w:rsidRPr="00C7513B">
        <w:t xml:space="preserve"> study on Mongolia’s competitiv</w:t>
      </w:r>
      <w:r w:rsidR="00861B29">
        <w:t>eness</w:t>
      </w:r>
      <w:r w:rsidR="005D5C34">
        <w:rPr>
          <w:rStyle w:val="FootnoteReference"/>
        </w:rPr>
        <w:footnoteReference w:id="11"/>
      </w:r>
      <w:r w:rsidR="00861B29">
        <w:t xml:space="preserve"> found</w:t>
      </w:r>
      <w:r w:rsidR="00861B29" w:rsidRPr="00C7513B">
        <w:t xml:space="preserve"> that </w:t>
      </w:r>
      <w:r w:rsidR="00861B29">
        <w:t>attracting and retaining skilled workers</w:t>
      </w:r>
      <w:r w:rsidR="00861B29" w:rsidRPr="00C7513B">
        <w:t xml:space="preserve"> </w:t>
      </w:r>
      <w:r w:rsidR="00861B29">
        <w:t>is</w:t>
      </w:r>
      <w:r w:rsidR="00861B29" w:rsidRPr="00C7513B">
        <w:t xml:space="preserve"> the hi</w:t>
      </w:r>
      <w:r w:rsidR="00861B29">
        <w:t>ghest priority for businesses, but Mongolia’s</w:t>
      </w:r>
      <w:r w:rsidR="00861B29" w:rsidRPr="00C7513B">
        <w:t xml:space="preserve"> education system </w:t>
      </w:r>
      <w:r w:rsidR="00861B29">
        <w:t xml:space="preserve">is not </w:t>
      </w:r>
      <w:r w:rsidR="00861B29" w:rsidRPr="00C7513B">
        <w:t>me</w:t>
      </w:r>
      <w:r w:rsidR="00861B29">
        <w:t>e</w:t>
      </w:r>
      <w:r w:rsidR="00861B29" w:rsidRPr="00C7513B">
        <w:t>t</w:t>
      </w:r>
      <w:r w:rsidR="00861B29">
        <w:t>ing</w:t>
      </w:r>
      <w:r w:rsidR="00861B29" w:rsidRPr="00C7513B">
        <w:t xml:space="preserve"> the needs of a competitive economy.</w:t>
      </w:r>
      <w:r w:rsidR="00861B29">
        <w:t xml:space="preserve"> </w:t>
      </w:r>
    </w:p>
    <w:p w:rsidR="004508B3" w:rsidRDefault="0093693D" w:rsidP="00EE7D0B">
      <w:pPr>
        <w:pStyle w:val="BodyText"/>
      </w:pPr>
      <w:r>
        <w:t>In 2014–15</w:t>
      </w:r>
      <w:r w:rsidR="001C7F08">
        <w:t xml:space="preserve"> t</w:t>
      </w:r>
      <w:r w:rsidR="00EE7D0B">
        <w:t xml:space="preserve">he bilateral </w:t>
      </w:r>
      <w:r w:rsidR="00105BCA">
        <w:t xml:space="preserve">aid </w:t>
      </w:r>
      <w:r w:rsidR="00EE7D0B">
        <w:t xml:space="preserve">program </w:t>
      </w:r>
      <w:r w:rsidR="00FA0B92">
        <w:t xml:space="preserve">supported </w:t>
      </w:r>
      <w:r w:rsidR="001C7F08">
        <w:t xml:space="preserve">three </w:t>
      </w:r>
      <w:r w:rsidR="005D5C34">
        <w:t>investments</w:t>
      </w:r>
      <w:r w:rsidR="001C7F08">
        <w:t xml:space="preserve">: </w:t>
      </w:r>
      <w:r w:rsidR="00EE7D0B">
        <w:t xml:space="preserve">the </w:t>
      </w:r>
      <w:r w:rsidR="001C7F08">
        <w:t>A</w:t>
      </w:r>
      <w:r w:rsidR="0032667F">
        <w:t xml:space="preserve">ustralia </w:t>
      </w:r>
      <w:r w:rsidR="001C7F08">
        <w:t>A</w:t>
      </w:r>
      <w:r w:rsidR="0032667F">
        <w:t xml:space="preserve">wards </w:t>
      </w:r>
      <w:r w:rsidR="001C7F08">
        <w:t>M</w:t>
      </w:r>
      <w:r w:rsidR="0032667F">
        <w:t>ongolia</w:t>
      </w:r>
      <w:r w:rsidR="001C7F08">
        <w:t xml:space="preserve"> scholarships program;</w:t>
      </w:r>
      <w:r w:rsidR="00EE7D0B">
        <w:t xml:space="preserve"> </w:t>
      </w:r>
      <w:r>
        <w:t>AMEP</w:t>
      </w:r>
      <w:r w:rsidR="001C7F08">
        <w:t>;</w:t>
      </w:r>
      <w:r w:rsidR="00EE7D0B">
        <w:t xml:space="preserve"> and</w:t>
      </w:r>
      <w:r w:rsidR="00242A6C">
        <w:t xml:space="preserve"> the UNICEF-</w:t>
      </w:r>
      <w:r w:rsidR="001C7F08">
        <w:t xml:space="preserve">led </w:t>
      </w:r>
      <w:r w:rsidR="00EE7D0B">
        <w:t>Water, Sanitation and Hyg</w:t>
      </w:r>
      <w:r w:rsidR="00610400">
        <w:t xml:space="preserve">iene </w:t>
      </w:r>
      <w:r w:rsidR="001C7F08">
        <w:t xml:space="preserve">(WASH) </w:t>
      </w:r>
      <w:r w:rsidR="00610400">
        <w:t>project</w:t>
      </w:r>
      <w:r w:rsidR="00EE7D0B">
        <w:t>.</w:t>
      </w:r>
      <w:r w:rsidR="00EA0947">
        <w:t xml:space="preserve"> </w:t>
      </w:r>
    </w:p>
    <w:p w:rsidR="00EE7D0B" w:rsidRDefault="00E40A05" w:rsidP="00EE7D0B">
      <w:pPr>
        <w:pStyle w:val="BodyText"/>
      </w:pPr>
      <w:r>
        <w:lastRenderedPageBreak/>
        <w:t>F</w:t>
      </w:r>
      <w:r w:rsidR="00762974">
        <w:t>rom</w:t>
      </w:r>
      <w:r w:rsidR="00EA0947">
        <w:t xml:space="preserve"> </w:t>
      </w:r>
      <w:r w:rsidR="00105BCA">
        <w:t>June 2015</w:t>
      </w:r>
      <w:r>
        <w:t xml:space="preserve"> the </w:t>
      </w:r>
      <w:r w:rsidR="00105BCA">
        <w:t xml:space="preserve">bilateral </w:t>
      </w:r>
      <w:r>
        <w:t xml:space="preserve">program </w:t>
      </w:r>
      <w:r w:rsidR="0093693D">
        <w:t>consolidate</w:t>
      </w:r>
      <w:r w:rsidR="004332D4">
        <w:t>d</w:t>
      </w:r>
      <w:r w:rsidR="0093693D">
        <w:t xml:space="preserve"> to</w:t>
      </w:r>
      <w:r w:rsidR="00FA0B92">
        <w:t xml:space="preserve"> two</w:t>
      </w:r>
      <w:r w:rsidR="00A87F87">
        <w:t xml:space="preserve"> sectors</w:t>
      </w:r>
      <w:r w:rsidR="0093693D">
        <w:t>—human resource development</w:t>
      </w:r>
      <w:r w:rsidR="00EB5ABE">
        <w:t xml:space="preserve"> (</w:t>
      </w:r>
      <w:r w:rsidR="00720276">
        <w:t>through</w:t>
      </w:r>
      <w:r w:rsidR="00EB5ABE">
        <w:t xml:space="preserve"> </w:t>
      </w:r>
      <w:r w:rsidR="0032667F">
        <w:t>the</w:t>
      </w:r>
      <w:r w:rsidR="00EB5ABE">
        <w:t xml:space="preserve"> scholarships program)</w:t>
      </w:r>
      <w:r w:rsidR="0093693D">
        <w:t xml:space="preserve"> and </w:t>
      </w:r>
      <w:r w:rsidR="00762974">
        <w:t xml:space="preserve">a modest investment in </w:t>
      </w:r>
      <w:r w:rsidR="00A87F87">
        <w:t xml:space="preserve">the </w:t>
      </w:r>
      <w:r w:rsidR="0093693D">
        <w:t>extractives</w:t>
      </w:r>
      <w:r w:rsidR="00A87F87">
        <w:t xml:space="preserve"> sector</w:t>
      </w:r>
      <w:r w:rsidR="00762974">
        <w:t xml:space="preserve">. This aligns </w:t>
      </w:r>
      <w:r w:rsidR="002D2714">
        <w:t xml:space="preserve">with </w:t>
      </w:r>
      <w:r w:rsidR="00A87F87">
        <w:t xml:space="preserve">the 2014 </w:t>
      </w:r>
      <w:r w:rsidR="002D2714">
        <w:t>Austra</w:t>
      </w:r>
      <w:r w:rsidR="00D60D12">
        <w:t xml:space="preserve">lian aid policy </w:t>
      </w:r>
      <w:r w:rsidR="00A87F87">
        <w:t xml:space="preserve">priorities </w:t>
      </w:r>
      <w:r w:rsidR="00570432">
        <w:t>and</w:t>
      </w:r>
      <w:r w:rsidR="004508B3">
        <w:t xml:space="preserve"> </w:t>
      </w:r>
      <w:r w:rsidR="004332D4">
        <w:t>Australia’s</w:t>
      </w:r>
      <w:r w:rsidR="00105BCA">
        <w:t xml:space="preserve"> </w:t>
      </w:r>
      <w:r w:rsidR="004508B3">
        <w:t xml:space="preserve">Economic Diplomacy strategy for Mongolia. </w:t>
      </w:r>
      <w:r w:rsidR="00A87F87">
        <w:t xml:space="preserve">Aid program </w:t>
      </w:r>
      <w:r w:rsidR="00EB5ABE" w:rsidRPr="00EB5ABE">
        <w:t>engage</w:t>
      </w:r>
      <w:r w:rsidR="00A87F87">
        <w:t>ment</w:t>
      </w:r>
      <w:r w:rsidR="00EB5ABE" w:rsidRPr="00EB5ABE">
        <w:t xml:space="preserve"> on governance and the investment climate can improve the speed and focus of large commercial decisions that are worth</w:t>
      </w:r>
      <w:r w:rsidR="00A87F87">
        <w:t xml:space="preserve"> many times the aid input. Transparent and predictable regulation benefits Australian business investments and </w:t>
      </w:r>
      <w:r w:rsidR="00EB5ABE" w:rsidRPr="00EB5ABE">
        <w:t>is relevant to both Governments’ focus on using aid for trade to deliver prosperity by catalysing private investment.</w:t>
      </w:r>
    </w:p>
    <w:p w:rsidR="000B5A68" w:rsidRDefault="000B5A68" w:rsidP="000B5A68">
      <w:pPr>
        <w:pStyle w:val="ListBullet"/>
        <w:numPr>
          <w:ilvl w:val="0"/>
          <w:numId w:val="0"/>
        </w:numPr>
      </w:pPr>
      <w:r w:rsidRPr="000C09AD">
        <w:rPr>
          <w:lang w:eastAsia="en-US"/>
        </w:rPr>
        <w:t xml:space="preserve">Mongolia’s donor landscape includes large credit and grant donors such as China, </w:t>
      </w:r>
      <w:r w:rsidR="008B6A9A">
        <w:rPr>
          <w:lang w:eastAsia="en-US"/>
        </w:rPr>
        <w:t xml:space="preserve">the </w:t>
      </w:r>
      <w:r w:rsidRPr="000C09AD">
        <w:rPr>
          <w:lang w:eastAsia="en-US"/>
        </w:rPr>
        <w:t xml:space="preserve">Japan International Cooperation Agency, </w:t>
      </w:r>
      <w:r w:rsidR="008B6A9A">
        <w:rPr>
          <w:lang w:eastAsia="en-US"/>
        </w:rPr>
        <w:t xml:space="preserve">the </w:t>
      </w:r>
      <w:r w:rsidRPr="000C09AD">
        <w:rPr>
          <w:lang w:eastAsia="en-US"/>
        </w:rPr>
        <w:t>US Millennium Challenge Corporation, Korea International Cooperation Agency</w:t>
      </w:r>
      <w:r>
        <w:rPr>
          <w:lang w:eastAsia="en-US"/>
        </w:rPr>
        <w:t xml:space="preserve"> </w:t>
      </w:r>
      <w:r w:rsidRPr="000C09AD">
        <w:rPr>
          <w:lang w:eastAsia="en-US"/>
        </w:rPr>
        <w:t>and Asian Development Bank</w:t>
      </w:r>
      <w:r>
        <w:rPr>
          <w:lang w:eastAsia="en-US"/>
        </w:rPr>
        <w:t xml:space="preserve">. </w:t>
      </w:r>
      <w:r w:rsidR="00242A6C">
        <w:rPr>
          <w:lang w:eastAsia="en-US"/>
        </w:rPr>
        <w:t>By budget A</w:t>
      </w:r>
      <w:r w:rsidRPr="000C09AD">
        <w:rPr>
          <w:lang w:eastAsia="en-US"/>
        </w:rPr>
        <w:t xml:space="preserve">ustralia ranks </w:t>
      </w:r>
      <w:r w:rsidR="0048082C">
        <w:rPr>
          <w:lang w:eastAsia="en-US"/>
        </w:rPr>
        <w:t>8</w:t>
      </w:r>
      <w:r w:rsidR="0048082C" w:rsidRPr="0048082C">
        <w:rPr>
          <w:vertAlign w:val="superscript"/>
          <w:lang w:eastAsia="en-US"/>
        </w:rPr>
        <w:t>th</w:t>
      </w:r>
      <w:r w:rsidR="0048082C">
        <w:rPr>
          <w:lang w:eastAsia="en-US"/>
        </w:rPr>
        <w:t xml:space="preserve"> among OECD D</w:t>
      </w:r>
      <w:r w:rsidR="00242A6C">
        <w:rPr>
          <w:lang w:eastAsia="en-US"/>
        </w:rPr>
        <w:t xml:space="preserve">evelopment </w:t>
      </w:r>
      <w:r w:rsidR="0048082C">
        <w:rPr>
          <w:lang w:eastAsia="en-US"/>
        </w:rPr>
        <w:t>A</w:t>
      </w:r>
      <w:r w:rsidR="00242A6C">
        <w:rPr>
          <w:lang w:eastAsia="en-US"/>
        </w:rPr>
        <w:t xml:space="preserve">ssistance </w:t>
      </w:r>
      <w:r w:rsidR="0048082C">
        <w:rPr>
          <w:lang w:eastAsia="en-US"/>
        </w:rPr>
        <w:t>C</w:t>
      </w:r>
      <w:r w:rsidR="00242A6C">
        <w:rPr>
          <w:lang w:eastAsia="en-US"/>
        </w:rPr>
        <w:t>ommittee</w:t>
      </w:r>
      <w:r w:rsidR="00C665B4">
        <w:rPr>
          <w:lang w:eastAsia="en-US"/>
        </w:rPr>
        <w:t xml:space="preserve"> donors</w:t>
      </w:r>
      <w:r w:rsidR="0048082C" w:rsidRPr="00242A6C">
        <w:rPr>
          <w:rStyle w:val="FootnoteReference"/>
          <w:rFonts w:ascii="Franklin Gothic Book" w:hAnsi="Franklin Gothic Book"/>
          <w:lang w:eastAsia="en-US"/>
        </w:rPr>
        <w:footnoteReference w:id="12"/>
      </w:r>
      <w:r w:rsidRPr="00242A6C">
        <w:rPr>
          <w:lang w:eastAsia="en-US"/>
        </w:rPr>
        <w:t>,</w:t>
      </w:r>
      <w:r w:rsidRPr="000C09AD">
        <w:rPr>
          <w:lang w:eastAsia="en-US"/>
        </w:rPr>
        <w:t xml:space="preserve"> </w:t>
      </w:r>
      <w:r w:rsidR="00A87F87">
        <w:rPr>
          <w:lang w:eastAsia="en-US"/>
        </w:rPr>
        <w:t>and</w:t>
      </w:r>
      <w:r w:rsidR="0048082C">
        <w:rPr>
          <w:lang w:eastAsia="en-US"/>
        </w:rPr>
        <w:t xml:space="preserve"> </w:t>
      </w:r>
      <w:r w:rsidR="00A87F87">
        <w:rPr>
          <w:lang w:eastAsia="en-US"/>
        </w:rPr>
        <w:t>is</w:t>
      </w:r>
      <w:r w:rsidR="00242A6C">
        <w:rPr>
          <w:lang w:eastAsia="en-US"/>
        </w:rPr>
        <w:t xml:space="preserve"> one </w:t>
      </w:r>
      <w:r w:rsidR="0048082C">
        <w:rPr>
          <w:lang w:eastAsia="en-US"/>
        </w:rPr>
        <w:t>of</w:t>
      </w:r>
      <w:r w:rsidRPr="000C09AD">
        <w:rPr>
          <w:lang w:eastAsia="en-US"/>
        </w:rPr>
        <w:t xml:space="preserve"> the largest grant donors</w:t>
      </w:r>
      <w:r>
        <w:rPr>
          <w:lang w:eastAsia="en-US"/>
        </w:rPr>
        <w:t>.</w:t>
      </w:r>
      <w:r w:rsidR="00E1028D">
        <w:rPr>
          <w:lang w:eastAsia="en-US"/>
        </w:rPr>
        <w:t xml:space="preserve"> Donor coordination by the Mongolian Government is limited. </w:t>
      </w:r>
    </w:p>
    <w:p w:rsidR="000D733F" w:rsidRPr="006D19F3" w:rsidRDefault="000D733F" w:rsidP="000D733F">
      <w:pPr>
        <w:pStyle w:val="Heading2"/>
        <w:rPr>
          <w:color w:val="auto"/>
          <w:sz w:val="28"/>
        </w:rPr>
      </w:pPr>
      <w:r w:rsidRPr="006D19F3">
        <w:rPr>
          <w:color w:val="auto"/>
          <w:szCs w:val="24"/>
        </w:rPr>
        <w:t>Expenditure</w:t>
      </w:r>
    </w:p>
    <w:p w:rsidR="00916507" w:rsidRDefault="00FA0B92" w:rsidP="005B040A">
      <w:pPr>
        <w:pStyle w:val="BodyText"/>
      </w:pPr>
      <w:bookmarkStart w:id="2" w:name="_Toc373853206"/>
      <w:r>
        <w:t>In 2014</w:t>
      </w:r>
      <w:r w:rsidR="00105BCA">
        <w:t>–</w:t>
      </w:r>
      <w:r>
        <w:t>15</w:t>
      </w:r>
      <w:r w:rsidR="001C5B06" w:rsidRPr="00DA681D">
        <w:t xml:space="preserve"> Australia’s </w:t>
      </w:r>
      <w:r w:rsidR="001C5B06">
        <w:t>bilateral</w:t>
      </w:r>
      <w:r w:rsidR="001C5B06" w:rsidRPr="00DA681D">
        <w:t xml:space="preserve"> aid</w:t>
      </w:r>
      <w:r w:rsidR="00A87F87">
        <w:t xml:space="preserve"> funding</w:t>
      </w:r>
      <w:r w:rsidR="001C5B06" w:rsidRPr="00DA681D">
        <w:t xml:space="preserve"> to Mongolia </w:t>
      </w:r>
      <w:r w:rsidR="00AD0AEA">
        <w:t>was</w:t>
      </w:r>
      <w:r>
        <w:t xml:space="preserve"> </w:t>
      </w:r>
      <w:r w:rsidR="0032667F" w:rsidRPr="0032667F">
        <w:t>$9.8</w:t>
      </w:r>
      <w:r>
        <w:t xml:space="preserve"> million</w:t>
      </w:r>
      <w:r w:rsidR="001C5B06">
        <w:t>, up from</w:t>
      </w:r>
      <w:r>
        <w:t xml:space="preserve"> </w:t>
      </w:r>
      <w:r w:rsidR="004332D4">
        <w:t xml:space="preserve">        </w:t>
      </w:r>
      <w:r w:rsidRPr="00DA681D">
        <w:t>$9.6 million</w:t>
      </w:r>
      <w:r>
        <w:t xml:space="preserve"> in 2013</w:t>
      </w:r>
      <w:r w:rsidR="008B6A9A">
        <w:t>–</w:t>
      </w:r>
      <w:r>
        <w:t>14</w:t>
      </w:r>
      <w:r w:rsidR="001C5B06" w:rsidRPr="00DA681D">
        <w:t xml:space="preserve">. </w:t>
      </w:r>
      <w:r w:rsidR="00762974">
        <w:t>A</w:t>
      </w:r>
      <w:r w:rsidR="001C5B06">
        <w:t xml:space="preserve"> budget </w:t>
      </w:r>
      <w:r w:rsidR="00A87F87">
        <w:t xml:space="preserve">reduction of 40 per cent </w:t>
      </w:r>
      <w:r w:rsidR="00762974">
        <w:t>take</w:t>
      </w:r>
      <w:r w:rsidR="00A87F87">
        <w:t>s</w:t>
      </w:r>
      <w:r w:rsidR="00762974">
        <w:t xml:space="preserve"> effect in 2015–16</w:t>
      </w:r>
      <w:r w:rsidR="004A315C">
        <w:t xml:space="preserve"> and will reduce</w:t>
      </w:r>
      <w:r w:rsidR="00762974" w:rsidRPr="004A315C">
        <w:t xml:space="preserve"> the scope and scale of the </w:t>
      </w:r>
      <w:r w:rsidR="004A315C">
        <w:t xml:space="preserve">extractives and scholarships </w:t>
      </w:r>
      <w:r w:rsidR="004B429F" w:rsidRPr="004A315C">
        <w:t>program</w:t>
      </w:r>
      <w:r w:rsidR="004A315C">
        <w:t>s.</w:t>
      </w:r>
      <w:r w:rsidR="004B429F" w:rsidRPr="004A315C">
        <w:t xml:space="preserve"> </w:t>
      </w:r>
      <w:r w:rsidR="004A315C">
        <w:t xml:space="preserve"> </w:t>
      </w:r>
      <w:r w:rsidR="004B429F" w:rsidRPr="004A315C">
        <w:t xml:space="preserve"> </w:t>
      </w:r>
      <w:r w:rsidR="00762974" w:rsidRPr="004A315C">
        <w:t xml:space="preserve"> </w:t>
      </w:r>
    </w:p>
    <w:tbl>
      <w:tblPr>
        <w:tblStyle w:val="APPR"/>
        <w:tblpPr w:leftFromText="180" w:rightFromText="180" w:vertAnchor="text" w:horzAnchor="margin" w:tblpY="125"/>
        <w:tblW w:w="5000" w:type="pct"/>
        <w:tblLayout w:type="fixed"/>
        <w:tblLook w:val="0000" w:firstRow="0" w:lastRow="0" w:firstColumn="0" w:lastColumn="0" w:noHBand="0" w:noVBand="0"/>
      </w:tblPr>
      <w:tblGrid>
        <w:gridCol w:w="5972"/>
        <w:gridCol w:w="1000"/>
        <w:gridCol w:w="1465"/>
      </w:tblGrid>
      <w:tr w:rsidR="008155EE" w:rsidRPr="00180B19" w:rsidTr="008155EE">
        <w:trPr>
          <w:cnfStyle w:val="000000010000" w:firstRow="0" w:lastRow="0" w:firstColumn="0" w:lastColumn="0" w:oddVBand="0" w:evenVBand="0" w:oddHBand="0" w:evenHBand="1" w:firstRowFirstColumn="0" w:firstRowLastColumn="0" w:lastRowFirstColumn="0" w:lastRowLastColumn="0"/>
        </w:trPr>
        <w:tc>
          <w:tcPr>
            <w:tcW w:w="6184" w:type="dxa"/>
          </w:tcPr>
          <w:p w:rsidR="008155EE" w:rsidRPr="00180B19" w:rsidRDefault="008155EE" w:rsidP="00AD0AEA">
            <w:pPr>
              <w:pStyle w:val="TableTextColumnHeading"/>
            </w:pPr>
            <w:r w:rsidRPr="00180B19">
              <w:t>Objective</w:t>
            </w:r>
          </w:p>
        </w:tc>
        <w:tc>
          <w:tcPr>
            <w:tcW w:w="1005" w:type="dxa"/>
          </w:tcPr>
          <w:p w:rsidR="008155EE" w:rsidRPr="00180B19" w:rsidRDefault="008155EE" w:rsidP="00AD0AEA">
            <w:pPr>
              <w:pStyle w:val="TableTextColumnHeading"/>
            </w:pPr>
            <w:r w:rsidRPr="00180B19">
              <w:t>A$ million</w:t>
            </w:r>
          </w:p>
        </w:tc>
        <w:tc>
          <w:tcPr>
            <w:tcW w:w="1476" w:type="dxa"/>
          </w:tcPr>
          <w:p w:rsidR="008155EE" w:rsidRPr="00180B19" w:rsidRDefault="008155EE" w:rsidP="00AD0AEA">
            <w:pPr>
              <w:pStyle w:val="TableTextColumnHeading"/>
            </w:pPr>
            <w:r w:rsidRPr="00180B19">
              <w:t>% of bilateral program</w:t>
            </w:r>
          </w:p>
        </w:tc>
      </w:tr>
      <w:tr w:rsidR="008155EE" w:rsidRPr="00180B19" w:rsidTr="008155EE">
        <w:trPr>
          <w:cnfStyle w:val="000000010000" w:firstRow="0" w:lastRow="0" w:firstColumn="0" w:lastColumn="0" w:oddVBand="0" w:evenVBand="0" w:oddHBand="0" w:evenHBand="1" w:firstRowFirstColumn="0" w:firstRowLastColumn="0" w:lastRowFirstColumn="0" w:lastRowLastColumn="0"/>
        </w:trPr>
        <w:tc>
          <w:tcPr>
            <w:tcW w:w="6184" w:type="dxa"/>
          </w:tcPr>
          <w:p w:rsidR="008155EE" w:rsidRPr="00C94AD7" w:rsidRDefault="008155EE" w:rsidP="008155EE">
            <w:pPr>
              <w:pStyle w:val="TableTextEntries"/>
            </w:pPr>
            <w:r w:rsidRPr="00C94AD7">
              <w:t>Objective 1</w:t>
            </w:r>
            <w:r>
              <w:t>: Through post graduate scholarships, Mongolia’s government, civil society and private sector deliver better services.</w:t>
            </w:r>
          </w:p>
        </w:tc>
        <w:tc>
          <w:tcPr>
            <w:tcW w:w="1005" w:type="dxa"/>
          </w:tcPr>
          <w:p w:rsidR="008155EE" w:rsidRPr="00C94AD7" w:rsidRDefault="008155EE" w:rsidP="008155EE">
            <w:pPr>
              <w:pStyle w:val="TableTextEntries"/>
            </w:pPr>
            <w:r>
              <w:t>$6.052</w:t>
            </w:r>
          </w:p>
        </w:tc>
        <w:tc>
          <w:tcPr>
            <w:tcW w:w="1476" w:type="dxa"/>
          </w:tcPr>
          <w:p w:rsidR="008155EE" w:rsidRPr="00C94AD7" w:rsidRDefault="008155EE" w:rsidP="008155EE">
            <w:pPr>
              <w:pStyle w:val="TableTextEntries"/>
            </w:pPr>
            <w:r>
              <w:t>62%</w:t>
            </w:r>
          </w:p>
        </w:tc>
      </w:tr>
      <w:tr w:rsidR="008155EE" w:rsidRPr="00180B19" w:rsidTr="008155EE">
        <w:trPr>
          <w:cnfStyle w:val="000000010000" w:firstRow="0" w:lastRow="0" w:firstColumn="0" w:lastColumn="0" w:oddVBand="0" w:evenVBand="0" w:oddHBand="0" w:evenHBand="1" w:firstRowFirstColumn="0" w:firstRowLastColumn="0" w:lastRowFirstColumn="0" w:lastRowLastColumn="0"/>
        </w:trPr>
        <w:tc>
          <w:tcPr>
            <w:tcW w:w="6184" w:type="dxa"/>
          </w:tcPr>
          <w:p w:rsidR="008155EE" w:rsidRPr="00C94AD7" w:rsidRDefault="008155EE" w:rsidP="008155EE">
            <w:pPr>
              <w:pStyle w:val="TableTextEntries"/>
            </w:pPr>
            <w:r w:rsidRPr="00C94AD7">
              <w:t>Objective 2</w:t>
            </w:r>
            <w:r>
              <w:t>: Mongolians are benefitting from a sustainably-managed mining sector.</w:t>
            </w:r>
          </w:p>
        </w:tc>
        <w:tc>
          <w:tcPr>
            <w:tcW w:w="1005" w:type="dxa"/>
          </w:tcPr>
          <w:p w:rsidR="008155EE" w:rsidRPr="00C94AD7" w:rsidRDefault="008155EE" w:rsidP="008155EE">
            <w:pPr>
              <w:pStyle w:val="TableTextEntries"/>
            </w:pPr>
            <w:r>
              <w:t>$3.545</w:t>
            </w:r>
          </w:p>
        </w:tc>
        <w:tc>
          <w:tcPr>
            <w:tcW w:w="1476" w:type="dxa"/>
          </w:tcPr>
          <w:p w:rsidR="008155EE" w:rsidRPr="00C94AD7" w:rsidRDefault="008155EE" w:rsidP="008155EE">
            <w:pPr>
              <w:pStyle w:val="TableTextEntries"/>
            </w:pPr>
            <w:r>
              <w:t>36%</w:t>
            </w:r>
          </w:p>
        </w:tc>
      </w:tr>
      <w:tr w:rsidR="008155EE" w:rsidRPr="00180B19" w:rsidTr="008155EE">
        <w:trPr>
          <w:cnfStyle w:val="000000010000" w:firstRow="0" w:lastRow="0" w:firstColumn="0" w:lastColumn="0" w:oddVBand="0" w:evenVBand="0" w:oddHBand="0" w:evenHBand="1" w:firstRowFirstColumn="0" w:firstRowLastColumn="0" w:lastRowFirstColumn="0" w:lastRowLastColumn="0"/>
        </w:trPr>
        <w:tc>
          <w:tcPr>
            <w:tcW w:w="6184" w:type="dxa"/>
          </w:tcPr>
          <w:p w:rsidR="00031156" w:rsidRPr="00C94AD7" w:rsidRDefault="008155EE" w:rsidP="008155EE">
            <w:pPr>
              <w:pStyle w:val="TableTextEntries"/>
            </w:pPr>
            <w:r w:rsidRPr="00C94AD7">
              <w:t>Objective 3</w:t>
            </w:r>
            <w:r>
              <w:t>: School communities are accessing improved water and sanitation and have improved hygiene practices.</w:t>
            </w:r>
          </w:p>
        </w:tc>
        <w:tc>
          <w:tcPr>
            <w:tcW w:w="1005" w:type="dxa"/>
          </w:tcPr>
          <w:p w:rsidR="008155EE" w:rsidRPr="00C94AD7" w:rsidRDefault="008155EE" w:rsidP="008155EE">
            <w:pPr>
              <w:pStyle w:val="TableTextEntries"/>
            </w:pPr>
            <w:r>
              <w:t>$nil</w:t>
            </w:r>
            <w:r>
              <w:rPr>
                <w:rStyle w:val="FootnoteReference"/>
              </w:rPr>
              <w:footnoteReference w:id="13"/>
            </w:r>
          </w:p>
        </w:tc>
        <w:tc>
          <w:tcPr>
            <w:tcW w:w="1476" w:type="dxa"/>
          </w:tcPr>
          <w:p w:rsidR="008155EE" w:rsidRPr="00C94AD7" w:rsidRDefault="008155EE" w:rsidP="008155EE">
            <w:pPr>
              <w:pStyle w:val="TableTextEntries"/>
            </w:pPr>
            <w:r>
              <w:t>0%</w:t>
            </w:r>
          </w:p>
        </w:tc>
      </w:tr>
      <w:tr w:rsidR="00031156" w:rsidRPr="00180B19" w:rsidTr="008155EE">
        <w:trPr>
          <w:cnfStyle w:val="000000010000" w:firstRow="0" w:lastRow="0" w:firstColumn="0" w:lastColumn="0" w:oddVBand="0" w:evenVBand="0" w:oddHBand="0" w:evenHBand="1" w:firstRowFirstColumn="0" w:firstRowLastColumn="0" w:lastRowFirstColumn="0" w:lastRowLastColumn="0"/>
        </w:trPr>
        <w:tc>
          <w:tcPr>
            <w:tcW w:w="6184" w:type="dxa"/>
          </w:tcPr>
          <w:p w:rsidR="00031156" w:rsidRPr="00C94AD7" w:rsidRDefault="00031156" w:rsidP="008155EE">
            <w:pPr>
              <w:pStyle w:val="TableTextEntries"/>
            </w:pPr>
            <w:r>
              <w:t xml:space="preserve">Other administered </w:t>
            </w:r>
            <w:r w:rsidR="0075616C">
              <w:t xml:space="preserve">bilateral </w:t>
            </w:r>
            <w:r>
              <w:t>aid expenditure</w:t>
            </w:r>
          </w:p>
        </w:tc>
        <w:tc>
          <w:tcPr>
            <w:tcW w:w="1005" w:type="dxa"/>
          </w:tcPr>
          <w:p w:rsidR="00031156" w:rsidRDefault="00031156" w:rsidP="008155EE">
            <w:pPr>
              <w:pStyle w:val="TableTextEntries"/>
            </w:pPr>
            <w:r>
              <w:t>$0.2</w:t>
            </w:r>
          </w:p>
        </w:tc>
        <w:tc>
          <w:tcPr>
            <w:tcW w:w="1476" w:type="dxa"/>
          </w:tcPr>
          <w:p w:rsidR="00031156" w:rsidRDefault="00031156" w:rsidP="008155EE">
            <w:pPr>
              <w:pStyle w:val="TableTextEntries"/>
            </w:pPr>
            <w:r>
              <w:t>2%</w:t>
            </w:r>
          </w:p>
        </w:tc>
      </w:tr>
    </w:tbl>
    <w:p w:rsidR="008155EE" w:rsidRDefault="008155EE" w:rsidP="006D16AA">
      <w:pPr>
        <w:pStyle w:val="ListBullet"/>
        <w:numPr>
          <w:ilvl w:val="0"/>
          <w:numId w:val="0"/>
        </w:numPr>
      </w:pPr>
    </w:p>
    <w:p w:rsidR="006D16AA" w:rsidRDefault="006D16AA" w:rsidP="006D16AA">
      <w:pPr>
        <w:pStyle w:val="ListBullet"/>
        <w:numPr>
          <w:ilvl w:val="0"/>
          <w:numId w:val="0"/>
        </w:numPr>
      </w:pPr>
      <w:r w:rsidRPr="00DA681D">
        <w:t>Other assistance through Australia’s regional and global programs</w:t>
      </w:r>
      <w:r w:rsidR="00A87F87">
        <w:t>,</w:t>
      </w:r>
      <w:r w:rsidRPr="00DA681D">
        <w:t xml:space="preserve"> and through </w:t>
      </w:r>
      <w:r w:rsidR="004A315C">
        <w:t xml:space="preserve">other Australian </w:t>
      </w:r>
      <w:r>
        <w:t>government partners</w:t>
      </w:r>
      <w:r w:rsidR="00A87F87">
        <w:t>,</w:t>
      </w:r>
      <w:r w:rsidRPr="00DA681D">
        <w:t xml:space="preserve"> brought Australia’s total offic</w:t>
      </w:r>
      <w:r>
        <w:t>ial development assistance</w:t>
      </w:r>
      <w:r w:rsidRPr="00DA681D">
        <w:t xml:space="preserve"> to an estimated $</w:t>
      </w:r>
      <w:r w:rsidR="001B6C3B">
        <w:t>16.3</w:t>
      </w:r>
      <w:r w:rsidRPr="00DA681D">
        <w:t xml:space="preserve"> million</w:t>
      </w:r>
      <w:r w:rsidR="00A87F87">
        <w:t>—</w:t>
      </w:r>
      <w:r w:rsidR="001B6C3B">
        <w:t>slightly less than the</w:t>
      </w:r>
      <w:r w:rsidR="00FA0B92">
        <w:t xml:space="preserve"> $16.7 million in 2013</w:t>
      </w:r>
      <w:r w:rsidR="008B6A9A">
        <w:t>–</w:t>
      </w:r>
      <w:r w:rsidR="00FA0B92">
        <w:t>14</w:t>
      </w:r>
      <w:r w:rsidR="00242A6C">
        <w:t>. Non-</w:t>
      </w:r>
      <w:r>
        <w:t>bilateral activities include</w:t>
      </w:r>
      <w:r w:rsidR="004332D4">
        <w:t>d</w:t>
      </w:r>
      <w:r>
        <w:t xml:space="preserve"> centrally-funded scholarships and fellowships, Australian Volunteers for International Development, training through the International Mining for Development Centre, the Australian Development Research Awards Scheme, </w:t>
      </w:r>
      <w:r w:rsidR="001B7FA2">
        <w:t xml:space="preserve">the Natural Resource Governance Institute, </w:t>
      </w:r>
      <w:r>
        <w:t xml:space="preserve">regional funding for the Asia Foundation, </w:t>
      </w:r>
      <w:r w:rsidR="000D74A3">
        <w:t xml:space="preserve">humanitarian funding, </w:t>
      </w:r>
      <w:r>
        <w:t>the Direct Aid Program, and the NGO Cooperation Program.</w:t>
      </w:r>
    </w:p>
    <w:p w:rsidR="00A87F87" w:rsidRDefault="00A87F87" w:rsidP="006D16AA">
      <w:pPr>
        <w:pStyle w:val="ListBullet"/>
        <w:numPr>
          <w:ilvl w:val="0"/>
          <w:numId w:val="0"/>
        </w:numPr>
      </w:pPr>
    </w:p>
    <w:p w:rsidR="00A87F87" w:rsidRPr="006D16AA" w:rsidRDefault="00A87F87" w:rsidP="006D16AA">
      <w:pPr>
        <w:pStyle w:val="ListBullet"/>
        <w:numPr>
          <w:ilvl w:val="0"/>
          <w:numId w:val="0"/>
        </w:numPr>
      </w:pPr>
    </w:p>
    <w:p w:rsidR="000D733F" w:rsidRPr="006D19F3" w:rsidRDefault="000D733F" w:rsidP="008155EE">
      <w:pPr>
        <w:pStyle w:val="Heading2"/>
        <w:rPr>
          <w:rStyle w:val="BodyTextChar"/>
          <w:rFonts w:ascii="Helvetica" w:hAnsi="Helvetica" w:cs="Arial"/>
          <w:color w:val="auto"/>
          <w:sz w:val="24"/>
          <w:szCs w:val="28"/>
        </w:rPr>
      </w:pPr>
      <w:r w:rsidRPr="006D19F3">
        <w:rPr>
          <w:color w:val="auto"/>
        </w:rPr>
        <w:lastRenderedPageBreak/>
        <w:t xml:space="preserve">Progress towards </w:t>
      </w:r>
      <w:r w:rsidR="006D19F3">
        <w:rPr>
          <w:color w:val="auto"/>
        </w:rPr>
        <w:t xml:space="preserve">country strategy </w:t>
      </w:r>
      <w:r w:rsidRPr="006D19F3">
        <w:rPr>
          <w:color w:val="auto"/>
        </w:rPr>
        <w:t>objectives</w:t>
      </w:r>
      <w:r w:rsidRPr="006D19F3">
        <w:rPr>
          <w:color w:val="auto"/>
        </w:rPr>
        <w:tab/>
      </w:r>
    </w:p>
    <w:p w:rsidR="001C7F08" w:rsidRDefault="000D733F" w:rsidP="00432EED">
      <w:pPr>
        <w:pStyle w:val="Heading3"/>
      </w:pPr>
      <w:r w:rsidRPr="00C57923">
        <w:t xml:space="preserve">Objective </w:t>
      </w:r>
      <w:r w:rsidR="00CF046A">
        <w:t>1</w:t>
      </w:r>
      <w:r w:rsidR="0007008E">
        <w:t xml:space="preserve">: </w:t>
      </w:r>
      <w:r w:rsidR="001C7F08">
        <w:t xml:space="preserve">Through </w:t>
      </w:r>
      <w:r w:rsidR="00242A6C">
        <w:t>post</w:t>
      </w:r>
      <w:r w:rsidR="001C7F08">
        <w:t>gra</w:t>
      </w:r>
      <w:r w:rsidR="008B6A9A">
        <w:t>duate scholarships, Mongolia’s g</w:t>
      </w:r>
      <w:r w:rsidR="001C7F08">
        <w:t>overnment, civil society and private sector deliver better services.</w:t>
      </w:r>
    </w:p>
    <w:p w:rsidR="00EE7D0B" w:rsidRPr="008155EE" w:rsidRDefault="00E96025" w:rsidP="008155EE">
      <w:pPr>
        <w:pStyle w:val="BodyText"/>
        <w:rPr>
          <w:i/>
        </w:rPr>
      </w:pPr>
      <w:r>
        <w:rPr>
          <w:b/>
          <w:i/>
          <w:u w:val="single"/>
        </w:rPr>
        <w:t>Contributing investment</w:t>
      </w:r>
      <w:r w:rsidR="00AC0EFF" w:rsidRPr="00E96025">
        <w:rPr>
          <w:b/>
          <w:i/>
          <w:u w:val="single"/>
        </w:rPr>
        <w:t>: Australia Awards in Mongolia Program</w:t>
      </w:r>
      <w:r w:rsidR="004332D4">
        <w:rPr>
          <w:b/>
          <w:i/>
          <w:u w:val="single"/>
        </w:rPr>
        <w:t xml:space="preserve"> (</w:t>
      </w:r>
      <w:r w:rsidR="00F17092">
        <w:rPr>
          <w:b/>
          <w:i/>
          <w:u w:val="single"/>
        </w:rPr>
        <w:t>$5.6</w:t>
      </w:r>
      <w:r w:rsidR="0004395B">
        <w:rPr>
          <w:b/>
          <w:i/>
          <w:u w:val="single"/>
        </w:rPr>
        <w:t>m 2013–16)</w:t>
      </w:r>
      <w:r w:rsidR="00AC0EFF" w:rsidRPr="00E96025">
        <w:rPr>
          <w:b/>
          <w:i/>
          <w:u w:val="single"/>
        </w:rPr>
        <w:br/>
      </w:r>
      <w:r w:rsidR="006D19F3">
        <w:rPr>
          <w:i/>
        </w:rPr>
        <w:t>End of i</w:t>
      </w:r>
      <w:r w:rsidR="001C7F08" w:rsidRPr="008155EE">
        <w:rPr>
          <w:i/>
        </w:rPr>
        <w:t>n</w:t>
      </w:r>
      <w:r w:rsidR="006D19F3">
        <w:rPr>
          <w:i/>
        </w:rPr>
        <w:t>vestment</w:t>
      </w:r>
      <w:r w:rsidR="001C7F08" w:rsidRPr="008155EE">
        <w:rPr>
          <w:i/>
        </w:rPr>
        <w:t xml:space="preserve"> outcome: </w:t>
      </w:r>
      <w:r w:rsidR="00242A6C" w:rsidRPr="008155EE">
        <w:rPr>
          <w:i/>
        </w:rPr>
        <w:t xml:space="preserve">Returned </w:t>
      </w:r>
      <w:r w:rsidR="00BD6ABA" w:rsidRPr="008155EE">
        <w:rPr>
          <w:i/>
        </w:rPr>
        <w:t xml:space="preserve">scholars are contributing </w:t>
      </w:r>
      <w:r w:rsidR="00C665B4" w:rsidRPr="008155EE">
        <w:rPr>
          <w:i/>
        </w:rPr>
        <w:t>to priority development sectors.</w:t>
      </w:r>
      <w:r w:rsidR="00BD6ABA" w:rsidRPr="008155EE">
        <w:rPr>
          <w:i/>
        </w:rPr>
        <w:t xml:space="preserve"> </w:t>
      </w:r>
    </w:p>
    <w:p w:rsidR="00ED6B9E" w:rsidRPr="00ED6B9E" w:rsidRDefault="00ED6B9E" w:rsidP="0007008E">
      <w:pPr>
        <w:pStyle w:val="BodyText"/>
        <w:rPr>
          <w:b/>
        </w:rPr>
      </w:pPr>
      <w:r w:rsidRPr="00ED6B9E">
        <w:rPr>
          <w:b/>
        </w:rPr>
        <w:t xml:space="preserve">Rating: </w:t>
      </w:r>
      <w:r w:rsidRPr="00ED6B9E">
        <w:rPr>
          <w:b/>
          <w:color w:val="009900"/>
        </w:rPr>
        <w:t xml:space="preserve">Green </w:t>
      </w:r>
    </w:p>
    <w:p w:rsidR="002A1242" w:rsidRDefault="00BF15C1" w:rsidP="0007008E">
      <w:pPr>
        <w:pStyle w:val="BodyText"/>
      </w:pPr>
      <w:r>
        <w:t xml:space="preserve">The </w:t>
      </w:r>
      <w:r w:rsidR="0007008E">
        <w:t xml:space="preserve">Australia Awards </w:t>
      </w:r>
      <w:r w:rsidR="006D19F3">
        <w:t xml:space="preserve">Mongolia </w:t>
      </w:r>
      <w:r w:rsidR="00B45C28">
        <w:t xml:space="preserve">(AAM) </w:t>
      </w:r>
      <w:r w:rsidR="0007008E">
        <w:t xml:space="preserve">program is the </w:t>
      </w:r>
      <w:r w:rsidR="00242A6C">
        <w:t>longest-</w:t>
      </w:r>
      <w:r>
        <w:t>standing Australian aid p</w:t>
      </w:r>
      <w:r w:rsidR="0007008E">
        <w:t>rogram to Mongolia</w:t>
      </w:r>
      <w:r w:rsidR="00A40C72">
        <w:t xml:space="preserve"> </w:t>
      </w:r>
      <w:r w:rsidR="002A1242">
        <w:t>with 545 scholarships awarded since the program began in 1993. It</w:t>
      </w:r>
      <w:r w:rsidR="00A40C72">
        <w:t xml:space="preserve"> is highly regarded by the Mongolian government</w:t>
      </w:r>
      <w:r w:rsidR="00720276">
        <w:t xml:space="preserve"> and public</w:t>
      </w:r>
      <w:r w:rsidR="000E1CD0">
        <w:t xml:space="preserve">. </w:t>
      </w:r>
      <w:r w:rsidR="002A1242" w:rsidRPr="00ED6B9E">
        <w:t>The green rating for this objective</w:t>
      </w:r>
      <w:r w:rsidR="002A1242">
        <w:t xml:space="preserve"> reflects the strong implementation of the </w:t>
      </w:r>
      <w:r w:rsidR="006D19F3">
        <w:t>current</w:t>
      </w:r>
      <w:r w:rsidR="002A1242">
        <w:t xml:space="preserve"> phase of the AAM program against the 2015 annual plan, after successfully resolving some teething problems</w:t>
      </w:r>
      <w:r w:rsidR="006D19F3">
        <w:t xml:space="preserve"> during 2014</w:t>
      </w:r>
      <w:r w:rsidR="002A1242">
        <w:t>.</w:t>
      </w:r>
      <w:r w:rsidR="006D19F3">
        <w:t xml:space="preserve">  </w:t>
      </w:r>
    </w:p>
    <w:p w:rsidR="002A1242" w:rsidRDefault="004332D4" w:rsidP="002A1242">
      <w:pPr>
        <w:pStyle w:val="BodyText"/>
      </w:pPr>
      <w:r>
        <w:t>In 2014–15, post-graduate s</w:t>
      </w:r>
      <w:r w:rsidR="002A1242">
        <w:t>cholarships were provided to 45 Mongolians</w:t>
      </w:r>
      <w:r w:rsidR="002A1242" w:rsidRPr="001772BE">
        <w:t xml:space="preserve"> </w:t>
      </w:r>
      <w:r w:rsidR="002A1242">
        <w:t>—</w:t>
      </w:r>
      <w:r w:rsidR="000D5D83" w:rsidRPr="000D5D83">
        <w:t xml:space="preserve"> </w:t>
      </w:r>
      <w:r w:rsidR="006D19F3">
        <w:t xml:space="preserve">23 </w:t>
      </w:r>
      <w:r w:rsidR="000D5D83">
        <w:t xml:space="preserve">awardees </w:t>
      </w:r>
      <w:r w:rsidR="00031156">
        <w:t>from the public sector (</w:t>
      </w:r>
      <w:r w:rsidR="00B45C28">
        <w:t>Category 1</w:t>
      </w:r>
      <w:r w:rsidR="00031156">
        <w:t>)</w:t>
      </w:r>
      <w:r w:rsidR="004A315C">
        <w:t xml:space="preserve"> </w:t>
      </w:r>
      <w:r w:rsidR="002A1242">
        <w:t xml:space="preserve">and </w:t>
      </w:r>
      <w:r w:rsidR="006D19F3">
        <w:t xml:space="preserve">22 </w:t>
      </w:r>
      <w:r w:rsidR="00031156">
        <w:t>from the private sector/civil society (</w:t>
      </w:r>
      <w:r w:rsidR="00B45C28">
        <w:t>Category 2</w:t>
      </w:r>
      <w:r w:rsidR="00031156">
        <w:t>)</w:t>
      </w:r>
      <w:r w:rsidR="002A1242">
        <w:t xml:space="preserve">. </w:t>
      </w:r>
    </w:p>
    <w:p w:rsidR="00452F8A" w:rsidRDefault="00452F8A" w:rsidP="0007008E">
      <w:pPr>
        <w:pStyle w:val="BodyText"/>
      </w:pPr>
      <w:r>
        <w:t xml:space="preserve">During 2014 significant changes </w:t>
      </w:r>
      <w:r w:rsidR="00720276">
        <w:t xml:space="preserve">were made to the program’s </w:t>
      </w:r>
      <w:r>
        <w:t xml:space="preserve">guidelines and procedures to improve </w:t>
      </w:r>
      <w:r w:rsidR="00720276">
        <w:t xml:space="preserve">the </w:t>
      </w:r>
      <w:r>
        <w:t>transparency and equity</w:t>
      </w:r>
      <w:r w:rsidR="00531A1A">
        <w:t xml:space="preserve"> </w:t>
      </w:r>
      <w:r w:rsidR="00720276">
        <w:t>of the selection process</w:t>
      </w:r>
      <w:r w:rsidR="002A1242">
        <w:t xml:space="preserve">. </w:t>
      </w:r>
      <w:r>
        <w:t xml:space="preserve">This took time to negotiate with GoM but did not affect </w:t>
      </w:r>
      <w:r w:rsidR="00720276">
        <w:t xml:space="preserve">the timeliness of </w:t>
      </w:r>
      <w:r>
        <w:t>scholar</w:t>
      </w:r>
      <w:r w:rsidR="00031156">
        <w:t>s’</w:t>
      </w:r>
      <w:r>
        <w:t xml:space="preserve"> mobilisation. </w:t>
      </w:r>
    </w:p>
    <w:p w:rsidR="00452F8A" w:rsidRDefault="00E96025" w:rsidP="0007008E">
      <w:pPr>
        <w:pStyle w:val="BodyText"/>
      </w:pPr>
      <w:r>
        <w:t>A</w:t>
      </w:r>
      <w:r w:rsidR="00452F8A">
        <w:t xml:space="preserve"> Women’s Leadership Program </w:t>
      </w:r>
      <w:r w:rsidR="00452CCF">
        <w:t xml:space="preserve">(WLP) </w:t>
      </w:r>
      <w:r>
        <w:t>began</w:t>
      </w:r>
      <w:r w:rsidR="002A1242">
        <w:t xml:space="preserve"> in January 2015 </w:t>
      </w:r>
      <w:r w:rsidR="00452F8A">
        <w:t>to promote and advocate gender equality for graduates in their career development and promotion</w:t>
      </w:r>
      <w:r w:rsidR="00531A1A">
        <w:t xml:space="preserve">. </w:t>
      </w:r>
      <w:r w:rsidR="00452CCF">
        <w:t>F</w:t>
      </w:r>
      <w:r w:rsidR="00531A1A">
        <w:t>eedback from participants is positive</w:t>
      </w:r>
      <w:r w:rsidR="00452F8A">
        <w:t xml:space="preserve">. </w:t>
      </w:r>
      <w:r w:rsidR="00CF5630">
        <w:t>WLP a</w:t>
      </w:r>
      <w:r w:rsidR="002A1242" w:rsidRPr="002A1242">
        <w:t>ctivities include</w:t>
      </w:r>
      <w:r w:rsidR="00CF5630">
        <w:t>d l</w:t>
      </w:r>
      <w:r w:rsidR="002A1242" w:rsidRPr="002A1242">
        <w:t>eadership training</w:t>
      </w:r>
      <w:r w:rsidR="00CF5630">
        <w:t xml:space="preserve"> and leadership skills seminars, six forums with guest speakers,</w:t>
      </w:r>
      <w:r w:rsidR="002A1242" w:rsidRPr="002A1242">
        <w:t xml:space="preserve"> </w:t>
      </w:r>
      <w:r w:rsidR="00CF5630">
        <w:t>and a field</w:t>
      </w:r>
      <w:r w:rsidR="002A1242" w:rsidRPr="002A1242">
        <w:t xml:space="preserve"> trip to </w:t>
      </w:r>
      <w:r w:rsidR="00CF5630">
        <w:t xml:space="preserve">the </w:t>
      </w:r>
      <w:r w:rsidR="002A1242" w:rsidRPr="002A1242">
        <w:t xml:space="preserve">OT mine site. </w:t>
      </w:r>
      <w:r w:rsidR="00452F8A">
        <w:t>While women routinely outnumber male awar</w:t>
      </w:r>
      <w:r w:rsidR="00CF5630">
        <w:t>dees (73 per cent</w:t>
      </w:r>
      <w:r w:rsidR="00452F8A">
        <w:t xml:space="preserve"> in 2015) the dominance of women is not replicated in the workplace. A number of str</w:t>
      </w:r>
      <w:r>
        <w:t>ategies were introduced in 2014–</w:t>
      </w:r>
      <w:r w:rsidR="00452F8A">
        <w:t xml:space="preserve">15 to identify solutions to increase the number of male awardees, though this </w:t>
      </w:r>
      <w:r w:rsidR="00ED6B9E">
        <w:t>is</w:t>
      </w:r>
      <w:r w:rsidR="00452F8A">
        <w:t xml:space="preserve"> a long-term challenge.  </w:t>
      </w:r>
    </w:p>
    <w:p w:rsidR="00920A31" w:rsidRDefault="00531A1A" w:rsidP="0007008E">
      <w:pPr>
        <w:pStyle w:val="BodyText"/>
      </w:pPr>
      <w:r>
        <w:t xml:space="preserve">Other priorities during 2014–15 </w:t>
      </w:r>
      <w:r w:rsidR="00452F8A">
        <w:t>were</w:t>
      </w:r>
      <w:r>
        <w:t xml:space="preserve"> reforming</w:t>
      </w:r>
      <w:r w:rsidR="00BD6ABA">
        <w:t xml:space="preserve"> </w:t>
      </w:r>
      <w:r w:rsidR="001772BE">
        <w:t>the</w:t>
      </w:r>
      <w:r w:rsidR="00BD6ABA">
        <w:t xml:space="preserve"> English language training</w:t>
      </w:r>
      <w:r>
        <w:t xml:space="preserve"> (ELT)</w:t>
      </w:r>
      <w:r w:rsidR="00BD6ABA">
        <w:t xml:space="preserve"> </w:t>
      </w:r>
      <w:r w:rsidR="001772BE">
        <w:t xml:space="preserve">and </w:t>
      </w:r>
      <w:r>
        <w:t xml:space="preserve">a </w:t>
      </w:r>
      <w:r w:rsidR="002D6B1E">
        <w:t xml:space="preserve">focus on </w:t>
      </w:r>
      <w:r w:rsidR="008F238E">
        <w:t xml:space="preserve">increasing </w:t>
      </w:r>
      <w:r w:rsidR="002D6B1E">
        <w:t>participation and applications</w:t>
      </w:r>
      <w:r w:rsidR="008F238E">
        <w:t xml:space="preserve"> from</w:t>
      </w:r>
      <w:r w:rsidR="008F238E" w:rsidRPr="008F238E">
        <w:t xml:space="preserve"> </w:t>
      </w:r>
      <w:r w:rsidR="008F238E">
        <w:t>provincial areas</w:t>
      </w:r>
      <w:r w:rsidR="00BD6ABA">
        <w:t>.</w:t>
      </w:r>
      <w:r>
        <w:t xml:space="preserve"> In September 2014 Santis partnered with </w:t>
      </w:r>
      <w:r w:rsidR="00452CCF">
        <w:t xml:space="preserve">the </w:t>
      </w:r>
      <w:r>
        <w:t xml:space="preserve">University of Queensland to deliver the first academic preparation course under the new ELT model. Course </w:t>
      </w:r>
      <w:r w:rsidR="00920A31">
        <w:t xml:space="preserve">attendance rates, </w:t>
      </w:r>
      <w:r>
        <w:t xml:space="preserve">results and awardee feedback show the new model is proving successful.  </w:t>
      </w:r>
      <w:r w:rsidR="00CF5630">
        <w:t>In 2014</w:t>
      </w:r>
      <w:r w:rsidR="00452CCF">
        <w:t>,</w:t>
      </w:r>
      <w:r w:rsidR="00CF5630">
        <w:t xml:space="preserve"> 96 per cent</w:t>
      </w:r>
      <w:r w:rsidR="003A052F">
        <w:t xml:space="preserve"> of students achieved the required minimum score of 6.5—up from 48 per cent in 2013. </w:t>
      </w:r>
      <w:r w:rsidR="00CF5630">
        <w:t>However there are still some issues to be ironed out. In 2015, the number of rural</w:t>
      </w:r>
      <w:r w:rsidR="001B7FA2">
        <w:t xml:space="preserve"> applicants taking the I</w:t>
      </w:r>
      <w:r w:rsidR="00031156">
        <w:t xml:space="preserve">nternational </w:t>
      </w:r>
      <w:r w:rsidR="001B7FA2">
        <w:t>E</w:t>
      </w:r>
      <w:r w:rsidR="00031156">
        <w:t xml:space="preserve">nglish </w:t>
      </w:r>
      <w:r w:rsidR="001B7FA2">
        <w:t>L</w:t>
      </w:r>
      <w:r w:rsidR="00031156">
        <w:t xml:space="preserve">anguage </w:t>
      </w:r>
      <w:r w:rsidR="001B7FA2">
        <w:t>T</w:t>
      </w:r>
      <w:r w:rsidR="00031156">
        <w:t xml:space="preserve">esting </w:t>
      </w:r>
      <w:r w:rsidR="001B7FA2">
        <w:t>S</w:t>
      </w:r>
      <w:r w:rsidR="00031156">
        <w:t>ystem (IELTS)</w:t>
      </w:r>
      <w:r w:rsidR="001B7FA2">
        <w:t xml:space="preserve"> tes</w:t>
      </w:r>
      <w:r w:rsidR="00CF5630">
        <w:t>ts increased</w:t>
      </w:r>
      <w:r w:rsidR="00CF5630" w:rsidRPr="00CF5630">
        <w:t xml:space="preserve"> </w:t>
      </w:r>
      <w:r w:rsidR="00CF5630">
        <w:t>significantly</w:t>
      </w:r>
      <w:r w:rsidR="00920A31">
        <w:t>. Because English language ability is lower in rural areas</w:t>
      </w:r>
      <w:r w:rsidR="00031156">
        <w:t>,</w:t>
      </w:r>
      <w:r w:rsidR="00920A31">
        <w:t xml:space="preserve"> </w:t>
      </w:r>
      <w:r w:rsidR="00CF5630">
        <w:t>only 64 per cent</w:t>
      </w:r>
      <w:r w:rsidR="00CF5630" w:rsidRPr="00CF5630">
        <w:t xml:space="preserve"> of </w:t>
      </w:r>
      <w:r w:rsidR="00920A31">
        <w:t xml:space="preserve">total </w:t>
      </w:r>
      <w:r w:rsidR="00031156">
        <w:t>awardees met the required</w:t>
      </w:r>
      <w:r w:rsidR="00CF5630" w:rsidRPr="00CF5630">
        <w:t xml:space="preserve"> minimum score</w:t>
      </w:r>
      <w:r w:rsidR="00031156">
        <w:t xml:space="preserve"> of</w:t>
      </w:r>
      <w:r w:rsidR="00CF5630" w:rsidRPr="00CF5630">
        <w:t xml:space="preserve"> 6.5</w:t>
      </w:r>
      <w:r w:rsidR="00920A31">
        <w:t xml:space="preserve"> in 2015</w:t>
      </w:r>
      <w:r w:rsidR="00CF5630" w:rsidRPr="00CF5630">
        <w:t xml:space="preserve">. Those who did not reach this score enrolled in self-study with support from Santis with the aim of reaching their target scores by August 2015 when notifications are due for Semester 1, 2016. </w:t>
      </w:r>
    </w:p>
    <w:p w:rsidR="00F97938" w:rsidRDefault="00531A1A" w:rsidP="0007008E">
      <w:pPr>
        <w:pStyle w:val="BodyText"/>
      </w:pPr>
      <w:r>
        <w:t xml:space="preserve">Increasing </w:t>
      </w:r>
      <w:r w:rsidR="00031156">
        <w:t xml:space="preserve">the </w:t>
      </w:r>
      <w:r>
        <w:t>applicants from rural areas</w:t>
      </w:r>
      <w:r w:rsidR="00920A31">
        <w:t xml:space="preserve"> and ensuring adequate</w:t>
      </w:r>
      <w:r>
        <w:t xml:space="preserve"> </w:t>
      </w:r>
      <w:r w:rsidR="00920A31">
        <w:t xml:space="preserve">English language ability </w:t>
      </w:r>
      <w:r>
        <w:t>is an ongoing challenge. Promotion activities and information sessions in rural areas were a focus in 2014–15</w:t>
      </w:r>
      <w:r w:rsidR="00294A68">
        <w:t>.</w:t>
      </w:r>
      <w:r>
        <w:t xml:space="preserve"> </w:t>
      </w:r>
      <w:r w:rsidR="00920A31" w:rsidRPr="00920A31">
        <w:rPr>
          <w:color w:val="000000"/>
        </w:rPr>
        <w:t xml:space="preserve">Following </w:t>
      </w:r>
      <w:r w:rsidR="00294A68">
        <w:rPr>
          <w:color w:val="000000"/>
        </w:rPr>
        <w:t>AAM</w:t>
      </w:r>
      <w:r w:rsidR="00F97938">
        <w:rPr>
          <w:color w:val="000000"/>
        </w:rPr>
        <w:t xml:space="preserve"> visits to seven</w:t>
      </w:r>
      <w:r w:rsidR="00920A31" w:rsidRPr="00920A31">
        <w:rPr>
          <w:color w:val="000000"/>
        </w:rPr>
        <w:t xml:space="preserve"> pro</w:t>
      </w:r>
      <w:r w:rsidR="00F97938">
        <w:rPr>
          <w:color w:val="000000"/>
        </w:rPr>
        <w:t>vinces in February-March 2015, three</w:t>
      </w:r>
      <w:r w:rsidR="00920A31" w:rsidRPr="00920A31">
        <w:rPr>
          <w:color w:val="000000"/>
        </w:rPr>
        <w:t xml:space="preserve"> additional IELTS test classes were arranged. This was a timely response to a general request for support from potential applicants</w:t>
      </w:r>
      <w:r w:rsidR="00F97938">
        <w:rPr>
          <w:color w:val="000000"/>
        </w:rPr>
        <w:t>,</w:t>
      </w:r>
      <w:r w:rsidR="00920A31" w:rsidRPr="00920A31">
        <w:rPr>
          <w:color w:val="000000"/>
        </w:rPr>
        <w:t xml:space="preserve"> but how many of those were from provinces is not known. In 2014, there were 12 a</w:t>
      </w:r>
      <w:r w:rsidR="00F97938">
        <w:rPr>
          <w:color w:val="000000"/>
        </w:rPr>
        <w:t>pplications from provinces and four</w:t>
      </w:r>
      <w:r w:rsidR="00920A31" w:rsidRPr="00920A31">
        <w:rPr>
          <w:color w:val="000000"/>
        </w:rPr>
        <w:t xml:space="preserve"> (</w:t>
      </w:r>
      <w:r w:rsidR="0004395B">
        <w:rPr>
          <w:color w:val="000000"/>
        </w:rPr>
        <w:t>three</w:t>
      </w:r>
      <w:r w:rsidR="0004395B" w:rsidRPr="00920A31">
        <w:rPr>
          <w:color w:val="000000"/>
        </w:rPr>
        <w:t xml:space="preserve"> females</w:t>
      </w:r>
      <w:r w:rsidR="0004395B">
        <w:rPr>
          <w:color w:val="000000"/>
        </w:rPr>
        <w:t xml:space="preserve"> and </w:t>
      </w:r>
      <w:r w:rsidR="0004395B">
        <w:rPr>
          <w:color w:val="000000"/>
        </w:rPr>
        <w:lastRenderedPageBreak/>
        <w:t>one</w:t>
      </w:r>
      <w:r w:rsidR="0004395B" w:rsidRPr="00920A31">
        <w:rPr>
          <w:color w:val="000000"/>
        </w:rPr>
        <w:t xml:space="preserve"> </w:t>
      </w:r>
      <w:r w:rsidR="00920A31" w:rsidRPr="00920A31">
        <w:rPr>
          <w:color w:val="000000"/>
        </w:rPr>
        <w:t>male) were offered Australia A</w:t>
      </w:r>
      <w:r w:rsidR="00F97938">
        <w:rPr>
          <w:color w:val="000000"/>
        </w:rPr>
        <w:t xml:space="preserve">wards. All attended ELT and three </w:t>
      </w:r>
      <w:r w:rsidR="00920A31" w:rsidRPr="00920A31">
        <w:rPr>
          <w:color w:val="000000"/>
        </w:rPr>
        <w:t>reached their required scores</w:t>
      </w:r>
      <w:r w:rsidR="00F97938">
        <w:rPr>
          <w:color w:val="000000"/>
        </w:rPr>
        <w:t>.</w:t>
      </w:r>
      <w:r w:rsidR="00920A31" w:rsidRPr="00920A31">
        <w:rPr>
          <w:color w:val="000000"/>
        </w:rPr>
        <w:t xml:space="preserve"> </w:t>
      </w:r>
      <w:r w:rsidR="00F97938">
        <w:rPr>
          <w:color w:val="000000"/>
        </w:rPr>
        <w:t>Two of the awardees</w:t>
      </w:r>
      <w:r w:rsidR="00920A31" w:rsidRPr="00920A31">
        <w:rPr>
          <w:color w:val="000000"/>
        </w:rPr>
        <w:t xml:space="preserve"> have been placed for Semester 2</w:t>
      </w:r>
      <w:r w:rsidR="00F97938">
        <w:rPr>
          <w:color w:val="000000"/>
        </w:rPr>
        <w:t>,</w:t>
      </w:r>
      <w:r w:rsidR="00920A31" w:rsidRPr="00920A31">
        <w:rPr>
          <w:color w:val="000000"/>
        </w:rPr>
        <w:t xml:space="preserve"> 2015.</w:t>
      </w:r>
      <w:r w:rsidR="003A052F">
        <w:t xml:space="preserve"> </w:t>
      </w:r>
    </w:p>
    <w:p w:rsidR="00BD47D8" w:rsidRDefault="003133AE" w:rsidP="0007008E">
      <w:pPr>
        <w:pStyle w:val="BodyText"/>
      </w:pPr>
      <w:r>
        <w:t>Overall, during 2014–15 a</w:t>
      </w:r>
      <w:r w:rsidRPr="003133AE">
        <w:t xml:space="preserve">wareness and interest in the </w:t>
      </w:r>
      <w:r>
        <w:t xml:space="preserve">AAM program rose </w:t>
      </w:r>
      <w:r w:rsidR="00720276">
        <w:t>and t</w:t>
      </w:r>
      <w:r w:rsidR="003822AB">
        <w:t>he number of applications continues to increase</w:t>
      </w:r>
      <w:r w:rsidRPr="003133AE">
        <w:t>.</w:t>
      </w:r>
      <w:r>
        <w:t xml:space="preserve"> However, </w:t>
      </w:r>
      <w:r w:rsidR="003A052F">
        <w:t>a concerning number</w:t>
      </w:r>
      <w:r>
        <w:t xml:space="preserve"> of the applications </w:t>
      </w:r>
      <w:r w:rsidR="00720276">
        <w:t xml:space="preserve">made for the </w:t>
      </w:r>
      <w:r w:rsidR="003822AB">
        <w:t xml:space="preserve">2015 </w:t>
      </w:r>
      <w:r w:rsidR="00720276">
        <w:t xml:space="preserve">intake </w:t>
      </w:r>
      <w:r>
        <w:t>were</w:t>
      </w:r>
      <w:r w:rsidR="003A052F">
        <w:t xml:space="preserve"> ineligible. </w:t>
      </w:r>
      <w:r w:rsidR="00720276">
        <w:t>While there was a slight improvement on the previous intake</w:t>
      </w:r>
      <w:r w:rsidR="003822AB">
        <w:t xml:space="preserve">, just under half </w:t>
      </w:r>
      <w:r w:rsidR="00B45C28">
        <w:t xml:space="preserve">the </w:t>
      </w:r>
      <w:r w:rsidR="003822AB">
        <w:t xml:space="preserve">applications </w:t>
      </w:r>
      <w:r w:rsidR="00720276">
        <w:t>did not meet the program’s</w:t>
      </w:r>
      <w:r w:rsidR="003822AB">
        <w:t xml:space="preserve"> eligibility requirements. </w:t>
      </w:r>
      <w:r w:rsidR="003A052F">
        <w:t>Steps were taken in 20</w:t>
      </w:r>
      <w:r w:rsidR="003822AB">
        <w:t>14–</w:t>
      </w:r>
      <w:r w:rsidR="003A052F">
        <w:t>15</w:t>
      </w:r>
      <w:r w:rsidR="003124AE">
        <w:t xml:space="preserve"> to </w:t>
      </w:r>
      <w:r w:rsidR="008B3C4E">
        <w:t>address</w:t>
      </w:r>
      <w:r w:rsidR="003124AE">
        <w:t xml:space="preserve"> this including: providing</w:t>
      </w:r>
      <w:r w:rsidR="003124AE" w:rsidRPr="003124AE">
        <w:t xml:space="preserve"> more specific information on required documents; </w:t>
      </w:r>
      <w:r w:rsidR="003124AE">
        <w:t xml:space="preserve">placing on the AAM website </w:t>
      </w:r>
      <w:r w:rsidR="003124AE" w:rsidRPr="003124AE">
        <w:t>n</w:t>
      </w:r>
      <w:r w:rsidR="003124AE">
        <w:t>ew videos on application &amp; s</w:t>
      </w:r>
      <w:r w:rsidR="003124AE" w:rsidRPr="003124AE">
        <w:t xml:space="preserve">election; </w:t>
      </w:r>
      <w:r w:rsidR="00F4799D">
        <w:t xml:space="preserve">and </w:t>
      </w:r>
      <w:r w:rsidR="003124AE">
        <w:t xml:space="preserve">providing </w:t>
      </w:r>
      <w:r w:rsidR="003124AE" w:rsidRPr="003124AE">
        <w:t>applicants</w:t>
      </w:r>
      <w:r w:rsidR="00D1704A">
        <w:t xml:space="preserve"> with</w:t>
      </w:r>
      <w:r w:rsidR="003124AE" w:rsidRPr="003124AE">
        <w:t xml:space="preserve"> clearer messages on timelines to receive IELTS certificates. There were separate information sessions for Category 1 &amp; 2 applicants to prov</w:t>
      </w:r>
      <w:r w:rsidR="005665B2">
        <w:t xml:space="preserve">ide </w:t>
      </w:r>
      <w:r w:rsidR="00F4799D">
        <w:t>tailored</w:t>
      </w:r>
      <w:r w:rsidR="005665B2">
        <w:t xml:space="preserve"> information. </w:t>
      </w:r>
      <w:r w:rsidR="00720276">
        <w:t>In 2015–16 further analysis will be undertaken to address this issue.</w:t>
      </w:r>
    </w:p>
    <w:p w:rsidR="003124AE" w:rsidRDefault="003124AE" w:rsidP="002A1242">
      <w:pPr>
        <w:pStyle w:val="BodyText"/>
      </w:pPr>
      <w:r w:rsidRPr="003124AE">
        <w:t xml:space="preserve">The re-employment of graduates on return to Mongolia remains stable </w:t>
      </w:r>
      <w:r>
        <w:t>over recent years</w:t>
      </w:r>
      <w:r w:rsidR="00B45C28">
        <w:t>.</w:t>
      </w:r>
      <w:r>
        <w:t xml:space="preserve"> </w:t>
      </w:r>
      <w:r w:rsidR="00B45C28">
        <w:t>O</w:t>
      </w:r>
      <w:r w:rsidRPr="003124AE">
        <w:t>f the 38 graduates who returned between December 2014 and March 2015</w:t>
      </w:r>
      <w:r w:rsidR="00F4799D">
        <w:t>,</w:t>
      </w:r>
      <w:r w:rsidRPr="003124AE">
        <w:t xml:space="preserve"> </w:t>
      </w:r>
      <w:r w:rsidR="00B45C28">
        <w:t xml:space="preserve">78.9 per cent </w:t>
      </w:r>
      <w:r w:rsidRPr="003124AE">
        <w:t>were re-emplo</w:t>
      </w:r>
      <w:r>
        <w:t>yed. Of the total graduates, 20 per cent</w:t>
      </w:r>
      <w:r w:rsidRPr="003124AE">
        <w:t xml:space="preserve"> are working in senior positions, including Members of Parliament, State Secretary, General Directors of Ministries and Executive Directors of private companies and NGOs</w:t>
      </w:r>
      <w:r>
        <w:t>.</w:t>
      </w:r>
      <w:r w:rsidR="002A1242" w:rsidRPr="002A1242">
        <w:t xml:space="preserve"> </w:t>
      </w:r>
    </w:p>
    <w:p w:rsidR="005348DF" w:rsidRDefault="002A1242" w:rsidP="0007008E">
      <w:pPr>
        <w:pStyle w:val="BodyText"/>
      </w:pPr>
      <w:r>
        <w:t>The ‘Mozzies’ alumni association is active in promoting Australia and the Australia Awards</w:t>
      </w:r>
      <w:r w:rsidR="004332D4">
        <w:t xml:space="preserve"> in Mongolia</w:t>
      </w:r>
      <w:r>
        <w:t xml:space="preserve">. In 2014–15 </w:t>
      </w:r>
      <w:r w:rsidR="00F4799D">
        <w:t xml:space="preserve">the </w:t>
      </w:r>
      <w:r>
        <w:t xml:space="preserve">Mozzies held several alumni events, </w:t>
      </w:r>
      <w:r w:rsidR="00F4799D">
        <w:t xml:space="preserve">undertook </w:t>
      </w:r>
      <w:r>
        <w:t>a community devel</w:t>
      </w:r>
      <w:r w:rsidR="00F4799D">
        <w:t>opment project, updated their website</w:t>
      </w:r>
      <w:r>
        <w:t xml:space="preserve">, and </w:t>
      </w:r>
      <w:r w:rsidR="00F4799D">
        <w:t>produced a</w:t>
      </w:r>
      <w:r>
        <w:t xml:space="preserve"> Mozzies promotional film.</w:t>
      </w:r>
    </w:p>
    <w:p w:rsidR="001B0D59" w:rsidRDefault="001B0D59" w:rsidP="0007008E">
      <w:pPr>
        <w:pStyle w:val="BodyText"/>
      </w:pPr>
      <w:r>
        <w:t>The 2014 Disability Support Plan for the first awardee with a mobility disability was a valuab</w:t>
      </w:r>
      <w:r w:rsidR="003124AE">
        <w:t xml:space="preserve">le learning experience. </w:t>
      </w:r>
      <w:r w:rsidR="00F4799D">
        <w:t>She</w:t>
      </w:r>
      <w:r w:rsidR="003124AE">
        <w:t xml:space="preserve"> received appropriate support from her university and AAM</w:t>
      </w:r>
      <w:r w:rsidR="006639E6">
        <w:t>,</w:t>
      </w:r>
      <w:r w:rsidR="00F4799D">
        <w:t xml:space="preserve"> and</w:t>
      </w:r>
      <w:r w:rsidR="00040F03">
        <w:t xml:space="preserve"> return</w:t>
      </w:r>
      <w:r w:rsidR="00F4799D">
        <w:t>ed</w:t>
      </w:r>
      <w:r w:rsidR="00040F03">
        <w:t xml:space="preserve"> to Mongolia in 2015</w:t>
      </w:r>
      <w:r w:rsidR="00040F03" w:rsidRPr="00040F03">
        <w:t xml:space="preserve"> </w:t>
      </w:r>
      <w:r w:rsidR="00720276">
        <w:t>with an MA in Law</w:t>
      </w:r>
      <w:r>
        <w:t>.</w:t>
      </w:r>
    </w:p>
    <w:p w:rsidR="001C7F08" w:rsidRDefault="0007008E" w:rsidP="00432EED">
      <w:pPr>
        <w:pStyle w:val="Heading3"/>
      </w:pPr>
      <w:r w:rsidRPr="00C57923">
        <w:t xml:space="preserve">Objective </w:t>
      </w:r>
      <w:r>
        <w:t xml:space="preserve">2: </w:t>
      </w:r>
      <w:r w:rsidR="001C7F08">
        <w:t>Mongolians are benefitting from a sustainably-managed mining sector</w:t>
      </w:r>
    </w:p>
    <w:p w:rsidR="00ED6B9E" w:rsidRPr="00ED6B9E" w:rsidRDefault="00ED6B9E" w:rsidP="00EB5ABE">
      <w:pPr>
        <w:pStyle w:val="BodyText"/>
        <w:rPr>
          <w:b/>
        </w:rPr>
      </w:pPr>
      <w:r w:rsidRPr="00ED6B9E">
        <w:rPr>
          <w:b/>
        </w:rPr>
        <w:t xml:space="preserve">Rating: </w:t>
      </w:r>
      <w:r w:rsidRPr="00ED6B9E">
        <w:rPr>
          <w:b/>
          <w:color w:val="009900"/>
        </w:rPr>
        <w:t>Green</w:t>
      </w:r>
    </w:p>
    <w:p w:rsidR="003A052F" w:rsidRDefault="003A052F" w:rsidP="00EB5ABE">
      <w:pPr>
        <w:pStyle w:val="BodyText"/>
      </w:pPr>
      <w:r>
        <w:t xml:space="preserve">The Australia Mongolia Extractives Program (AMEP) </w:t>
      </w:r>
      <w:r w:rsidR="00E96025">
        <w:t xml:space="preserve">investment </w:t>
      </w:r>
      <w:r w:rsidR="00B45C28">
        <w:t>consists</w:t>
      </w:r>
      <w:r>
        <w:t xml:space="preserve"> of independent activities that collectively aim to en</w:t>
      </w:r>
      <w:r w:rsidR="00E96025">
        <w:t>able</w:t>
      </w:r>
      <w:r>
        <w:t xml:space="preserve"> Mongolia’s citizens</w:t>
      </w:r>
      <w:r w:rsidR="00E96025">
        <w:t xml:space="preserve"> to</w:t>
      </w:r>
      <w:r>
        <w:t xml:space="preserve"> </w:t>
      </w:r>
      <w:r w:rsidR="00CE199C">
        <w:t>benefit from</w:t>
      </w:r>
      <w:r>
        <w:t xml:space="preserve"> equitable and sustainable </w:t>
      </w:r>
      <w:r w:rsidR="00CE199C">
        <w:t xml:space="preserve">extractives-led </w:t>
      </w:r>
      <w:r>
        <w:t>growth.</w:t>
      </w:r>
      <w:r w:rsidR="00CE199C">
        <w:t xml:space="preserve"> </w:t>
      </w:r>
      <w:r w:rsidR="00E96025">
        <w:t>AMEP</w:t>
      </w:r>
      <w:r w:rsidR="00EB5ABE">
        <w:t xml:space="preserve"> is highly relevant to Mongolia’s development a</w:t>
      </w:r>
      <w:r w:rsidR="00B45C28">
        <w:t>ims</w:t>
      </w:r>
      <w:r w:rsidR="00EB5ABE">
        <w:t xml:space="preserve"> and Australia’s aid and economic diplomacy agenda. AMEP</w:t>
      </w:r>
      <w:r w:rsidR="00777CB0">
        <w:t xml:space="preserve"> provides</w:t>
      </w:r>
      <w:r w:rsidR="00EB5ABE">
        <w:t xml:space="preserve"> a platform for </w:t>
      </w:r>
      <w:r w:rsidR="00EB5ABE" w:rsidRPr="00EB5ABE">
        <w:t>sharing Australia's expertise and skills</w:t>
      </w:r>
      <w:r w:rsidR="00777CB0">
        <w:t>,</w:t>
      </w:r>
      <w:r w:rsidR="00EB5ABE" w:rsidRPr="00EB5ABE">
        <w:t xml:space="preserve"> and promoting engagement </w:t>
      </w:r>
      <w:r w:rsidR="00B55DDD">
        <w:t>with</w:t>
      </w:r>
      <w:r w:rsidR="00EB5ABE" w:rsidRPr="00EB5ABE">
        <w:t xml:space="preserve"> stakeholders</w:t>
      </w:r>
      <w:r w:rsidR="00B45C28">
        <w:t>,</w:t>
      </w:r>
      <w:r w:rsidR="00720276">
        <w:t xml:space="preserve"> including the private sector</w:t>
      </w:r>
      <w:r w:rsidR="00EB5ABE">
        <w:t>.</w:t>
      </w:r>
      <w:r w:rsidR="00EB5ABE" w:rsidRPr="00EB5ABE">
        <w:t xml:space="preserve"> </w:t>
      </w:r>
    </w:p>
    <w:p w:rsidR="00777CB0" w:rsidRDefault="004332D4" w:rsidP="00C01BF1">
      <w:pPr>
        <w:pStyle w:val="BodyText"/>
      </w:pPr>
      <w:r>
        <w:t>During 2014, t</w:t>
      </w:r>
      <w:r w:rsidR="00CE199C">
        <w:t>he</w:t>
      </w:r>
      <w:r w:rsidR="00720276">
        <w:t xml:space="preserve"> Australian Government negotiated an</w:t>
      </w:r>
      <w:r w:rsidR="00CE199C">
        <w:t xml:space="preserve"> agreement with </w:t>
      </w:r>
      <w:r w:rsidR="00777CB0">
        <w:t>an</w:t>
      </w:r>
      <w:r w:rsidR="00CE199C">
        <w:t xml:space="preserve"> International Service Provider</w:t>
      </w:r>
      <w:r w:rsidR="00457C41">
        <w:t xml:space="preserve"> (ISP)</w:t>
      </w:r>
      <w:r w:rsidR="00CE199C">
        <w:t xml:space="preserve"> for the </w:t>
      </w:r>
      <w:r w:rsidR="001B7FA2">
        <w:t>new elements of the</w:t>
      </w:r>
      <w:r w:rsidR="006D37D0">
        <w:t xml:space="preserve"> program. A</w:t>
      </w:r>
      <w:r w:rsidR="00CE199C">
        <w:t xml:space="preserve">fter some delays due to </w:t>
      </w:r>
      <w:r w:rsidR="00777CB0">
        <w:t xml:space="preserve">Mongolian </w:t>
      </w:r>
      <w:r w:rsidR="00CE199C">
        <w:t>government</w:t>
      </w:r>
      <w:r w:rsidR="006D37D0">
        <w:t xml:space="preserve"> restructuring,</w:t>
      </w:r>
      <w:r w:rsidR="00720276">
        <w:t xml:space="preserve"> </w:t>
      </w:r>
      <w:r w:rsidR="00777CB0">
        <w:t xml:space="preserve">the </w:t>
      </w:r>
      <w:r w:rsidR="00720276">
        <w:t xml:space="preserve">AMEP </w:t>
      </w:r>
      <w:r w:rsidR="006D37D0">
        <w:t xml:space="preserve">ISP </w:t>
      </w:r>
      <w:r w:rsidR="00720276">
        <w:t>was mobilis</w:t>
      </w:r>
      <w:r w:rsidR="00CE199C">
        <w:t xml:space="preserve">ed in April 2015. </w:t>
      </w:r>
      <w:r w:rsidR="00394C87">
        <w:t xml:space="preserve">Planning is underway </w:t>
      </w:r>
      <w:r w:rsidR="006D37D0">
        <w:t>to</w:t>
      </w:r>
      <w:r w:rsidR="001B7FA2">
        <w:t xml:space="preserve"> </w:t>
      </w:r>
      <w:r w:rsidR="00394C87">
        <w:t>reduce the scale of the</w:t>
      </w:r>
      <w:r w:rsidR="00E96025">
        <w:t xml:space="preserve"> ISP activity</w:t>
      </w:r>
      <w:r w:rsidR="001B7FA2">
        <w:t xml:space="preserve"> </w:t>
      </w:r>
      <w:r w:rsidR="00E96025">
        <w:t>due to</w:t>
      </w:r>
      <w:r w:rsidR="001B7FA2">
        <w:t xml:space="preserve"> </w:t>
      </w:r>
      <w:r w:rsidR="00777CB0">
        <w:t xml:space="preserve">the aid </w:t>
      </w:r>
      <w:r w:rsidR="001B7FA2">
        <w:t xml:space="preserve">budget reductions. </w:t>
      </w:r>
    </w:p>
    <w:p w:rsidR="00C01BF1" w:rsidRDefault="00E96025" w:rsidP="00C01BF1">
      <w:pPr>
        <w:pStyle w:val="BodyText"/>
      </w:pPr>
      <w:r>
        <w:t>The progress of t</w:t>
      </w:r>
      <w:r w:rsidR="00394C87">
        <w:t xml:space="preserve">he two pre-existing AMEP partnership activities </w:t>
      </w:r>
      <w:r>
        <w:t>is</w:t>
      </w:r>
      <w:r w:rsidR="00394C87">
        <w:t xml:space="preserve"> the focus of</w:t>
      </w:r>
      <w:r>
        <w:t xml:space="preserve"> this report</w:t>
      </w:r>
      <w:r w:rsidR="00777CB0">
        <w:t xml:space="preserve"> for 2014–15</w:t>
      </w:r>
      <w:r w:rsidR="00394C87">
        <w:t xml:space="preserve">. </w:t>
      </w:r>
      <w:r w:rsidR="00CE199C" w:rsidRPr="00ED6B9E">
        <w:t xml:space="preserve">The green rating for Objective 2 </w:t>
      </w:r>
      <w:r w:rsidR="00457C41">
        <w:t xml:space="preserve">(improved from amber last year) </w:t>
      </w:r>
      <w:r w:rsidR="00CE199C">
        <w:t xml:space="preserve">reflects that the two partnerships </w:t>
      </w:r>
      <w:r w:rsidR="00720276">
        <w:t>progressed</w:t>
      </w:r>
      <w:r w:rsidR="00CE199C">
        <w:t xml:space="preserve"> </w:t>
      </w:r>
      <w:r w:rsidR="00432EED">
        <w:t>as expected and contributed</w:t>
      </w:r>
      <w:r w:rsidR="00CE199C">
        <w:t xml:space="preserve"> well towards AMEP objectives</w:t>
      </w:r>
      <w:r w:rsidR="00457C41">
        <w:t>, and that the ISP</w:t>
      </w:r>
      <w:r w:rsidR="00720276">
        <w:t xml:space="preserve"> mobilised</w:t>
      </w:r>
      <w:r w:rsidR="00457C41">
        <w:t xml:space="preserve"> efficiently in-country</w:t>
      </w:r>
      <w:r w:rsidR="00CE199C">
        <w:t xml:space="preserve">. </w:t>
      </w:r>
    </w:p>
    <w:p w:rsidR="00ED6B9E" w:rsidRDefault="00ED6B9E" w:rsidP="00C01BF1">
      <w:pPr>
        <w:pStyle w:val="BodyText"/>
      </w:pPr>
    </w:p>
    <w:p w:rsidR="00ED6B9E" w:rsidRDefault="00ED6B9E" w:rsidP="00C01BF1">
      <w:pPr>
        <w:pStyle w:val="BodyText"/>
      </w:pPr>
    </w:p>
    <w:p w:rsidR="0007008E" w:rsidRPr="00E96025" w:rsidRDefault="00D66EC5" w:rsidP="00E96025">
      <w:pPr>
        <w:pStyle w:val="BodyText"/>
        <w:rPr>
          <w:i/>
        </w:rPr>
      </w:pPr>
      <w:r w:rsidRPr="00E96025">
        <w:rPr>
          <w:b/>
          <w:i/>
          <w:u w:val="single"/>
        </w:rPr>
        <w:lastRenderedPageBreak/>
        <w:t xml:space="preserve">Contributing </w:t>
      </w:r>
      <w:r w:rsidR="00E96025">
        <w:rPr>
          <w:b/>
          <w:i/>
          <w:u w:val="single"/>
        </w:rPr>
        <w:t>activity</w:t>
      </w:r>
      <w:r w:rsidRPr="00E96025">
        <w:rPr>
          <w:b/>
          <w:i/>
          <w:u w:val="single"/>
        </w:rPr>
        <w:t>: World Bank Groundwater Management Project</w:t>
      </w:r>
      <w:r w:rsidR="0004395B">
        <w:rPr>
          <w:b/>
          <w:i/>
          <w:u w:val="single"/>
        </w:rPr>
        <w:t xml:space="preserve"> ($4m 2012–15)</w:t>
      </w:r>
      <w:r w:rsidRPr="00E96025">
        <w:rPr>
          <w:b/>
          <w:i/>
          <w:u w:val="single"/>
        </w:rPr>
        <w:br/>
      </w:r>
      <w:r w:rsidR="001C7F08" w:rsidRPr="00E96025">
        <w:rPr>
          <w:i/>
        </w:rPr>
        <w:t xml:space="preserve">End of </w:t>
      </w:r>
      <w:r w:rsidR="00EB5ABE" w:rsidRPr="00E96025">
        <w:rPr>
          <w:i/>
        </w:rPr>
        <w:t>activity</w:t>
      </w:r>
      <w:r w:rsidR="001C7F08" w:rsidRPr="00E96025">
        <w:rPr>
          <w:i/>
        </w:rPr>
        <w:t xml:space="preserve"> outcome: </w:t>
      </w:r>
      <w:r w:rsidRPr="00E96025">
        <w:rPr>
          <w:i/>
        </w:rPr>
        <w:t>Ministry of Environment and Green Development of Mongolia (</w:t>
      </w:r>
      <w:r w:rsidR="005348DF" w:rsidRPr="00E96025">
        <w:rPr>
          <w:i/>
        </w:rPr>
        <w:t>MEGD</w:t>
      </w:r>
      <w:r w:rsidRPr="00E96025">
        <w:rPr>
          <w:i/>
        </w:rPr>
        <w:t>)</w:t>
      </w:r>
      <w:r w:rsidR="005348DF" w:rsidRPr="00E96025">
        <w:rPr>
          <w:i/>
        </w:rPr>
        <w:t xml:space="preserve"> is establishing, supporting and coordinating representative River Basin Authorities and Councils that sustainably manage groundwater resources.</w:t>
      </w:r>
    </w:p>
    <w:p w:rsidR="00457C41" w:rsidRDefault="00B55DDD" w:rsidP="00C83CA9">
      <w:pPr>
        <w:pStyle w:val="BodyText"/>
      </w:pPr>
      <w:r>
        <w:t>Australia has supported this W</w:t>
      </w:r>
      <w:r w:rsidR="00FD281E">
        <w:t xml:space="preserve">orld </w:t>
      </w:r>
      <w:r>
        <w:t>B</w:t>
      </w:r>
      <w:r w:rsidR="00FD281E">
        <w:t>ank</w:t>
      </w:r>
      <w:r>
        <w:t xml:space="preserve">-implemented activity since 2012. </w:t>
      </w:r>
      <w:r w:rsidR="00FD281E">
        <w:t>During 2014–</w:t>
      </w:r>
      <w:r w:rsidR="00457C41">
        <w:t>15 there were improvements in the rate of progress for</w:t>
      </w:r>
      <w:r>
        <w:t xml:space="preserve"> the Australian-funded component of</w:t>
      </w:r>
      <w:r w:rsidR="00457C41">
        <w:t xml:space="preserve"> </w:t>
      </w:r>
      <w:r>
        <w:t>the</w:t>
      </w:r>
      <w:r w:rsidR="00457C41">
        <w:t xml:space="preserve"> activity</w:t>
      </w:r>
      <w:r w:rsidR="00777CB0">
        <w:t xml:space="preserve"> </w:t>
      </w:r>
      <w:r w:rsidR="00457C41">
        <w:t xml:space="preserve">and some notable achievements. </w:t>
      </w:r>
    </w:p>
    <w:p w:rsidR="00EB5ABE" w:rsidRDefault="00457C41" w:rsidP="00EB5ABE">
      <w:pPr>
        <w:pStyle w:val="BodyText"/>
      </w:pPr>
      <w:r>
        <w:t xml:space="preserve">With </w:t>
      </w:r>
      <w:r w:rsidR="00FD281E">
        <w:t>the support of the project</w:t>
      </w:r>
      <w:r>
        <w:t xml:space="preserve"> over the past year, the Ground Water Management Unit (GWMU) of the Ministry of Environment and Green Development (MEGD) has ce</w:t>
      </w:r>
      <w:r w:rsidR="00FD281E">
        <w:t>mented the stable operation of three</w:t>
      </w:r>
      <w:r>
        <w:t xml:space="preserve"> River Basin Authorities (RBAs) to successfully engage with local water-users. The RBAs</w:t>
      </w:r>
      <w:r w:rsidR="00777CB0">
        <w:t>,</w:t>
      </w:r>
      <w:r>
        <w:t xml:space="preserve"> under the supervision of GWMU</w:t>
      </w:r>
      <w:r w:rsidR="00777CB0">
        <w:t>,</w:t>
      </w:r>
      <w:r>
        <w:t xml:space="preserve"> </w:t>
      </w:r>
      <w:r w:rsidR="00FD281E">
        <w:t>are providing</w:t>
      </w:r>
      <w:r>
        <w:t xml:space="preserve"> professional services to increase awareness</w:t>
      </w:r>
      <w:r w:rsidR="00005943">
        <w:t xml:space="preserve"> and promote</w:t>
      </w:r>
      <w:r>
        <w:t xml:space="preserve"> efficient water management</w:t>
      </w:r>
      <w:r w:rsidR="00005943">
        <w:t>. RBAs</w:t>
      </w:r>
      <w:r w:rsidR="00005943" w:rsidRPr="00005943">
        <w:t xml:space="preserve"> conducted trainings and campaigns for communities and companies</w:t>
      </w:r>
      <w:r w:rsidR="00FD281E">
        <w:t>,</w:t>
      </w:r>
      <w:r w:rsidR="00005943" w:rsidRPr="00005943">
        <w:t xml:space="preserve"> and made i</w:t>
      </w:r>
      <w:r w:rsidR="00777CB0">
        <w:t>nventories of water resources. The i</w:t>
      </w:r>
      <w:r w:rsidR="00005943" w:rsidRPr="00005943">
        <w:t xml:space="preserve">nstallation of 200 monitoring points </w:t>
      </w:r>
      <w:r w:rsidR="00777CB0">
        <w:t>was</w:t>
      </w:r>
      <w:r w:rsidR="00005943" w:rsidRPr="00005943">
        <w:t xml:space="preserve"> complete</w:t>
      </w:r>
      <w:r w:rsidR="00777CB0">
        <w:t>d</w:t>
      </w:r>
      <w:r w:rsidR="00005943" w:rsidRPr="00005943">
        <w:t xml:space="preserve"> by July 2015</w:t>
      </w:r>
      <w:r w:rsidR="00FD281E">
        <w:t>,</w:t>
      </w:r>
      <w:r w:rsidR="00EB5ABE" w:rsidRPr="00EB5ABE">
        <w:t xml:space="preserve"> </w:t>
      </w:r>
      <w:r w:rsidR="00EB5ABE">
        <w:t xml:space="preserve">including the use of </w:t>
      </w:r>
      <w:r w:rsidR="00EB5ABE" w:rsidRPr="00EB5ABE">
        <w:t xml:space="preserve">innovative mobile-phone technology to record and report water levels from </w:t>
      </w:r>
      <w:r w:rsidR="00EB5ABE">
        <w:t>remote sites</w:t>
      </w:r>
      <w:r w:rsidR="00005943" w:rsidRPr="00005943">
        <w:t xml:space="preserve">. Socio-economic and ecological data </w:t>
      </w:r>
      <w:r w:rsidR="00432EED">
        <w:t>were</w:t>
      </w:r>
      <w:r w:rsidR="00005943" w:rsidRPr="00005943">
        <w:t xml:space="preserve"> collected and reviewed, and water permits approved for 28 companies.  Recognizing the value of GWMU and RBA</w:t>
      </w:r>
      <w:r w:rsidR="00FD281E">
        <w:t>’</w:t>
      </w:r>
      <w:r w:rsidR="00005943" w:rsidRPr="00005943">
        <w:t xml:space="preserve">s work in southern provinces, </w:t>
      </w:r>
      <w:r w:rsidR="00EB5ABE">
        <w:t xml:space="preserve">the </w:t>
      </w:r>
      <w:r w:rsidR="00B55DDD">
        <w:t>GoM</w:t>
      </w:r>
      <w:r w:rsidR="00005943" w:rsidRPr="00005943">
        <w:t xml:space="preserve"> decided to </w:t>
      </w:r>
      <w:r w:rsidR="0004395B">
        <w:t>retain</w:t>
      </w:r>
      <w:r w:rsidR="00005943" w:rsidRPr="00005943">
        <w:t xml:space="preserve"> these structures </w:t>
      </w:r>
      <w:r w:rsidR="00B55DDD">
        <w:t>after</w:t>
      </w:r>
      <w:r w:rsidR="00005943" w:rsidRPr="00005943">
        <w:t xml:space="preserve"> the </w:t>
      </w:r>
      <w:r w:rsidR="00EC0044">
        <w:t>2014 government</w:t>
      </w:r>
      <w:r w:rsidR="00005943" w:rsidRPr="00005943">
        <w:t xml:space="preserve"> reshuffle. </w:t>
      </w:r>
    </w:p>
    <w:p w:rsidR="00EB5ABE" w:rsidRDefault="00FD281E" w:rsidP="00EB5ABE">
      <w:pPr>
        <w:pStyle w:val="BodyText"/>
      </w:pPr>
      <w:r>
        <w:t>The activity</w:t>
      </w:r>
      <w:r w:rsidR="00EB5ABE">
        <w:t xml:space="preserve"> responds to gender issues by ensuring</w:t>
      </w:r>
      <w:r w:rsidR="00EB5ABE" w:rsidRPr="00EB5ABE">
        <w:t xml:space="preserve"> equal access to information and activities for men and women, and secures a balanced ratio in wat</w:t>
      </w:r>
      <w:r>
        <w:t>er-</w:t>
      </w:r>
      <w:r w:rsidR="00EB5ABE" w:rsidRPr="00EB5ABE">
        <w:t xml:space="preserve">related </w:t>
      </w:r>
      <w:r w:rsidR="00B55DDD">
        <w:t>consultations. Women make up 60 per cent of RBA staff and 40 per cent</w:t>
      </w:r>
      <w:r w:rsidR="00EB5ABE" w:rsidRPr="00EB5ABE">
        <w:t xml:space="preserve"> of the 80 environmental experts trained during the last year. Most of </w:t>
      </w:r>
      <w:r w:rsidR="00EC0044">
        <w:t>Mongolia’s</w:t>
      </w:r>
      <w:r w:rsidR="00EB5ABE" w:rsidRPr="00EB5ABE">
        <w:t xml:space="preserve"> envir</w:t>
      </w:r>
      <w:r w:rsidR="00B55DDD">
        <w:t xml:space="preserve">onmental experts are men, so </w:t>
      </w:r>
      <w:r w:rsidR="00EB5ABE" w:rsidRPr="00EB5ABE">
        <w:t xml:space="preserve">women’s participation </w:t>
      </w:r>
      <w:r w:rsidR="00777CB0">
        <w:t xml:space="preserve">rate of 40 per cent </w:t>
      </w:r>
      <w:r w:rsidR="00EC0044">
        <w:t>represents</w:t>
      </w:r>
      <w:r w:rsidR="00EB5ABE" w:rsidRPr="00EB5ABE">
        <w:t xml:space="preserve"> good progress towards gender balance.</w:t>
      </w:r>
    </w:p>
    <w:p w:rsidR="00EB5ABE" w:rsidRPr="00EB5ABE" w:rsidRDefault="00EB5ABE" w:rsidP="00EB5ABE">
      <w:pPr>
        <w:pStyle w:val="BodyText"/>
        <w:rPr>
          <w:i/>
        </w:rPr>
      </w:pPr>
      <w:r w:rsidRPr="00432EED">
        <w:rPr>
          <w:b/>
          <w:i/>
          <w:u w:val="single"/>
        </w:rPr>
        <w:t xml:space="preserve">Contributing activity: </w:t>
      </w:r>
      <w:r w:rsidR="000514FB" w:rsidRPr="00432EED">
        <w:rPr>
          <w:b/>
          <w:i/>
          <w:u w:val="single"/>
        </w:rPr>
        <w:t xml:space="preserve">Technical </w:t>
      </w:r>
      <w:r w:rsidR="001B7FA2" w:rsidRPr="00432EED">
        <w:rPr>
          <w:b/>
          <w:i/>
          <w:u w:val="single"/>
        </w:rPr>
        <w:t xml:space="preserve">and </w:t>
      </w:r>
      <w:r w:rsidR="000514FB" w:rsidRPr="00432EED">
        <w:rPr>
          <w:b/>
          <w:i/>
          <w:u w:val="single"/>
        </w:rPr>
        <w:t xml:space="preserve">Vocational </w:t>
      </w:r>
      <w:r w:rsidR="001B7FA2" w:rsidRPr="00432EED">
        <w:rPr>
          <w:b/>
          <w:i/>
          <w:u w:val="single"/>
        </w:rPr>
        <w:t xml:space="preserve">Education and </w:t>
      </w:r>
      <w:r w:rsidR="000514FB" w:rsidRPr="00432EED">
        <w:rPr>
          <w:b/>
          <w:i/>
          <w:u w:val="single"/>
        </w:rPr>
        <w:t xml:space="preserve">Training </w:t>
      </w:r>
      <w:r w:rsidR="001B7FA2" w:rsidRPr="00432EED">
        <w:rPr>
          <w:b/>
          <w:i/>
          <w:u w:val="single"/>
        </w:rPr>
        <w:t xml:space="preserve">(TVET) </w:t>
      </w:r>
      <w:r w:rsidR="000514FB" w:rsidRPr="00432EED">
        <w:rPr>
          <w:b/>
          <w:i/>
          <w:u w:val="single"/>
        </w:rPr>
        <w:t xml:space="preserve">in the Mineral Resource Sector </w:t>
      </w:r>
      <w:r w:rsidRPr="00432EED">
        <w:rPr>
          <w:b/>
          <w:i/>
          <w:u w:val="single"/>
        </w:rPr>
        <w:t>Project</w:t>
      </w:r>
      <w:r w:rsidR="0004395B">
        <w:rPr>
          <w:b/>
          <w:i/>
          <w:u w:val="single"/>
        </w:rPr>
        <w:t xml:space="preserve"> ($4m 2014–18)</w:t>
      </w:r>
      <w:r w:rsidRPr="00EB5ABE">
        <w:rPr>
          <w:i/>
          <w:u w:val="single"/>
        </w:rPr>
        <w:br/>
      </w:r>
      <w:r w:rsidRPr="00EB5ABE">
        <w:rPr>
          <w:i/>
        </w:rPr>
        <w:t>End of activity outcome:</w:t>
      </w:r>
      <w:r w:rsidR="000514FB" w:rsidRPr="000514FB">
        <w:t xml:space="preserve"> </w:t>
      </w:r>
      <w:r w:rsidR="0004395B">
        <w:rPr>
          <w:i/>
        </w:rPr>
        <w:t>The organis</w:t>
      </w:r>
      <w:r w:rsidR="000514FB" w:rsidRPr="000514FB">
        <w:rPr>
          <w:i/>
        </w:rPr>
        <w:t>ational, human resource and co</w:t>
      </w:r>
      <w:r w:rsidR="00D87748">
        <w:rPr>
          <w:i/>
        </w:rPr>
        <w:t>ntent related requirements for</w:t>
      </w:r>
      <w:r w:rsidR="000514FB" w:rsidRPr="000514FB">
        <w:rPr>
          <w:i/>
        </w:rPr>
        <w:t xml:space="preserve"> needs-based vocational training within the mineral resource sector and </w:t>
      </w:r>
      <w:r w:rsidR="001B0D59">
        <w:rPr>
          <w:i/>
        </w:rPr>
        <w:t>related</w:t>
      </w:r>
      <w:r w:rsidR="000514FB" w:rsidRPr="000514FB">
        <w:rPr>
          <w:i/>
        </w:rPr>
        <w:t xml:space="preserve"> industries are established in selected </w:t>
      </w:r>
      <w:r w:rsidR="000514FB">
        <w:rPr>
          <w:i/>
        </w:rPr>
        <w:t>TVET</w:t>
      </w:r>
      <w:r w:rsidR="000514FB" w:rsidRPr="000514FB">
        <w:rPr>
          <w:i/>
        </w:rPr>
        <w:t xml:space="preserve"> institutions</w:t>
      </w:r>
      <w:r w:rsidR="001B0D59">
        <w:rPr>
          <w:i/>
        </w:rPr>
        <w:t xml:space="preserve"> in South Gobi</w:t>
      </w:r>
      <w:r w:rsidR="000514FB" w:rsidRPr="000514FB">
        <w:rPr>
          <w:i/>
        </w:rPr>
        <w:t>.</w:t>
      </w:r>
    </w:p>
    <w:p w:rsidR="001B0D59" w:rsidRDefault="001B0D59" w:rsidP="00C83CA9">
      <w:pPr>
        <w:pStyle w:val="BodyText"/>
      </w:pPr>
      <w:r>
        <w:t xml:space="preserve">This is </w:t>
      </w:r>
      <w:r w:rsidR="00D87748">
        <w:t>a</w:t>
      </w:r>
      <w:r>
        <w:t xml:space="preserve"> co-financed </w:t>
      </w:r>
      <w:r w:rsidR="004B521C">
        <w:t xml:space="preserve">partnership </w:t>
      </w:r>
      <w:r>
        <w:t>activity (German, Swiss and Australian governments)</w:t>
      </w:r>
      <w:r w:rsidR="00D87748">
        <w:t>,</w:t>
      </w:r>
      <w:r>
        <w:t xml:space="preserve"> with the German aid agency </w:t>
      </w:r>
      <w:r w:rsidR="00005943" w:rsidRPr="00005943">
        <w:t xml:space="preserve">GIZ progressing activities since July 2014. </w:t>
      </w:r>
      <w:r w:rsidR="003F5FF6">
        <w:t>An independent evaluation by GIZ in May 2015 found the project is on track to achieve i</w:t>
      </w:r>
      <w:r w:rsidR="00FD281E">
        <w:t>ts</w:t>
      </w:r>
      <w:r w:rsidR="003F5FF6">
        <w:t xml:space="preserve"> objectives</w:t>
      </w:r>
      <w:r w:rsidR="00FD281E">
        <w:rPr>
          <w:rStyle w:val="FootnoteReference"/>
        </w:rPr>
        <w:footnoteReference w:id="14"/>
      </w:r>
      <w:r w:rsidR="003F5FF6">
        <w:t xml:space="preserve">, </w:t>
      </w:r>
      <w:r w:rsidR="00FD281E">
        <w:t>and makes</w:t>
      </w:r>
      <w:r w:rsidR="003F5FF6">
        <w:t xml:space="preserve"> ap</w:t>
      </w:r>
      <w:r w:rsidR="00FD281E">
        <w:t>propriate use of resources. A</w:t>
      </w:r>
      <w:r w:rsidR="003F5FF6">
        <w:t xml:space="preserve"> sustainable project impact is </w:t>
      </w:r>
      <w:r w:rsidR="00663FFE">
        <w:t>expected—with</w:t>
      </w:r>
      <w:r w:rsidR="001B7FA2">
        <w:t xml:space="preserve"> growing demand from the mining industry and other employers for skilled local staff</w:t>
      </w:r>
      <w:r w:rsidR="003F5FF6">
        <w:t xml:space="preserve">. </w:t>
      </w:r>
      <w:r w:rsidR="008170B8">
        <w:t>A</w:t>
      </w:r>
      <w:r w:rsidRPr="00005943">
        <w:t xml:space="preserve"> baseline survey and project implementation unit </w:t>
      </w:r>
      <w:r w:rsidR="00663FFE">
        <w:t>were</w:t>
      </w:r>
      <w:r w:rsidRPr="00005943">
        <w:t xml:space="preserve"> established</w:t>
      </w:r>
      <w:r w:rsidR="00032BDC">
        <w:t>,</w:t>
      </w:r>
      <w:r w:rsidRPr="00005943">
        <w:t xml:space="preserve"> </w:t>
      </w:r>
      <w:r w:rsidR="00663FFE">
        <w:t>a</w:t>
      </w:r>
      <w:r w:rsidR="00034187">
        <w:t xml:space="preserve"> technical advise</w:t>
      </w:r>
      <w:r w:rsidRPr="00005943">
        <w:t>r placed</w:t>
      </w:r>
      <w:r w:rsidR="00FD281E">
        <w:t>,</w:t>
      </w:r>
      <w:r w:rsidR="00032BDC">
        <w:t xml:space="preserve"> and several capacity development trainings for teachers conducted</w:t>
      </w:r>
      <w:r w:rsidRPr="00005943">
        <w:t>.</w:t>
      </w:r>
      <w:r>
        <w:t xml:space="preserve"> </w:t>
      </w:r>
      <w:r w:rsidR="008170B8">
        <w:t>A</w:t>
      </w:r>
      <w:r w:rsidR="00005943" w:rsidRPr="00005943">
        <w:t xml:space="preserve"> twinning</w:t>
      </w:r>
      <w:r>
        <w:t xml:space="preserve"> arrangement</w:t>
      </w:r>
      <w:r w:rsidR="00005943" w:rsidRPr="00005943">
        <w:t xml:space="preserve"> with Melbourne </w:t>
      </w:r>
      <w:r w:rsidR="008170B8">
        <w:t xml:space="preserve">Polytechnic </w:t>
      </w:r>
      <w:r w:rsidR="00032BDC">
        <w:t>and the Dalanzadgad</w:t>
      </w:r>
      <w:r w:rsidR="00032BDC" w:rsidRPr="00005943">
        <w:t xml:space="preserve"> TVET </w:t>
      </w:r>
      <w:r w:rsidR="00663FFE">
        <w:t>College</w:t>
      </w:r>
      <w:r w:rsidR="00032BDC">
        <w:t xml:space="preserve"> in South Gobi</w:t>
      </w:r>
      <w:r w:rsidR="00032BDC" w:rsidRPr="00005943">
        <w:t xml:space="preserve"> was signed </w:t>
      </w:r>
      <w:r w:rsidR="008170B8">
        <w:t>in March 2015</w:t>
      </w:r>
      <w:r w:rsidR="00005943" w:rsidRPr="00005943">
        <w:t>.</w:t>
      </w:r>
      <w:r w:rsidR="00FD281E">
        <w:t xml:space="preserve"> A</w:t>
      </w:r>
      <w:r w:rsidR="00032BDC">
        <w:t>ctivities</w:t>
      </w:r>
      <w:r>
        <w:t xml:space="preserve"> </w:t>
      </w:r>
      <w:r w:rsidR="00032BDC">
        <w:t xml:space="preserve">under the twinning framework </w:t>
      </w:r>
      <w:r w:rsidR="00FD281E">
        <w:t>will</w:t>
      </w:r>
      <w:r>
        <w:t xml:space="preserve"> gain momentum </w:t>
      </w:r>
      <w:r w:rsidR="008170B8">
        <w:t xml:space="preserve">as new competency-based training course curricula </w:t>
      </w:r>
      <w:r w:rsidR="00032BDC">
        <w:t xml:space="preserve">(welding, bricklaying) </w:t>
      </w:r>
      <w:r w:rsidR="008170B8">
        <w:t xml:space="preserve">are piloted </w:t>
      </w:r>
      <w:r w:rsidR="00032BDC">
        <w:t>in</w:t>
      </w:r>
      <w:r w:rsidR="008170B8">
        <w:t xml:space="preserve"> the September </w:t>
      </w:r>
      <w:r w:rsidR="00032BDC">
        <w:t xml:space="preserve">2015 </w:t>
      </w:r>
      <w:r w:rsidR="008170B8">
        <w:t xml:space="preserve">semester, and </w:t>
      </w:r>
      <w:r w:rsidR="00032BDC">
        <w:t xml:space="preserve">from July </w:t>
      </w:r>
      <w:r w:rsidR="008170B8">
        <w:t xml:space="preserve">the </w:t>
      </w:r>
      <w:r w:rsidR="00032BDC">
        <w:t xml:space="preserve">Melbourne Polytechnic </w:t>
      </w:r>
      <w:r w:rsidR="008170B8">
        <w:t xml:space="preserve">adviser </w:t>
      </w:r>
      <w:r w:rsidR="0007777B">
        <w:t xml:space="preserve">starts work to </w:t>
      </w:r>
      <w:r w:rsidR="008170B8">
        <w:t>assist</w:t>
      </w:r>
      <w:r w:rsidR="00A257B2">
        <w:t xml:space="preserve"> the Ministry of L</w:t>
      </w:r>
      <w:r w:rsidR="008170B8">
        <w:t>abour on TVET sector reform</w:t>
      </w:r>
      <w:r>
        <w:t>.</w:t>
      </w:r>
      <w:r w:rsidR="00005943" w:rsidRPr="00005943">
        <w:t xml:space="preserve"> </w:t>
      </w:r>
    </w:p>
    <w:p w:rsidR="00B55DDD" w:rsidRDefault="00B55DDD" w:rsidP="00C83CA9">
      <w:pPr>
        <w:pStyle w:val="BodyText"/>
      </w:pPr>
      <w:r>
        <w:t>The pro</w:t>
      </w:r>
      <w:r w:rsidR="00EC0044">
        <w:t>gram</w:t>
      </w:r>
      <w:r>
        <w:t xml:space="preserve"> engages with the private sector—as the largest </w:t>
      </w:r>
      <w:r w:rsidRPr="000514FB">
        <w:t>potential employer for vocational education graduates</w:t>
      </w:r>
      <w:r>
        <w:t>—</w:t>
      </w:r>
      <w:r w:rsidRPr="000514FB">
        <w:t xml:space="preserve">through consultations, regular meetings and technical </w:t>
      </w:r>
      <w:r w:rsidRPr="000514FB">
        <w:lastRenderedPageBreak/>
        <w:t xml:space="preserve">board sessions to improve the link between potential employers and TVET </w:t>
      </w:r>
      <w:r w:rsidR="0007777B">
        <w:t xml:space="preserve">providers </w:t>
      </w:r>
      <w:r w:rsidRPr="000514FB">
        <w:t>(</w:t>
      </w:r>
      <w:r w:rsidR="00663FFE">
        <w:t>through demand-</w:t>
      </w:r>
      <w:r w:rsidRPr="000514FB">
        <w:t xml:space="preserve">driven curriculum development, </w:t>
      </w:r>
      <w:r w:rsidR="00663FFE">
        <w:t xml:space="preserve">and </w:t>
      </w:r>
      <w:r w:rsidRPr="000514FB">
        <w:t>quali</w:t>
      </w:r>
      <w:r w:rsidR="00034187">
        <w:t>ty short and long-term training</w:t>
      </w:r>
      <w:r w:rsidRPr="000514FB">
        <w:t xml:space="preserve"> to provide </w:t>
      </w:r>
      <w:r w:rsidR="00663FFE" w:rsidRPr="000514FB">
        <w:t xml:space="preserve">students </w:t>
      </w:r>
      <w:r w:rsidR="00663FFE">
        <w:t>with skills that</w:t>
      </w:r>
      <w:r w:rsidRPr="000514FB">
        <w:t xml:space="preserve"> meet industry’s requirements).</w:t>
      </w:r>
      <w:r>
        <w:t xml:space="preserve"> </w:t>
      </w:r>
      <w:r w:rsidR="008170B8">
        <w:rPr>
          <w:szCs w:val="22"/>
          <w:lang w:val="en-US"/>
        </w:rPr>
        <w:t xml:space="preserve">To strengthen the collaboration between the </w:t>
      </w:r>
      <w:r w:rsidR="0007777B">
        <w:rPr>
          <w:szCs w:val="22"/>
          <w:lang w:val="en-US"/>
        </w:rPr>
        <w:t>TVET C</w:t>
      </w:r>
      <w:r w:rsidR="00663FFE">
        <w:rPr>
          <w:szCs w:val="22"/>
          <w:lang w:val="en-US"/>
        </w:rPr>
        <w:t>ollege</w:t>
      </w:r>
      <w:r w:rsidR="008170B8">
        <w:rPr>
          <w:szCs w:val="22"/>
          <w:lang w:val="en-US"/>
        </w:rPr>
        <w:t xml:space="preserve"> and the private sector, the program helped establish </w:t>
      </w:r>
      <w:r w:rsidR="008170B8" w:rsidRPr="00C05484">
        <w:rPr>
          <w:szCs w:val="22"/>
          <w:lang w:val="en-US"/>
        </w:rPr>
        <w:t>a</w:t>
      </w:r>
      <w:r w:rsidR="008170B8">
        <w:rPr>
          <w:szCs w:val="22"/>
          <w:lang w:val="en-US"/>
        </w:rPr>
        <w:t>n</w:t>
      </w:r>
      <w:r w:rsidR="008170B8" w:rsidRPr="00C05484">
        <w:rPr>
          <w:szCs w:val="22"/>
          <w:lang w:val="en-US"/>
        </w:rPr>
        <w:t xml:space="preserve"> </w:t>
      </w:r>
      <w:r w:rsidR="008170B8">
        <w:rPr>
          <w:szCs w:val="22"/>
          <w:lang w:val="en-US"/>
        </w:rPr>
        <w:t>advisory board for</w:t>
      </w:r>
      <w:r w:rsidR="008170B8" w:rsidRPr="00C05484">
        <w:rPr>
          <w:szCs w:val="22"/>
          <w:lang w:val="en-US"/>
        </w:rPr>
        <w:t xml:space="preserve"> industrial mechanics </w:t>
      </w:r>
      <w:r w:rsidR="008170B8">
        <w:rPr>
          <w:szCs w:val="22"/>
          <w:lang w:val="en-US"/>
        </w:rPr>
        <w:t>including</w:t>
      </w:r>
      <w:r w:rsidR="008170B8" w:rsidRPr="00C05484">
        <w:rPr>
          <w:szCs w:val="22"/>
          <w:lang w:val="en-US"/>
        </w:rPr>
        <w:t xml:space="preserve"> </w:t>
      </w:r>
      <w:r w:rsidR="008170B8">
        <w:rPr>
          <w:szCs w:val="22"/>
          <w:lang w:val="en-US"/>
        </w:rPr>
        <w:t>representatives from seven</w:t>
      </w:r>
      <w:r w:rsidR="008170B8" w:rsidRPr="00C05484">
        <w:rPr>
          <w:szCs w:val="22"/>
          <w:lang w:val="en-US"/>
        </w:rPr>
        <w:t xml:space="preserve"> local private companies</w:t>
      </w:r>
      <w:r w:rsidR="008170B8">
        <w:rPr>
          <w:szCs w:val="22"/>
          <w:lang w:val="en-US"/>
        </w:rPr>
        <w:t xml:space="preserve"> and the local mining association. Cooperation agreements between th</w:t>
      </w:r>
      <w:r w:rsidR="0007777B">
        <w:rPr>
          <w:szCs w:val="22"/>
          <w:lang w:val="en-US"/>
        </w:rPr>
        <w:t>e C</w:t>
      </w:r>
      <w:r w:rsidR="008170B8">
        <w:rPr>
          <w:szCs w:val="22"/>
          <w:lang w:val="en-US"/>
        </w:rPr>
        <w:t>ollege and local companies are in preparation.</w:t>
      </w:r>
      <w:r w:rsidRPr="000514FB">
        <w:t xml:space="preserve"> </w:t>
      </w:r>
    </w:p>
    <w:p w:rsidR="00B55DDD" w:rsidRDefault="0062307E" w:rsidP="00B55DDD">
      <w:pPr>
        <w:pStyle w:val="BodyText"/>
      </w:pPr>
      <w:r>
        <w:t>A</w:t>
      </w:r>
      <w:r w:rsidR="00B55DDD" w:rsidRPr="000514FB">
        <w:t xml:space="preserve"> gender strategy </w:t>
      </w:r>
      <w:r>
        <w:t>promotes</w:t>
      </w:r>
      <w:r w:rsidR="00B55DDD" w:rsidRPr="000514FB">
        <w:t xml:space="preserve"> equal access by reducin</w:t>
      </w:r>
      <w:r w:rsidR="00663FFE">
        <w:t>g the gap in women's opportunities</w:t>
      </w:r>
      <w:r w:rsidR="00B55DDD" w:rsidRPr="000514FB">
        <w:t xml:space="preserve"> to access vocational education and future employment. </w:t>
      </w:r>
      <w:r w:rsidR="00C01BF1">
        <w:t xml:space="preserve">The strategy </w:t>
      </w:r>
      <w:r w:rsidR="00B55DDD" w:rsidRPr="000514FB">
        <w:t>aims to incr</w:t>
      </w:r>
      <w:r w:rsidR="00C01BF1">
        <w:t>ease the proportion of women in</w:t>
      </w:r>
      <w:r w:rsidR="00B55DDD" w:rsidRPr="000514FB">
        <w:t xml:space="preserve"> traditionally ‘male </w:t>
      </w:r>
      <w:r w:rsidR="00C01BF1" w:rsidRPr="000514FB">
        <w:t>courses</w:t>
      </w:r>
      <w:r w:rsidR="00B55DDD" w:rsidRPr="000514FB">
        <w:t>’ such as mec</w:t>
      </w:r>
      <w:r w:rsidR="00663FFE">
        <w:t>hanical engineering, electrics</w:t>
      </w:r>
      <w:r w:rsidR="00B55DDD" w:rsidRPr="000514FB">
        <w:t xml:space="preserve"> and construction. </w:t>
      </w:r>
      <w:r w:rsidR="00EC0044">
        <w:t>In 2014–15 the program organis</w:t>
      </w:r>
      <w:r w:rsidR="00B55DDD" w:rsidRPr="000514FB">
        <w:t>ed career guidance events for girls (in cooperation with M</w:t>
      </w:r>
      <w:r w:rsidR="00C01BF1">
        <w:t xml:space="preserve">inistry </w:t>
      </w:r>
      <w:r w:rsidR="00B55DDD" w:rsidRPr="000514FB">
        <w:t>o</w:t>
      </w:r>
      <w:r w:rsidR="00C01BF1">
        <w:t xml:space="preserve">f </w:t>
      </w:r>
      <w:r w:rsidR="00B55DDD" w:rsidRPr="000514FB">
        <w:t>L</w:t>
      </w:r>
      <w:r w:rsidR="00C01BF1">
        <w:t>abour</w:t>
      </w:r>
      <w:r w:rsidR="00B55DDD" w:rsidRPr="000514FB">
        <w:t xml:space="preserve">), awareness raising, </w:t>
      </w:r>
      <w:r w:rsidR="00C01BF1">
        <w:t>information sessions and gender-</w:t>
      </w:r>
      <w:r w:rsidR="00B55DDD" w:rsidRPr="000514FB">
        <w:t>targeted promotional activities, as</w:t>
      </w:r>
      <w:r w:rsidR="00C01BF1">
        <w:t xml:space="preserve"> well as short-</w:t>
      </w:r>
      <w:r w:rsidR="00B55DDD" w:rsidRPr="000514FB">
        <w:t>term skills training</w:t>
      </w:r>
      <w:r w:rsidR="00C01BF1">
        <w:t xml:space="preserve"> for women</w:t>
      </w:r>
      <w:r w:rsidR="00B55DDD" w:rsidRPr="000514FB">
        <w:t>.</w:t>
      </w:r>
    </w:p>
    <w:p w:rsidR="00EC0044" w:rsidRDefault="00B55DDD" w:rsidP="00C83CA9">
      <w:pPr>
        <w:pStyle w:val="BodyText"/>
      </w:pPr>
      <w:r>
        <w:t>The pro</w:t>
      </w:r>
      <w:r w:rsidR="00EC0044">
        <w:t>gram</w:t>
      </w:r>
      <w:r w:rsidR="0007777B">
        <w:t xml:space="preserve"> works</w:t>
      </w:r>
      <w:r>
        <w:t xml:space="preserve"> with Mongolia’s</w:t>
      </w:r>
      <w:r w:rsidR="00005943" w:rsidRPr="00005943">
        <w:t xml:space="preserve"> National Disability</w:t>
      </w:r>
      <w:r w:rsidR="00663FFE">
        <w:t xml:space="preserve"> Center to integrate disability-</w:t>
      </w:r>
      <w:r w:rsidR="00005943" w:rsidRPr="00005943">
        <w:t>inclusiveness in</w:t>
      </w:r>
      <w:r>
        <w:t>to</w:t>
      </w:r>
      <w:r w:rsidR="00005943" w:rsidRPr="00005943">
        <w:t xml:space="preserve"> training curricula and approaches. </w:t>
      </w:r>
      <w:r w:rsidR="0007777B">
        <w:t>In</w:t>
      </w:r>
      <w:r w:rsidR="00731142">
        <w:t xml:space="preserve"> </w:t>
      </w:r>
      <w:r w:rsidR="008170B8">
        <w:t xml:space="preserve">May </w:t>
      </w:r>
      <w:r w:rsidR="00731142">
        <w:t>2015 the pro</w:t>
      </w:r>
      <w:r w:rsidR="00EC0044">
        <w:t>gram</w:t>
      </w:r>
      <w:r w:rsidR="00731142">
        <w:t xml:space="preserve"> </w:t>
      </w:r>
      <w:r w:rsidR="008170B8">
        <w:t xml:space="preserve">conducted </w:t>
      </w:r>
      <w:r w:rsidR="00005943" w:rsidRPr="00005943">
        <w:t xml:space="preserve">a </w:t>
      </w:r>
      <w:r>
        <w:t>survey to identify vocational education</w:t>
      </w:r>
      <w:r w:rsidR="00005943" w:rsidRPr="00005943">
        <w:t xml:space="preserve"> and future employment opportunities for </w:t>
      </w:r>
      <w:r w:rsidR="0007777B">
        <w:t>people with a disability</w:t>
      </w:r>
      <w:r w:rsidR="00005943" w:rsidRPr="00005943">
        <w:t xml:space="preserve"> in S</w:t>
      </w:r>
      <w:r>
        <w:t xml:space="preserve">outh </w:t>
      </w:r>
      <w:r w:rsidR="00005943" w:rsidRPr="00005943">
        <w:t>G</w:t>
      </w:r>
      <w:r>
        <w:t>obi</w:t>
      </w:r>
      <w:r w:rsidR="00731142">
        <w:t xml:space="preserve">, and determine how to mainstream disability issues into </w:t>
      </w:r>
      <w:r w:rsidR="0007777B">
        <w:t xml:space="preserve">pilot </w:t>
      </w:r>
      <w:r w:rsidR="00731142">
        <w:t>long and short-t</w:t>
      </w:r>
      <w:r w:rsidR="0007777B">
        <w:t>erm vocational course curricula</w:t>
      </w:r>
      <w:r w:rsidR="00005943" w:rsidRPr="00005943">
        <w:t>.</w:t>
      </w:r>
      <w:r w:rsidR="008170B8">
        <w:t xml:space="preserve"> The s</w:t>
      </w:r>
      <w:r w:rsidR="0007777B">
        <w:t>tudy made</w:t>
      </w:r>
      <w:r w:rsidR="008170B8">
        <w:t xml:space="preserve"> a number of recommendations for improving learning opportunities for students with disabilities. Capacity development and sensitisation training for teachers is planned for late August 2015</w:t>
      </w:r>
      <w:r w:rsidR="0007777B">
        <w:t>.</w:t>
      </w:r>
    </w:p>
    <w:p w:rsidR="005348DF" w:rsidRDefault="00EC0044" w:rsidP="00C83CA9">
      <w:pPr>
        <w:pStyle w:val="BodyText"/>
      </w:pPr>
      <w:r w:rsidRPr="005F7211">
        <w:rPr>
          <w:rFonts w:cs="Calibri"/>
          <w:color w:val="000000" w:themeColor="text1"/>
          <w:szCs w:val="21"/>
        </w:rPr>
        <w:t xml:space="preserve">The program is well aligned with Mongolia’s </w:t>
      </w:r>
      <w:r>
        <w:rPr>
          <w:rFonts w:cs="Calibri"/>
          <w:color w:val="000000" w:themeColor="text1"/>
          <w:szCs w:val="21"/>
        </w:rPr>
        <w:t>efforts</w:t>
      </w:r>
      <w:r w:rsidRPr="005F7211">
        <w:rPr>
          <w:rFonts w:cs="Calibri"/>
          <w:color w:val="000000" w:themeColor="text1"/>
          <w:szCs w:val="21"/>
        </w:rPr>
        <w:t xml:space="preserve"> to promote emplo</w:t>
      </w:r>
      <w:r>
        <w:rPr>
          <w:rFonts w:cs="Calibri"/>
          <w:color w:val="000000" w:themeColor="text1"/>
          <w:szCs w:val="21"/>
        </w:rPr>
        <w:t>yment and income generation as</w:t>
      </w:r>
      <w:r>
        <w:rPr>
          <w:rFonts w:eastAsia="Malgun Gothic" w:cs="Calibri" w:hint="eastAsia"/>
          <w:color w:val="000000" w:themeColor="text1"/>
          <w:szCs w:val="21"/>
          <w:lang w:eastAsia="ko-KR"/>
        </w:rPr>
        <w:t xml:space="preserve"> a</w:t>
      </w:r>
      <w:r w:rsidRPr="005F7211">
        <w:rPr>
          <w:rFonts w:cs="Calibri"/>
          <w:color w:val="000000" w:themeColor="text1"/>
          <w:szCs w:val="21"/>
        </w:rPr>
        <w:t xml:space="preserve"> part of </w:t>
      </w:r>
      <w:r>
        <w:rPr>
          <w:rFonts w:cs="Calibri"/>
          <w:color w:val="000000" w:themeColor="text1"/>
          <w:szCs w:val="21"/>
        </w:rPr>
        <w:t xml:space="preserve">the </w:t>
      </w:r>
      <w:r w:rsidRPr="005F7211">
        <w:rPr>
          <w:rFonts w:cs="Calibri"/>
          <w:color w:val="000000" w:themeColor="text1"/>
          <w:szCs w:val="21"/>
        </w:rPr>
        <w:t>equitable sharing</w:t>
      </w:r>
      <w:r>
        <w:rPr>
          <w:rFonts w:cs="Calibri"/>
          <w:color w:val="000000" w:themeColor="text1"/>
          <w:szCs w:val="21"/>
        </w:rPr>
        <w:t xml:space="preserve"> of </w:t>
      </w:r>
      <w:r w:rsidRPr="005F7211">
        <w:rPr>
          <w:rFonts w:cs="Calibri"/>
          <w:color w:val="000000" w:themeColor="text1"/>
          <w:szCs w:val="21"/>
        </w:rPr>
        <w:t>mining benefit</w:t>
      </w:r>
      <w:r>
        <w:rPr>
          <w:rFonts w:cs="Calibri"/>
          <w:color w:val="000000" w:themeColor="text1"/>
          <w:szCs w:val="21"/>
        </w:rPr>
        <w:t>s</w:t>
      </w:r>
      <w:r w:rsidRPr="005F7211">
        <w:rPr>
          <w:rFonts w:cs="Calibri"/>
          <w:color w:val="000000" w:themeColor="text1"/>
          <w:szCs w:val="21"/>
        </w:rPr>
        <w:t xml:space="preserve">. </w:t>
      </w:r>
      <w:r>
        <w:rPr>
          <w:rFonts w:cs="Calibri"/>
          <w:color w:val="000000" w:themeColor="text1"/>
          <w:szCs w:val="21"/>
        </w:rPr>
        <w:t xml:space="preserve">It </w:t>
      </w:r>
      <w:r w:rsidRPr="005F7211">
        <w:rPr>
          <w:rFonts w:cs="Calibri"/>
          <w:color w:val="000000" w:themeColor="text1"/>
          <w:szCs w:val="21"/>
        </w:rPr>
        <w:t>is effective and sustainable as it focuses on capacity building of vocational schools to respond to industry demands,</w:t>
      </w:r>
      <w:r w:rsidR="0007777B">
        <w:rPr>
          <w:rFonts w:cs="Calibri"/>
          <w:color w:val="000000" w:themeColor="text1"/>
          <w:szCs w:val="21"/>
        </w:rPr>
        <w:t xml:space="preserve"> and</w:t>
      </w:r>
      <w:r w:rsidRPr="005F7211">
        <w:rPr>
          <w:rFonts w:cs="Calibri"/>
          <w:color w:val="000000" w:themeColor="text1"/>
          <w:szCs w:val="21"/>
        </w:rPr>
        <w:t xml:space="preserve"> increasing </w:t>
      </w:r>
      <w:r w:rsidR="0062307E" w:rsidRPr="005F7211">
        <w:rPr>
          <w:rFonts w:cs="Calibri"/>
          <w:color w:val="000000" w:themeColor="text1"/>
          <w:szCs w:val="21"/>
        </w:rPr>
        <w:t>graduates</w:t>
      </w:r>
      <w:r w:rsidR="0062307E">
        <w:rPr>
          <w:rFonts w:cs="Calibri"/>
          <w:color w:val="000000" w:themeColor="text1"/>
          <w:szCs w:val="21"/>
        </w:rPr>
        <w:t>’</w:t>
      </w:r>
      <w:r w:rsidR="0062307E" w:rsidRPr="005F7211">
        <w:rPr>
          <w:rFonts w:cs="Calibri"/>
          <w:color w:val="000000" w:themeColor="text1"/>
          <w:szCs w:val="21"/>
        </w:rPr>
        <w:t xml:space="preserve"> </w:t>
      </w:r>
      <w:r w:rsidRPr="005F7211">
        <w:rPr>
          <w:rFonts w:cs="Calibri"/>
          <w:color w:val="000000" w:themeColor="text1"/>
          <w:szCs w:val="21"/>
        </w:rPr>
        <w:t>employment opportunities</w:t>
      </w:r>
      <w:r w:rsidR="001B7FA2">
        <w:rPr>
          <w:rFonts w:cs="Calibri"/>
          <w:color w:val="000000" w:themeColor="text1"/>
          <w:szCs w:val="21"/>
        </w:rPr>
        <w:t>.</w:t>
      </w:r>
    </w:p>
    <w:p w:rsidR="00EB5ABE" w:rsidRDefault="00C01BF1" w:rsidP="0007008E">
      <w:pPr>
        <w:pStyle w:val="BodyText"/>
      </w:pPr>
      <w:r>
        <w:t xml:space="preserve">Australia’s </w:t>
      </w:r>
      <w:r w:rsidR="001B7FA2">
        <w:t>aid</w:t>
      </w:r>
      <w:r>
        <w:t xml:space="preserve"> to</w:t>
      </w:r>
      <w:r w:rsidRPr="0007008E">
        <w:t xml:space="preserve"> the mining se</w:t>
      </w:r>
      <w:r>
        <w:t xml:space="preserve">ctor in Mongolia </w:t>
      </w:r>
      <w:r w:rsidR="0007777B">
        <w:t xml:space="preserve">also </w:t>
      </w:r>
      <w:r>
        <w:t xml:space="preserve">includes funding </w:t>
      </w:r>
      <w:r w:rsidRPr="0007008E">
        <w:t xml:space="preserve">from global and regional programs. </w:t>
      </w:r>
      <w:r>
        <w:t xml:space="preserve">The </w:t>
      </w:r>
      <w:r w:rsidRPr="0007008E">
        <w:t>I</w:t>
      </w:r>
      <w:r>
        <w:t xml:space="preserve">nternational </w:t>
      </w:r>
      <w:r w:rsidRPr="0007008E">
        <w:t>M</w:t>
      </w:r>
      <w:r>
        <w:t>ining for Development Centre</w:t>
      </w:r>
      <w:r w:rsidRPr="0007008E">
        <w:t>’s</w:t>
      </w:r>
      <w:r>
        <w:t xml:space="preserve"> (IM</w:t>
      </w:r>
      <w:r w:rsidR="001B7FA2">
        <w:t>4</w:t>
      </w:r>
      <w:r>
        <w:t xml:space="preserve">DC) training </w:t>
      </w:r>
      <w:r w:rsidR="001B7FA2">
        <w:t>and research programs supported</w:t>
      </w:r>
      <w:r w:rsidRPr="0007008E">
        <w:t xml:space="preserve"> Mongolia’s human resource </w:t>
      </w:r>
      <w:r>
        <w:t>development through access</w:t>
      </w:r>
      <w:r w:rsidRPr="009F1D43">
        <w:t xml:space="preserve"> </w:t>
      </w:r>
      <w:r>
        <w:t>to Australian</w:t>
      </w:r>
      <w:r w:rsidRPr="0007008E">
        <w:t xml:space="preserve"> mining </w:t>
      </w:r>
      <w:r>
        <w:t>expertise</w:t>
      </w:r>
      <w:r w:rsidR="0007777B">
        <w:t>.</w:t>
      </w:r>
      <w:r w:rsidR="00731142">
        <w:t xml:space="preserve"> </w:t>
      </w:r>
      <w:r w:rsidR="00731142" w:rsidRPr="00731142">
        <w:t>IM</w:t>
      </w:r>
      <w:r w:rsidR="001B7FA2">
        <w:t>4</w:t>
      </w:r>
      <w:r w:rsidR="00731142" w:rsidRPr="00731142">
        <w:t xml:space="preserve">DC conducted in-country and </w:t>
      </w:r>
      <w:r w:rsidR="00731142">
        <w:t>in-</w:t>
      </w:r>
      <w:r w:rsidR="00034187">
        <w:t>Australia training</w:t>
      </w:r>
      <w:r w:rsidR="00731142" w:rsidRPr="00731142">
        <w:t xml:space="preserve"> and study tours on topics such as mine rehabilitation and closure, </w:t>
      </w:r>
      <w:r w:rsidR="00731142">
        <w:t>occupational health</w:t>
      </w:r>
      <w:r w:rsidR="0007777B">
        <w:t>,</w:t>
      </w:r>
      <w:r w:rsidR="00731142" w:rsidRPr="00731142">
        <w:t xml:space="preserve"> leadership, environmental management, mineral</w:t>
      </w:r>
      <w:r w:rsidR="00731142">
        <w:t>s</w:t>
      </w:r>
      <w:r w:rsidR="00731142" w:rsidRPr="00731142">
        <w:t xml:space="preserve"> policy and economics, </w:t>
      </w:r>
      <w:r w:rsidR="00731142">
        <w:t xml:space="preserve">and </w:t>
      </w:r>
      <w:r w:rsidR="00731142" w:rsidRPr="00731142">
        <w:t>community development. These topics are highly responsive to Mongolia’</w:t>
      </w:r>
      <w:r w:rsidR="00731142">
        <w:t xml:space="preserve">s </w:t>
      </w:r>
      <w:r w:rsidR="00731142" w:rsidRPr="00731142">
        <w:t>demand for capacity building to ensure responsible and effective mining sector growth</w:t>
      </w:r>
      <w:r w:rsidR="00731142">
        <w:t>.</w:t>
      </w:r>
      <w:r w:rsidR="00731142" w:rsidRPr="00731142">
        <w:t xml:space="preserve"> 68 Mongolians </w:t>
      </w:r>
      <w:r w:rsidR="006639E6">
        <w:t>were involved;</w:t>
      </w:r>
      <w:r w:rsidR="00731142">
        <w:t xml:space="preserve"> </w:t>
      </w:r>
      <w:r w:rsidR="00731142" w:rsidRPr="00731142">
        <w:t xml:space="preserve">selected from government, </w:t>
      </w:r>
      <w:r w:rsidR="00731142">
        <w:t>NGOs</w:t>
      </w:r>
      <w:r w:rsidR="00731142" w:rsidRPr="00731142">
        <w:t xml:space="preserve"> and private industries engaged in </w:t>
      </w:r>
      <w:r w:rsidR="0007777B">
        <w:t xml:space="preserve">the </w:t>
      </w:r>
      <w:r w:rsidR="00731142" w:rsidRPr="00731142">
        <w:t>mining sector</w:t>
      </w:r>
      <w:r w:rsidR="00731142">
        <w:t>.</w:t>
      </w:r>
      <w:r w:rsidR="001B7FA2">
        <w:t xml:space="preserve"> Through the Australian Development Research Awards Scheme, the University of Queensland completed a project on managing the impacts of minerals development on Mongolian women and men, and their traditional livelihoods</w:t>
      </w:r>
      <w:r w:rsidR="00C957DB">
        <w:rPr>
          <w:rStyle w:val="FootnoteReference"/>
        </w:rPr>
        <w:footnoteReference w:id="15"/>
      </w:r>
      <w:r w:rsidR="001B7FA2">
        <w:t xml:space="preserve">. </w:t>
      </w:r>
    </w:p>
    <w:p w:rsidR="0007777B" w:rsidRDefault="0007777B" w:rsidP="0007777B">
      <w:pPr>
        <w:pStyle w:val="BodyText"/>
      </w:pPr>
      <w:r>
        <w:t xml:space="preserve">Other additional small </w:t>
      </w:r>
      <w:r w:rsidRPr="00EB5ABE">
        <w:t xml:space="preserve">activities </w:t>
      </w:r>
      <w:r>
        <w:t xml:space="preserve">were funded by the bilateral program </w:t>
      </w:r>
      <w:r w:rsidRPr="00EB5ABE">
        <w:t>in 2014</w:t>
      </w:r>
      <w:r>
        <w:t>–15</w:t>
      </w:r>
      <w:r w:rsidRPr="00EB5ABE">
        <w:t xml:space="preserve"> such as a corruption survey and a geoscience capacity building </w:t>
      </w:r>
      <w:r>
        <w:t>assessment</w:t>
      </w:r>
      <w:r w:rsidRPr="00EB5ABE">
        <w:t xml:space="preserve"> mission</w:t>
      </w:r>
      <w:r>
        <w:t xml:space="preserve"> to help the GoM attract investment in mining exploration</w:t>
      </w:r>
      <w:r w:rsidRPr="00EB5ABE">
        <w:t xml:space="preserve">. </w:t>
      </w:r>
    </w:p>
    <w:p w:rsidR="0007777B" w:rsidRDefault="0007777B" w:rsidP="0007008E">
      <w:pPr>
        <w:pStyle w:val="BodyText"/>
      </w:pPr>
    </w:p>
    <w:p w:rsidR="0007777B" w:rsidRDefault="0007777B" w:rsidP="0007008E">
      <w:pPr>
        <w:pStyle w:val="BodyText"/>
      </w:pPr>
    </w:p>
    <w:p w:rsidR="00ED6B9E" w:rsidRDefault="00ED6B9E" w:rsidP="0007008E">
      <w:pPr>
        <w:pStyle w:val="BodyText"/>
      </w:pPr>
    </w:p>
    <w:p w:rsidR="001C7F08" w:rsidRDefault="0007008E" w:rsidP="00432EED">
      <w:pPr>
        <w:pStyle w:val="Heading3"/>
      </w:pPr>
      <w:r w:rsidRPr="00C57923">
        <w:t xml:space="preserve">Objective </w:t>
      </w:r>
      <w:r>
        <w:t xml:space="preserve">3: </w:t>
      </w:r>
      <w:r w:rsidR="001C7F08">
        <w:t>School communities are accessing improved water and sanitation and have improved hygiene practices.</w:t>
      </w:r>
    </w:p>
    <w:p w:rsidR="00ED6B9E" w:rsidRPr="00ED6B9E" w:rsidRDefault="00ED6B9E" w:rsidP="00432EED">
      <w:pPr>
        <w:pStyle w:val="BodyText"/>
        <w:rPr>
          <w:b/>
        </w:rPr>
      </w:pPr>
      <w:r w:rsidRPr="00ED6B9E">
        <w:rPr>
          <w:b/>
        </w:rPr>
        <w:t xml:space="preserve">Rating: </w:t>
      </w:r>
      <w:r w:rsidRPr="00ED6B9E">
        <w:rPr>
          <w:b/>
          <w:color w:val="009900"/>
        </w:rPr>
        <w:t>Green</w:t>
      </w:r>
    </w:p>
    <w:p w:rsidR="0007008E" w:rsidRPr="001C7F08" w:rsidRDefault="00432EED" w:rsidP="00432EED">
      <w:pPr>
        <w:pStyle w:val="BodyText"/>
        <w:rPr>
          <w:b/>
        </w:rPr>
      </w:pPr>
      <w:r>
        <w:rPr>
          <w:b/>
          <w:i/>
          <w:u w:val="single"/>
        </w:rPr>
        <w:t>Contributing investment</w:t>
      </w:r>
      <w:r w:rsidR="00D66EC5" w:rsidRPr="00432EED">
        <w:rPr>
          <w:b/>
          <w:i/>
          <w:u w:val="single"/>
        </w:rPr>
        <w:t>: UNICEF Water, Sanitation and Hygiene (WASH) project</w:t>
      </w:r>
      <w:r w:rsidR="0004395B">
        <w:rPr>
          <w:b/>
          <w:i/>
          <w:u w:val="single"/>
        </w:rPr>
        <w:t xml:space="preserve"> ($2.8m 2011–15)</w:t>
      </w:r>
      <w:r w:rsidR="00D66EC5" w:rsidRPr="00432EED">
        <w:rPr>
          <w:b/>
          <w:i/>
          <w:u w:val="single"/>
        </w:rPr>
        <w:br/>
      </w:r>
      <w:r w:rsidR="001C7F08" w:rsidRPr="00432EED">
        <w:rPr>
          <w:i/>
        </w:rPr>
        <w:t xml:space="preserve">End of </w:t>
      </w:r>
      <w:r>
        <w:rPr>
          <w:i/>
        </w:rPr>
        <w:t>investment</w:t>
      </w:r>
      <w:r w:rsidR="001C7F08" w:rsidRPr="00432EED">
        <w:rPr>
          <w:i/>
        </w:rPr>
        <w:t xml:space="preserve"> outcome: </w:t>
      </w:r>
      <w:r w:rsidR="00933913" w:rsidRPr="00432EED">
        <w:rPr>
          <w:i/>
        </w:rPr>
        <w:t>M</w:t>
      </w:r>
      <w:r>
        <w:rPr>
          <w:i/>
        </w:rPr>
        <w:t>ongolia</w:t>
      </w:r>
      <w:r w:rsidR="00933913" w:rsidRPr="00432EED">
        <w:rPr>
          <w:i/>
        </w:rPr>
        <w:t xml:space="preserve"> has developed a national plan for WASH in schools and is resourcing its implementation.</w:t>
      </w:r>
    </w:p>
    <w:p w:rsidR="00A53D79" w:rsidRDefault="00E33435" w:rsidP="0007008E">
      <w:pPr>
        <w:pStyle w:val="BodyText"/>
      </w:pPr>
      <w:r w:rsidRPr="00ED6B9E">
        <w:t xml:space="preserve">The green rating </w:t>
      </w:r>
      <w:r w:rsidR="00CD4340" w:rsidRPr="00ED6B9E">
        <w:t>for O</w:t>
      </w:r>
      <w:r w:rsidR="00227B38" w:rsidRPr="00ED6B9E">
        <w:t xml:space="preserve">bjective 3 </w:t>
      </w:r>
      <w:r>
        <w:t xml:space="preserve">reflects that </w:t>
      </w:r>
      <w:r w:rsidR="00C01BF1">
        <w:t xml:space="preserve">at the end of the project (June 2015) </w:t>
      </w:r>
      <w:r w:rsidR="0033233E">
        <w:t xml:space="preserve">the </w:t>
      </w:r>
      <w:r w:rsidR="00C01BF1">
        <w:t xml:space="preserve">outcomes and objectives </w:t>
      </w:r>
      <w:r w:rsidR="00ED6B9E">
        <w:t>have been</w:t>
      </w:r>
      <w:r w:rsidR="00C01BF1">
        <w:t xml:space="preserve"> fully met. The investment received the highest rating for effectiveness </w:t>
      </w:r>
      <w:r w:rsidR="00A53D79">
        <w:t xml:space="preserve">and efficiency </w:t>
      </w:r>
      <w:r w:rsidR="00C01BF1">
        <w:t>(6) in its final Aid Quality Check report</w:t>
      </w:r>
      <w:r w:rsidR="00A53D79">
        <w:t>—</w:t>
      </w:r>
      <w:r w:rsidR="00ED6B9E">
        <w:t>despite</w:t>
      </w:r>
      <w:r w:rsidR="00A53D79">
        <w:t xml:space="preserve"> a shortened implementation period and reduced budget</w:t>
      </w:r>
      <w:r w:rsidR="00EC0044">
        <w:t xml:space="preserve"> following the 2013–14 aid budget cuts</w:t>
      </w:r>
      <w:r w:rsidR="00C01BF1">
        <w:t xml:space="preserve">. </w:t>
      </w:r>
      <w:r w:rsidR="00ED6B9E">
        <w:t>Results will</w:t>
      </w:r>
      <w:r w:rsidR="00432EED">
        <w:t xml:space="preserve"> be validated by a final evaluation by UNICEF in September </w:t>
      </w:r>
      <w:r w:rsidR="00A53D79">
        <w:t xml:space="preserve">2015. </w:t>
      </w:r>
    </w:p>
    <w:p w:rsidR="00994882" w:rsidRDefault="00A53D79" w:rsidP="00994882">
      <w:pPr>
        <w:pStyle w:val="BodyText"/>
      </w:pPr>
      <w:r>
        <w:t xml:space="preserve">The </w:t>
      </w:r>
      <w:r w:rsidR="0033233E">
        <w:t>project</w:t>
      </w:r>
      <w:r>
        <w:t xml:space="preserve"> exceeded its target number of beneficiaries of improved WASH facilities in schools</w:t>
      </w:r>
      <w:r w:rsidR="00821DD9">
        <w:t>.</w:t>
      </w:r>
      <w:r>
        <w:t xml:space="preserve"> </w:t>
      </w:r>
      <w:r w:rsidR="00821DD9">
        <w:t>Activities</w:t>
      </w:r>
      <w:r w:rsidR="00821DD9" w:rsidRPr="00821DD9">
        <w:t xml:space="preserve"> reached 25,000 people including 9000 children</w:t>
      </w:r>
      <w:r w:rsidR="00821DD9">
        <w:t xml:space="preserve"> (original target 7800) </w:t>
      </w:r>
      <w:r w:rsidR="00821DD9" w:rsidRPr="00821DD9">
        <w:t>and</w:t>
      </w:r>
      <w:r w:rsidR="00821DD9">
        <w:t xml:space="preserve"> 840</w:t>
      </w:r>
      <w:r w:rsidR="00821DD9" w:rsidRPr="00821DD9">
        <w:t xml:space="preserve"> staff from the</w:t>
      </w:r>
      <w:r w:rsidR="00821DD9">
        <w:t xml:space="preserve"> target</w:t>
      </w:r>
      <w:r w:rsidR="00821DD9" w:rsidRPr="00821DD9">
        <w:t xml:space="preserve"> 12 schools and 12 </w:t>
      </w:r>
      <w:r w:rsidR="00821DD9">
        <w:t xml:space="preserve">kindergartens. </w:t>
      </w:r>
      <w:r w:rsidR="00821DD9" w:rsidRPr="00821DD9">
        <w:t xml:space="preserve">UNICEF WASH trained 48 school and kindergarten teachers from all 24 sub-provinces. Child Development Centres were established at the 12 schools to provide peer-to-peer education </w:t>
      </w:r>
      <w:r w:rsidR="00663FFE">
        <w:t>with</w:t>
      </w:r>
      <w:r w:rsidR="00821DD9" w:rsidRPr="00821DD9">
        <w:t xml:space="preserve"> close engagement and support from d</w:t>
      </w:r>
      <w:r w:rsidR="00503C59">
        <w:t>octors and the school teachers.</w:t>
      </w:r>
      <w:r w:rsidR="00821DD9" w:rsidRPr="00821DD9">
        <w:t xml:space="preserve"> As the children became awa</w:t>
      </w:r>
      <w:r w:rsidR="008D43CE">
        <w:t>re of the importance of hygiene</w:t>
      </w:r>
      <w:r w:rsidR="00821DD9" w:rsidRPr="00821DD9">
        <w:t xml:space="preserve"> they voluntarily </w:t>
      </w:r>
      <w:r w:rsidR="00663FFE">
        <w:t>joined</w:t>
      </w:r>
      <w:r w:rsidR="00821DD9" w:rsidRPr="00821DD9">
        <w:t xml:space="preserve"> the centres to learn and share their knowledge and promote awaren</w:t>
      </w:r>
      <w:r w:rsidR="00821DD9">
        <w:t>ess among their peers</w:t>
      </w:r>
      <w:r w:rsidR="00821DD9" w:rsidRPr="00821DD9">
        <w:t xml:space="preserve">. </w:t>
      </w:r>
    </w:p>
    <w:p w:rsidR="00432EED" w:rsidRDefault="00994882" w:rsidP="00994882">
      <w:pPr>
        <w:pStyle w:val="BodyText"/>
      </w:pPr>
      <w:r>
        <w:t>Innovative technical solutions were applied to overcome the challenges of</w:t>
      </w:r>
      <w:r w:rsidR="00663FFE">
        <w:t>:</w:t>
      </w:r>
      <w:r>
        <w:t xml:space="preserve"> harsh climate conditi</w:t>
      </w:r>
      <w:r w:rsidR="00663FFE">
        <w:t>ons;</w:t>
      </w:r>
      <w:r>
        <w:t xml:space="preserve"> the high cost </w:t>
      </w:r>
      <w:r w:rsidR="008D43CE">
        <w:t>of renovating and maintaining</w:t>
      </w:r>
      <w:r>
        <w:t xml:space="preserve"> old poorly-designed buildings in rural areas wi</w:t>
      </w:r>
      <w:r w:rsidR="00663FFE">
        <w:t>th no central pipelining system;</w:t>
      </w:r>
      <w:r>
        <w:t xml:space="preserve"> and the increasing price of construction materials. </w:t>
      </w:r>
      <w:r w:rsidR="00663FFE">
        <w:t>I</w:t>
      </w:r>
      <w:r w:rsidRPr="00994882">
        <w:t>n consultation with national and subnational governments, experts, donors and</w:t>
      </w:r>
      <w:r>
        <w:t xml:space="preserve"> the</w:t>
      </w:r>
      <w:r w:rsidRPr="00994882">
        <w:t xml:space="preserve"> private sector</w:t>
      </w:r>
      <w:r w:rsidR="00663FFE">
        <w:t>,</w:t>
      </w:r>
      <w:r w:rsidRPr="00994882">
        <w:t xml:space="preserve"> </w:t>
      </w:r>
      <w:r w:rsidR="00663FFE" w:rsidRPr="00994882">
        <w:t xml:space="preserve">UNICEF </w:t>
      </w:r>
      <w:r w:rsidRPr="00994882">
        <w:t>test</w:t>
      </w:r>
      <w:r>
        <w:t>ed a</w:t>
      </w:r>
      <w:r w:rsidRPr="00994882">
        <w:t xml:space="preserve"> new container-type WASH facility used by tourist companies </w:t>
      </w:r>
      <w:r>
        <w:t>for an</w:t>
      </w:r>
      <w:r w:rsidRPr="00994882">
        <w:t xml:space="preserve"> improved outside latrine model at the schools and kindergartens</w:t>
      </w:r>
      <w:r w:rsidR="00432EED">
        <w:t>.</w:t>
      </w:r>
    </w:p>
    <w:p w:rsidR="00994882" w:rsidRDefault="00821DD9" w:rsidP="00994882">
      <w:pPr>
        <w:pStyle w:val="BodyText"/>
      </w:pPr>
      <w:r>
        <w:t xml:space="preserve">With the extensive involvement of the Ministry of </w:t>
      </w:r>
      <w:r w:rsidRPr="00821DD9">
        <w:t>Education and Ministry of Health</w:t>
      </w:r>
      <w:r>
        <w:t>,</w:t>
      </w:r>
      <w:r w:rsidR="00994882">
        <w:t xml:space="preserve"> </w:t>
      </w:r>
      <w:r w:rsidR="003B1F39">
        <w:t>and</w:t>
      </w:r>
      <w:r w:rsidR="00994882">
        <w:t xml:space="preserve"> other stakeholders,</w:t>
      </w:r>
      <w:r w:rsidRPr="00821DD9">
        <w:t xml:space="preserve"> UNICEF WASH drafted a nati</w:t>
      </w:r>
      <w:r w:rsidR="00EA1DC6">
        <w:t>onal WASH S</w:t>
      </w:r>
      <w:r w:rsidRPr="00821DD9">
        <w:t>tandard</w:t>
      </w:r>
      <w:r w:rsidR="00994882">
        <w:t xml:space="preserve"> for schools and kindergartens</w:t>
      </w:r>
      <w:r w:rsidR="00663FFE">
        <w:t>.</w:t>
      </w:r>
      <w:r w:rsidR="00663FFE" w:rsidRPr="00663FFE">
        <w:t xml:space="preserve"> </w:t>
      </w:r>
      <w:r w:rsidR="00EA1DC6">
        <w:t>The S</w:t>
      </w:r>
      <w:r w:rsidR="008D43CE">
        <w:t>tandard wa</w:t>
      </w:r>
      <w:r w:rsidR="00663FFE">
        <w:t xml:space="preserve">s approved </w:t>
      </w:r>
      <w:r w:rsidR="00EA1DC6">
        <w:t>by GoM and obliges</w:t>
      </w:r>
      <w:r w:rsidR="00994882">
        <w:t xml:space="preserve"> all</w:t>
      </w:r>
      <w:r w:rsidR="00994882" w:rsidRPr="00994882">
        <w:t xml:space="preserve"> schools</w:t>
      </w:r>
      <w:r w:rsidR="00994882">
        <w:t xml:space="preserve"> and kindergartens to budget to implement</w:t>
      </w:r>
      <w:r w:rsidR="00994882" w:rsidRPr="00994882">
        <w:t xml:space="preserve"> </w:t>
      </w:r>
      <w:r w:rsidR="00994882">
        <w:t xml:space="preserve">the </w:t>
      </w:r>
      <w:r w:rsidR="00994882" w:rsidRPr="00994882">
        <w:t xml:space="preserve">WASH </w:t>
      </w:r>
      <w:r w:rsidR="00EA1DC6">
        <w:t>Standard’s</w:t>
      </w:r>
      <w:r w:rsidR="00994882" w:rsidRPr="00994882">
        <w:t xml:space="preserve"> requirements. </w:t>
      </w:r>
      <w:r w:rsidR="00994882">
        <w:t>The N</w:t>
      </w:r>
      <w:r w:rsidR="00994882" w:rsidRPr="00994882">
        <w:t>ational WASH Standard draft is gender sensitive. There are special considerations for adolescent girls in access to WASH education, menstrual hygiene and privacy respect requirements.</w:t>
      </w:r>
    </w:p>
    <w:p w:rsidR="00994882" w:rsidRDefault="00821DD9" w:rsidP="00994882">
      <w:pPr>
        <w:pStyle w:val="BodyText"/>
      </w:pPr>
      <w:r w:rsidRPr="00821DD9">
        <w:t>Access to improved facilities and WASH awareness-raising is expected to reduce health risks and harsh conditions for children</w:t>
      </w:r>
      <w:r w:rsidR="00EA1DC6">
        <w:t>,</w:t>
      </w:r>
      <w:r w:rsidRPr="00821DD9">
        <w:t xml:space="preserve"> and facilitate their learning. New facilities are comfortable and safe, and with close access to safe latrines children no longer need to become dehydrated, or walk far in the freezing cold. They have </w:t>
      </w:r>
      <w:r w:rsidR="006639E6">
        <w:t xml:space="preserve">regular </w:t>
      </w:r>
      <w:r w:rsidRPr="00821DD9">
        <w:t>opportunities to wash their hands an</w:t>
      </w:r>
      <w:r w:rsidR="00EA1DC6">
        <w:t xml:space="preserve">d shower at least once a week. </w:t>
      </w:r>
      <w:r w:rsidRPr="00821DD9">
        <w:t>The enrolme</w:t>
      </w:r>
      <w:r w:rsidR="003B1F39">
        <w:t>nt rate at target schools is 97 per cent</w:t>
      </w:r>
      <w:r w:rsidRPr="00821DD9">
        <w:t xml:space="preserve">— </w:t>
      </w:r>
      <w:r w:rsidR="003B1F39">
        <w:t>up from 90 per cent</w:t>
      </w:r>
      <w:r w:rsidRPr="00821DD9">
        <w:t xml:space="preserve"> in 2012—and the occurrence of diarrhoea and hepatitis A is zero compared to 29 cases in 2012. Schoo</w:t>
      </w:r>
      <w:r w:rsidR="003B1F39">
        <w:t>l doctors and teachers link these</w:t>
      </w:r>
      <w:r w:rsidRPr="00821DD9">
        <w:t xml:space="preserve"> result</w:t>
      </w:r>
      <w:r w:rsidR="003B1F39">
        <w:t>s</w:t>
      </w:r>
      <w:r w:rsidRPr="00821DD9">
        <w:t xml:space="preserve"> to improved WASH facilities, better awareness and hygiene behaviour. </w:t>
      </w:r>
      <w:r>
        <w:t>About 90 per cent of children at target schools are now observed to wash hands at critical times</w:t>
      </w:r>
      <w:r w:rsidR="00994882">
        <w:t xml:space="preserve"> (</w:t>
      </w:r>
      <w:r w:rsidR="005B040A">
        <w:t xml:space="preserve">2012 </w:t>
      </w:r>
      <w:r w:rsidR="00994882">
        <w:t>baseline was 43 per cent)</w:t>
      </w:r>
      <w:r>
        <w:t>.</w:t>
      </w:r>
      <w:r w:rsidRPr="00821DD9">
        <w:t xml:space="preserve">  </w:t>
      </w:r>
    </w:p>
    <w:p w:rsidR="00994882" w:rsidRDefault="003B1F39" w:rsidP="00994882">
      <w:pPr>
        <w:pStyle w:val="BodyText"/>
      </w:pPr>
      <w:r w:rsidRPr="003B1F39">
        <w:lastRenderedPageBreak/>
        <w:t xml:space="preserve">UNICEF WASH has accumulated valuable experiences and lessons </w:t>
      </w:r>
      <w:r w:rsidR="008D43CE">
        <w:t>on the</w:t>
      </w:r>
      <w:r w:rsidRPr="003B1F39">
        <w:t xml:space="preserve"> effective and efficient implementation and monitoring of WASH programs.</w:t>
      </w:r>
      <w:r>
        <w:t xml:space="preserve"> </w:t>
      </w:r>
      <w:r w:rsidR="00994882" w:rsidRPr="00994882">
        <w:t>UNICEF plans to share the findings with government, donors and the private sector to raise their interest in replication of the innovative WASH model to other schools and kindergartens in rural areas.</w:t>
      </w:r>
      <w:r w:rsidRPr="003B1F39">
        <w:t xml:space="preserve"> </w:t>
      </w:r>
    </w:p>
    <w:p w:rsidR="00DC6D66" w:rsidRPr="00432EED" w:rsidRDefault="00B672D7" w:rsidP="00432EED">
      <w:pPr>
        <w:pStyle w:val="Heading3"/>
      </w:pPr>
      <w:r>
        <w:t>Other c</w:t>
      </w:r>
      <w:r w:rsidR="002D6B1E" w:rsidRPr="00432EED">
        <w:t>ross-sectoral activities</w:t>
      </w:r>
    </w:p>
    <w:p w:rsidR="002D6B1E" w:rsidRDefault="00227B38" w:rsidP="002D6B1E">
      <w:pPr>
        <w:pStyle w:val="BodyText"/>
      </w:pPr>
      <w:r>
        <w:t xml:space="preserve">In </w:t>
      </w:r>
      <w:r w:rsidR="00E732E2">
        <w:t>2013–</w:t>
      </w:r>
      <w:r w:rsidR="00AB7080">
        <w:t>14</w:t>
      </w:r>
      <w:r w:rsidR="002B7BA7">
        <w:rPr>
          <w:rStyle w:val="FootnoteReference"/>
        </w:rPr>
        <w:footnoteReference w:id="16"/>
      </w:r>
      <w:r w:rsidR="00AB7080">
        <w:t>,</w:t>
      </w:r>
      <w:r w:rsidR="00433F80">
        <w:t xml:space="preserve"> </w:t>
      </w:r>
      <w:r w:rsidR="00433F80" w:rsidRPr="00433F80">
        <w:t xml:space="preserve">63 </w:t>
      </w:r>
      <w:r w:rsidR="00C957DB">
        <w:t xml:space="preserve">Australian </w:t>
      </w:r>
      <w:r w:rsidR="00433F80" w:rsidRPr="00433F80">
        <w:t xml:space="preserve">volunteers </w:t>
      </w:r>
      <w:r w:rsidR="00527226">
        <w:t>helped build</w:t>
      </w:r>
      <w:r w:rsidR="00433F80" w:rsidRPr="00433F80">
        <w:t xml:space="preserve"> strong relationships with </w:t>
      </w:r>
      <w:r w:rsidR="00527226">
        <w:t>GoM</w:t>
      </w:r>
      <w:r w:rsidR="00433F80" w:rsidRPr="00433F80">
        <w:t xml:space="preserve"> partners strongly aligned with Australian aid priority sectors of human resource development, mining for development, supporting vulnerable communities, disaster risk reduction, strengthening civil society, social inclusion and p</w:t>
      </w:r>
      <w:r w:rsidR="00527226">
        <w:t xml:space="preserve">romoting economic development. </w:t>
      </w:r>
      <w:r w:rsidR="00433F80" w:rsidRPr="00433F80">
        <w:t>Volunteers supported aid projects co-funded by the Australian Government including improving groundwater management systems; and, water, sanitation and hygiene in Mongolian schools and urban districts.  An AVID volunteer was recognised for his contribution to child protection by the Government of Mongolia and awarded a medal for “Best Child Worker”.</w:t>
      </w:r>
    </w:p>
    <w:p w:rsidR="0007008E" w:rsidRPr="00500E10" w:rsidRDefault="004C4F84" w:rsidP="00500E10">
      <w:pPr>
        <w:pStyle w:val="BodyText"/>
        <w:rPr>
          <w:lang w:val="en-US"/>
        </w:rPr>
      </w:pPr>
      <w:r w:rsidRPr="00500E10">
        <w:t>Australia</w:t>
      </w:r>
      <w:r w:rsidR="007C7DCF" w:rsidRPr="00500E10">
        <w:t xml:space="preserve"> </w:t>
      </w:r>
      <w:r w:rsidR="00E732E2" w:rsidRPr="00500E10">
        <w:t>funds</w:t>
      </w:r>
      <w:r w:rsidR="007C7DCF" w:rsidRPr="00500E10">
        <w:t xml:space="preserve"> the Asia Foundation to deliver two projects in </w:t>
      </w:r>
      <w:r w:rsidR="0007008E" w:rsidRPr="00500E10">
        <w:t>Ulaanbaatar</w:t>
      </w:r>
      <w:r w:rsidR="002D70CD" w:rsidRPr="00500E10">
        <w:t>;</w:t>
      </w:r>
      <w:r w:rsidR="007C7DCF" w:rsidRPr="00500E10">
        <w:t xml:space="preserve"> one on improving urban services and one on economic policy planning.</w:t>
      </w:r>
      <w:r w:rsidR="00500E10" w:rsidRPr="00500E10">
        <w:rPr>
          <w:rFonts w:ascii="Calibri" w:eastAsiaTheme="minorHAnsi" w:hAnsi="Calibri" w:cs="Calibri"/>
          <w:sz w:val="22"/>
          <w:szCs w:val="22"/>
          <w:lang w:val="en-US"/>
        </w:rPr>
        <w:t xml:space="preserve"> </w:t>
      </w:r>
      <w:r w:rsidR="00500E10">
        <w:rPr>
          <w:lang w:val="en-US"/>
        </w:rPr>
        <w:t>In May 2015 t</w:t>
      </w:r>
      <w:r w:rsidR="00500E10" w:rsidRPr="00500E10">
        <w:rPr>
          <w:lang w:val="en-US"/>
        </w:rPr>
        <w:t>he collaborati</w:t>
      </w:r>
      <w:r w:rsidR="00500E10">
        <w:rPr>
          <w:lang w:val="en-US"/>
        </w:rPr>
        <w:t>on with the Ulaanbaatar City Municipality on</w:t>
      </w:r>
      <w:r w:rsidR="00500E10" w:rsidRPr="00500E10">
        <w:rPr>
          <w:lang w:val="en-US"/>
        </w:rPr>
        <w:t xml:space="preserve"> solid-waste management reform </w:t>
      </w:r>
      <w:r w:rsidR="00500E10">
        <w:rPr>
          <w:lang w:val="en-US"/>
        </w:rPr>
        <w:t xml:space="preserve">culminated in the </w:t>
      </w:r>
      <w:r w:rsidR="00500E10" w:rsidRPr="00500E10">
        <w:rPr>
          <w:lang w:val="en-US"/>
        </w:rPr>
        <w:t>adoption of an amended regulation on solid waste collection, transportation, financing, and fee collection</w:t>
      </w:r>
      <w:r w:rsidR="00500E10">
        <w:rPr>
          <w:lang w:val="en-US"/>
        </w:rPr>
        <w:t>.</w:t>
      </w:r>
      <w:r w:rsidR="00500E10" w:rsidRPr="00500E10">
        <w:rPr>
          <w:lang w:val="en-US"/>
        </w:rPr>
        <w:t xml:space="preserve"> </w:t>
      </w:r>
      <w:r w:rsidR="00500E10">
        <w:rPr>
          <w:lang w:val="en-US"/>
        </w:rPr>
        <w:t>The new regulation</w:t>
      </w:r>
      <w:r w:rsidR="00500E10" w:rsidRPr="00500E10">
        <w:rPr>
          <w:lang w:val="en-US"/>
        </w:rPr>
        <w:t xml:space="preserve"> sets minimum service standards, creates stronger monitoring and evaluation systems, and requires rigorous performance reviews with all solid waste companies</w:t>
      </w:r>
      <w:r w:rsidR="00500E10">
        <w:rPr>
          <w:lang w:val="en-US"/>
        </w:rPr>
        <w:t xml:space="preserve">. </w:t>
      </w:r>
      <w:r w:rsidR="008F01C2">
        <w:rPr>
          <w:lang w:val="en-US"/>
        </w:rPr>
        <w:t>T</w:t>
      </w:r>
      <w:r w:rsidR="00500E10" w:rsidRPr="00500E10">
        <w:rPr>
          <w:lang w:val="en-US"/>
        </w:rPr>
        <w:t xml:space="preserve">he Economic Policy Planning project </w:t>
      </w:r>
      <w:r w:rsidR="008F01C2">
        <w:rPr>
          <w:lang w:val="en-US"/>
        </w:rPr>
        <w:t>supported the City Municipality to achieve a</w:t>
      </w:r>
      <w:r w:rsidR="00500E10">
        <w:rPr>
          <w:lang w:val="en-US"/>
        </w:rPr>
        <w:t xml:space="preserve"> key </w:t>
      </w:r>
      <w:r w:rsidR="008F01C2">
        <w:rPr>
          <w:lang w:val="en-US"/>
        </w:rPr>
        <w:t>step</w:t>
      </w:r>
      <w:r w:rsidR="00500E10">
        <w:rPr>
          <w:lang w:val="en-US"/>
        </w:rPr>
        <w:t xml:space="preserve"> in </w:t>
      </w:r>
      <w:r w:rsidR="00500E10" w:rsidRPr="00500E10">
        <w:rPr>
          <w:lang w:val="en-US"/>
        </w:rPr>
        <w:t>improving economic development planning</w:t>
      </w:r>
      <w:r w:rsidR="008F01C2">
        <w:rPr>
          <w:lang w:val="en-US"/>
        </w:rPr>
        <w:t>,</w:t>
      </w:r>
      <w:r w:rsidR="00500E10" w:rsidRPr="00500E10">
        <w:rPr>
          <w:lang w:val="en-US"/>
        </w:rPr>
        <w:t xml:space="preserve"> </w:t>
      </w:r>
      <w:r w:rsidR="00500E10">
        <w:rPr>
          <w:lang w:val="en-US"/>
        </w:rPr>
        <w:t xml:space="preserve">with approval of the </w:t>
      </w:r>
      <w:r w:rsidR="00500E10" w:rsidRPr="00500E10">
        <w:rPr>
          <w:lang w:val="en-US"/>
        </w:rPr>
        <w:t xml:space="preserve">Ulaanbaatar Economic Development Strategy and the Ulaanbaatar Economic Development Corporation in </w:t>
      </w:r>
      <w:r w:rsidR="00500E10">
        <w:rPr>
          <w:lang w:val="en-US"/>
        </w:rPr>
        <w:t>April 2015.</w:t>
      </w:r>
      <w:r w:rsidR="00500E10" w:rsidRPr="00500E10">
        <w:rPr>
          <w:lang w:val="en-US"/>
        </w:rPr>
        <w:t xml:space="preserve"> </w:t>
      </w:r>
    </w:p>
    <w:p w:rsidR="00EC0044" w:rsidRDefault="00EC0044" w:rsidP="00EC0044">
      <w:pPr>
        <w:pStyle w:val="BodyText"/>
      </w:pPr>
      <w:r>
        <w:t>In 2014–</w:t>
      </w:r>
      <w:r w:rsidR="008D43CE">
        <w:t>2015, DFAT</w:t>
      </w:r>
      <w:r w:rsidRPr="006D1EBB">
        <w:t>’s humanitarian program funded the Red Cross project ‘Reducing Vulnerability and Building Resilience in Response to Hazards and Risks in Mongolia</w:t>
      </w:r>
      <w:r w:rsidR="00D6201F">
        <w:t>’.</w:t>
      </w:r>
      <w:r w:rsidRPr="006D1EBB">
        <w:t xml:space="preserve"> The </w:t>
      </w:r>
      <w:r>
        <w:t>program</w:t>
      </w:r>
      <w:r w:rsidRPr="006D1EBB">
        <w:t xml:space="preserve"> responds to identified risks, hazards and vulnerabilities in four provinces and has expanded to areas associated with illegal mining activities. </w:t>
      </w:r>
      <w:r w:rsidR="00C32D69">
        <w:t>It</w:t>
      </w:r>
      <w:r w:rsidRPr="006D1EBB">
        <w:t xml:space="preserve"> aims to build stronger community resilience to disaster</w:t>
      </w:r>
      <w:r w:rsidR="00C32D69">
        <w:t>s</w:t>
      </w:r>
      <w:r w:rsidRPr="006D1EBB">
        <w:t xml:space="preserve"> and emergencies, ensure communities have strategies to respond to </w:t>
      </w:r>
      <w:r w:rsidR="00C32D69">
        <w:t xml:space="preserve">the </w:t>
      </w:r>
      <w:r w:rsidRPr="006D1EBB">
        <w:t>adverse impacts of mining, and create stronger partnerships between communities and local authorities through the delivery of disaster mitigation activities.</w:t>
      </w:r>
    </w:p>
    <w:p w:rsidR="0007008E" w:rsidRPr="0007008E" w:rsidRDefault="00BA638D" w:rsidP="0007008E">
      <w:pPr>
        <w:pStyle w:val="BodyText"/>
      </w:pPr>
      <w:r>
        <w:t xml:space="preserve">The </w:t>
      </w:r>
      <w:r w:rsidR="007220F0">
        <w:t>Development Assistance Projects (DAP)</w:t>
      </w:r>
      <w:r>
        <w:t xml:space="preserve"> are</w:t>
      </w:r>
      <w:r w:rsidR="0007008E" w:rsidRPr="0007008E">
        <w:t xml:space="preserve"> </w:t>
      </w:r>
      <w:r w:rsidR="003319BD">
        <w:t xml:space="preserve">a </w:t>
      </w:r>
      <w:r w:rsidR="0007008E" w:rsidRPr="0007008E">
        <w:t>small grant</w:t>
      </w:r>
      <w:r>
        <w:t>s</w:t>
      </w:r>
      <w:r w:rsidR="0007008E" w:rsidRPr="0007008E">
        <w:t xml:space="preserve"> scheme manag</w:t>
      </w:r>
      <w:r w:rsidR="00D6201F">
        <w:t>ed through DFAT’s Seoul Post</w:t>
      </w:r>
      <w:r w:rsidR="007220F0">
        <w:t xml:space="preserve"> </w:t>
      </w:r>
      <w:r>
        <w:t xml:space="preserve">to </w:t>
      </w:r>
      <w:r w:rsidR="0007008E" w:rsidRPr="0007008E">
        <w:t>support</w:t>
      </w:r>
      <w:r w:rsidR="007220F0">
        <w:t xml:space="preserve"> Mongolian civil</w:t>
      </w:r>
      <w:r w:rsidR="0007008E" w:rsidRPr="0007008E">
        <w:t xml:space="preserve"> society</w:t>
      </w:r>
      <w:r>
        <w:t xml:space="preserve"> projects</w:t>
      </w:r>
      <w:r w:rsidR="004A315C" w:rsidRPr="004A315C">
        <w:t xml:space="preserve"> </w:t>
      </w:r>
      <w:r w:rsidR="004A315C">
        <w:t xml:space="preserve">and </w:t>
      </w:r>
      <w:r w:rsidR="004A315C" w:rsidRPr="0007008E">
        <w:t>strengthen the capacity of Mongolian NGOs to become active participan</w:t>
      </w:r>
      <w:r w:rsidR="004A315C">
        <w:t>ts in social and economic development</w:t>
      </w:r>
      <w:r w:rsidR="0007008E" w:rsidRPr="0007008E">
        <w:t xml:space="preserve">. </w:t>
      </w:r>
      <w:r w:rsidR="004A315C">
        <w:t>In 2014–2015 DAP provided grants to seven</w:t>
      </w:r>
      <w:r w:rsidR="0098239D">
        <w:t xml:space="preserve"> NGOs to implement </w:t>
      </w:r>
      <w:r w:rsidR="005C4792">
        <w:t xml:space="preserve">various </w:t>
      </w:r>
      <w:r w:rsidR="0098239D">
        <w:t>projects including: reducing domestic violence; increasing WASH at ger districts in rural area</w:t>
      </w:r>
      <w:r w:rsidR="005C4792">
        <w:t>s; assisting the treatment of children with Down S</w:t>
      </w:r>
      <w:r w:rsidR="0098239D">
        <w:t xml:space="preserve">yndrome; increasing children’s access to preschool education; income generation for single mothers; and improving </w:t>
      </w:r>
      <w:r w:rsidR="004976B2">
        <w:t>the knowledge of city subdistricts</w:t>
      </w:r>
      <w:r w:rsidR="0098239D">
        <w:t xml:space="preserve"> on solid wa</w:t>
      </w:r>
      <w:r w:rsidR="005C4792">
        <w:t xml:space="preserve">ste management. </w:t>
      </w:r>
    </w:p>
    <w:p w:rsidR="00627EF7" w:rsidRPr="00432EED" w:rsidRDefault="000D733F" w:rsidP="00432EED">
      <w:pPr>
        <w:pStyle w:val="Heading2"/>
        <w:rPr>
          <w:color w:val="auto"/>
        </w:rPr>
      </w:pPr>
      <w:r w:rsidRPr="00432EED">
        <w:rPr>
          <w:color w:val="auto"/>
        </w:rPr>
        <w:t>Program Quality</w:t>
      </w:r>
      <w:r w:rsidRPr="00432EED">
        <w:rPr>
          <w:color w:val="auto"/>
        </w:rPr>
        <w:tab/>
      </w:r>
    </w:p>
    <w:p w:rsidR="00527226" w:rsidRDefault="00E263F8" w:rsidP="005753CA">
      <w:pPr>
        <w:pStyle w:val="BodyText"/>
      </w:pPr>
      <w:r w:rsidRPr="00E46E6E">
        <w:t>No independe</w:t>
      </w:r>
      <w:r w:rsidR="004B521C">
        <w:t xml:space="preserve">nt evaluations were </w:t>
      </w:r>
      <w:r w:rsidR="00EC0044">
        <w:t>undertaken</w:t>
      </w:r>
      <w:r w:rsidR="004B521C">
        <w:t xml:space="preserve"> in 2014-15</w:t>
      </w:r>
      <w:r>
        <w:t xml:space="preserve">. </w:t>
      </w:r>
      <w:r w:rsidR="0009189D">
        <w:t xml:space="preserve">A </w:t>
      </w:r>
      <w:r w:rsidR="00D6201F">
        <w:t xml:space="preserve">planned </w:t>
      </w:r>
      <w:r w:rsidR="0009189D">
        <w:t xml:space="preserve">mid-term review of </w:t>
      </w:r>
      <w:r w:rsidR="0035770F">
        <w:t>AAM</w:t>
      </w:r>
      <w:r w:rsidR="0009189D">
        <w:t xml:space="preserve"> </w:t>
      </w:r>
      <w:r w:rsidR="0035770F">
        <w:t>wa</w:t>
      </w:r>
      <w:r w:rsidR="00DB20ED">
        <w:t>s no</w:t>
      </w:r>
      <w:r w:rsidR="0035770F">
        <w:t>t</w:t>
      </w:r>
      <w:r w:rsidR="00DB20ED">
        <w:t xml:space="preserve"> required as </w:t>
      </w:r>
      <w:r w:rsidR="0035770F">
        <w:t>investments under $10 million are</w:t>
      </w:r>
      <w:r w:rsidR="00DB20ED">
        <w:t xml:space="preserve"> now exemp</w:t>
      </w:r>
      <w:r w:rsidR="00CC40C6">
        <w:t>t</w:t>
      </w:r>
      <w:r w:rsidR="0009189D">
        <w:t xml:space="preserve">. </w:t>
      </w:r>
    </w:p>
    <w:p w:rsidR="00542431" w:rsidRDefault="00542431" w:rsidP="00542431">
      <w:pPr>
        <w:pStyle w:val="Heading3"/>
      </w:pPr>
      <w:r>
        <w:lastRenderedPageBreak/>
        <w:t xml:space="preserve">Performance </w:t>
      </w:r>
      <w:r w:rsidRPr="00542431">
        <w:t>Benchmarks</w:t>
      </w:r>
    </w:p>
    <w:p w:rsidR="00542431" w:rsidRPr="00C4114C" w:rsidRDefault="0021298E" w:rsidP="00542431">
      <w:pPr>
        <w:pStyle w:val="BodyText"/>
      </w:pPr>
      <w:r>
        <w:t xml:space="preserve">Of the three </w:t>
      </w:r>
      <w:r w:rsidR="008036E0">
        <w:t xml:space="preserve">performance </w:t>
      </w:r>
      <w:r>
        <w:t>benchmark targets for 2014–15</w:t>
      </w:r>
      <w:r w:rsidR="002349EE">
        <w:t xml:space="preserve">, only the benchmark relating to </w:t>
      </w:r>
      <w:r w:rsidR="00D6201F">
        <w:t xml:space="preserve">the </w:t>
      </w:r>
      <w:r w:rsidR="002349EE">
        <w:t>mobilisation of the AMEP ISP by</w:t>
      </w:r>
      <w:r w:rsidR="00D6201F">
        <w:t xml:space="preserve"> the</w:t>
      </w:r>
      <w:r w:rsidR="002349EE">
        <w:t xml:space="preserve"> end of 2014 was not </w:t>
      </w:r>
      <w:r w:rsidR="006B757F">
        <w:t xml:space="preserve">fully </w:t>
      </w:r>
      <w:r w:rsidR="002349EE">
        <w:t>met</w:t>
      </w:r>
      <w:r w:rsidR="00D6201F">
        <w:t>,</w:t>
      </w:r>
      <w:r w:rsidR="002349EE">
        <w:t xml:space="preserve"> due to factors outside our control</w:t>
      </w:r>
      <w:r w:rsidR="00C957DB">
        <w:t xml:space="preserve"> (change of g</w:t>
      </w:r>
      <w:r w:rsidR="00EC0044">
        <w:t>overnment of Mongolia)</w:t>
      </w:r>
      <w:r w:rsidR="002C4C0A">
        <w:t xml:space="preserve">. </w:t>
      </w:r>
    </w:p>
    <w:tbl>
      <w:tblPr>
        <w:tblStyle w:val="DFATTable"/>
        <w:tblW w:w="4800" w:type="pct"/>
        <w:tblLayout w:type="fixed"/>
        <w:tblLook w:val="04A0" w:firstRow="1" w:lastRow="0" w:firstColumn="1" w:lastColumn="0" w:noHBand="0" w:noVBand="1"/>
      </w:tblPr>
      <w:tblGrid>
        <w:gridCol w:w="2557"/>
        <w:gridCol w:w="953"/>
        <w:gridCol w:w="4536"/>
      </w:tblGrid>
      <w:tr w:rsidR="00542431" w:rsidRPr="00C4114C" w:rsidTr="0035770F">
        <w:trPr>
          <w:tblHeader/>
        </w:trPr>
        <w:tc>
          <w:tcPr>
            <w:tcW w:w="1589" w:type="pct"/>
          </w:tcPr>
          <w:p w:rsidR="00542431" w:rsidRPr="00C4114C" w:rsidRDefault="00542431" w:rsidP="00D87748">
            <w:pPr>
              <w:pStyle w:val="TableHeading1"/>
              <w:keepNext/>
            </w:pPr>
            <w:r w:rsidRPr="00C4114C">
              <w:t xml:space="preserve">2014-15 benchmark </w:t>
            </w:r>
          </w:p>
        </w:tc>
        <w:tc>
          <w:tcPr>
            <w:tcW w:w="592" w:type="pct"/>
          </w:tcPr>
          <w:p w:rsidR="00542431" w:rsidRPr="00C4114C" w:rsidRDefault="00542431" w:rsidP="00D87748">
            <w:pPr>
              <w:pStyle w:val="TableHeading1"/>
              <w:keepNext/>
            </w:pPr>
            <w:r w:rsidRPr="00C4114C">
              <w:t>Rating</w:t>
            </w:r>
          </w:p>
        </w:tc>
        <w:tc>
          <w:tcPr>
            <w:tcW w:w="2819" w:type="pct"/>
          </w:tcPr>
          <w:p w:rsidR="00542431" w:rsidRPr="00C4114C" w:rsidRDefault="00542431" w:rsidP="00D87748">
            <w:pPr>
              <w:pStyle w:val="TableHeading1"/>
              <w:keepNext/>
            </w:pPr>
            <w:r w:rsidRPr="00C4114C">
              <w:t>Progress in 2014-15</w:t>
            </w:r>
          </w:p>
        </w:tc>
      </w:tr>
      <w:tr w:rsidR="00542431" w:rsidRPr="00C4114C" w:rsidTr="0035770F">
        <w:tc>
          <w:tcPr>
            <w:tcW w:w="1589" w:type="pct"/>
          </w:tcPr>
          <w:p w:rsidR="00542431" w:rsidRPr="00C4114C" w:rsidRDefault="00542431" w:rsidP="00096550">
            <w:pPr>
              <w:pStyle w:val="TableTextEntries"/>
              <w:keepNext/>
            </w:pPr>
            <w:r>
              <w:rPr>
                <w:iCs w:val="0"/>
              </w:rPr>
              <w:t xml:space="preserve">Mobilise 43 scholarships  </w:t>
            </w:r>
            <w:r w:rsidRPr="00C4114C">
              <w:t xml:space="preserve">  </w:t>
            </w:r>
          </w:p>
        </w:tc>
        <w:tc>
          <w:tcPr>
            <w:tcW w:w="592" w:type="pct"/>
            <w:shd w:val="clear" w:color="auto" w:fill="669900"/>
          </w:tcPr>
          <w:p w:rsidR="00542431" w:rsidRPr="00C4114C" w:rsidRDefault="00542431" w:rsidP="00D87748">
            <w:pPr>
              <w:pStyle w:val="TableTextEntries"/>
              <w:keepNext/>
              <w:jc w:val="center"/>
              <w:rPr>
                <w:color w:val="FFFFFF" w:themeColor="background1"/>
              </w:rPr>
            </w:pPr>
            <w:r w:rsidRPr="00C4114C">
              <w:rPr>
                <w:color w:val="FFFFFF" w:themeColor="background1"/>
              </w:rPr>
              <w:t>Achieved</w:t>
            </w:r>
          </w:p>
        </w:tc>
        <w:tc>
          <w:tcPr>
            <w:tcW w:w="2819" w:type="pct"/>
          </w:tcPr>
          <w:p w:rsidR="00542431" w:rsidRDefault="00542431" w:rsidP="00D87748">
            <w:pPr>
              <w:pStyle w:val="TableTextEntries"/>
              <w:keepNext/>
            </w:pPr>
            <w:r>
              <w:t>Exceeded. 45 scholars were mobilised</w:t>
            </w:r>
            <w:r w:rsidR="002110C1">
              <w:t xml:space="preserve"> in 2014–15 with additional funding received from the global scholarships budget</w:t>
            </w:r>
            <w:r w:rsidR="0035770F">
              <w:t>.</w:t>
            </w:r>
            <w:r>
              <w:t xml:space="preserve"> </w:t>
            </w:r>
          </w:p>
          <w:p w:rsidR="00542431" w:rsidRPr="00C4114C" w:rsidRDefault="00542431" w:rsidP="00D87748">
            <w:pPr>
              <w:pStyle w:val="TableTextEntries"/>
              <w:keepNext/>
            </w:pPr>
          </w:p>
        </w:tc>
      </w:tr>
      <w:tr w:rsidR="00542431" w:rsidRPr="00C4114C" w:rsidTr="0035770F">
        <w:tc>
          <w:tcPr>
            <w:tcW w:w="1589" w:type="pct"/>
          </w:tcPr>
          <w:p w:rsidR="00542431" w:rsidRDefault="00542431" w:rsidP="00D87748">
            <w:pPr>
              <w:pStyle w:val="TableTextEntries"/>
            </w:pPr>
            <w:r>
              <w:t>Effectively mobilise the Australia Mongolia Extractives Program</w:t>
            </w:r>
          </w:p>
          <w:p w:rsidR="00542431" w:rsidRPr="00C4114C" w:rsidRDefault="00542431" w:rsidP="00D87748">
            <w:pPr>
              <w:pStyle w:val="TableTextEntries"/>
              <w:keepNext/>
            </w:pPr>
          </w:p>
        </w:tc>
        <w:tc>
          <w:tcPr>
            <w:tcW w:w="592" w:type="pct"/>
            <w:shd w:val="clear" w:color="auto" w:fill="F7AA32"/>
          </w:tcPr>
          <w:p w:rsidR="00542431" w:rsidRPr="00C4114C" w:rsidRDefault="00542431" w:rsidP="00D87748">
            <w:pPr>
              <w:pStyle w:val="TableTextEntries"/>
              <w:keepNext/>
              <w:jc w:val="center"/>
            </w:pPr>
            <w:r w:rsidRPr="00C4114C">
              <w:rPr>
                <w:color w:val="FFFFFF" w:themeColor="background1"/>
              </w:rPr>
              <w:t>Partly achieved</w:t>
            </w:r>
          </w:p>
        </w:tc>
        <w:tc>
          <w:tcPr>
            <w:tcW w:w="2819" w:type="pct"/>
          </w:tcPr>
          <w:p w:rsidR="00542431" w:rsidRPr="00C4114C" w:rsidRDefault="00542431" w:rsidP="00527226">
            <w:pPr>
              <w:pStyle w:val="TableTextEntries"/>
              <w:keepNext/>
            </w:pPr>
            <w:r>
              <w:t xml:space="preserve">The mobilisation of the new Australia Mongolia Extractives Program </w:t>
            </w:r>
            <w:r w:rsidR="00527226">
              <w:t>by the 4</w:t>
            </w:r>
            <w:r w:rsidR="00527226" w:rsidRPr="0011113D">
              <w:rPr>
                <w:vertAlign w:val="superscript"/>
              </w:rPr>
              <w:t>th</w:t>
            </w:r>
            <w:r w:rsidR="00527226">
              <w:t xml:space="preserve"> quarter of 2014 </w:t>
            </w:r>
            <w:r>
              <w:t>was not achieved due to factors outs</w:t>
            </w:r>
            <w:r w:rsidR="00C957DB">
              <w:t>ide our control. The change of g</w:t>
            </w:r>
            <w:r>
              <w:t>overnment in Mongolia in late 2014 caused delays in agreeing the Subsidiary Arrangement for implementation of the program, and the contract with the international service provider was not able to be signed until the first quarter of 2015.</w:t>
            </w:r>
            <w:r>
              <w:br/>
              <w:t>One of the elements of the benchmark was achieved as planned—mobilising the twinning arrangement with an Australian TAFE</w:t>
            </w:r>
            <w:r w:rsidR="00527226">
              <w:t xml:space="preserve"> by June 2015</w:t>
            </w:r>
          </w:p>
        </w:tc>
      </w:tr>
      <w:tr w:rsidR="00542431" w:rsidRPr="00C4114C" w:rsidTr="0035770F">
        <w:tc>
          <w:tcPr>
            <w:tcW w:w="1589" w:type="pct"/>
          </w:tcPr>
          <w:p w:rsidR="00542431" w:rsidRPr="00C4114C" w:rsidRDefault="00542431" w:rsidP="00527226">
            <w:pPr>
              <w:pStyle w:val="TableTextEntries"/>
              <w:keepNext/>
            </w:pPr>
            <w:r w:rsidRPr="00A40C72">
              <w:t xml:space="preserve">Complete </w:t>
            </w:r>
            <w:r>
              <w:t>28</w:t>
            </w:r>
            <w:r w:rsidRPr="00A40C72">
              <w:t xml:space="preserve"> improved water and sanitation facilities</w:t>
            </w:r>
            <w:r>
              <w:t>, benefitting 4180</w:t>
            </w:r>
            <w:r w:rsidRPr="00A40C72">
              <w:t xml:space="preserve"> people</w:t>
            </w:r>
            <w:r>
              <w:t xml:space="preserve">. </w:t>
            </w:r>
            <w:r>
              <w:br/>
              <w:t>Mongolia finalises a national minimum requirement for WASH standards at schools and kindergartens.</w:t>
            </w:r>
          </w:p>
        </w:tc>
        <w:tc>
          <w:tcPr>
            <w:tcW w:w="592" w:type="pct"/>
            <w:shd w:val="clear" w:color="auto" w:fill="669900"/>
          </w:tcPr>
          <w:p w:rsidR="00542431" w:rsidRPr="00C4114C" w:rsidRDefault="00542431" w:rsidP="00D87748">
            <w:pPr>
              <w:pStyle w:val="TableTextEntries"/>
              <w:keepNext/>
            </w:pPr>
            <w:r w:rsidRPr="00C4114C">
              <w:rPr>
                <w:color w:val="FFFFFF" w:themeColor="background1"/>
              </w:rPr>
              <w:t xml:space="preserve">Achieved </w:t>
            </w:r>
          </w:p>
        </w:tc>
        <w:tc>
          <w:tcPr>
            <w:tcW w:w="2819" w:type="pct"/>
          </w:tcPr>
          <w:p w:rsidR="00542431" w:rsidRPr="00C4114C" w:rsidRDefault="00542431" w:rsidP="00D87748">
            <w:pPr>
              <w:pStyle w:val="TableTextEntries"/>
              <w:keepNext/>
            </w:pPr>
            <w:r>
              <w:t>This benchmark was fully met and some results exceeded their targets by a significant factor.</w:t>
            </w:r>
          </w:p>
        </w:tc>
      </w:tr>
    </w:tbl>
    <w:p w:rsidR="00527226" w:rsidRDefault="00527226" w:rsidP="00432EED">
      <w:pPr>
        <w:pStyle w:val="Heading3"/>
      </w:pPr>
    </w:p>
    <w:p w:rsidR="000D733F" w:rsidRDefault="000D733F" w:rsidP="00432EED">
      <w:pPr>
        <w:pStyle w:val="Heading3"/>
      </w:pPr>
      <w:r>
        <w:t xml:space="preserve">Analysis of </w:t>
      </w:r>
      <w:r w:rsidR="006F74FE">
        <w:t xml:space="preserve">Aid </w:t>
      </w:r>
      <w:r w:rsidRPr="00180B19">
        <w:t xml:space="preserve">Quality </w:t>
      </w:r>
      <w:r w:rsidR="006F74FE">
        <w:t>Check</w:t>
      </w:r>
      <w:r w:rsidRPr="00180B19">
        <w:t xml:space="preserve"> </w:t>
      </w:r>
      <w:r w:rsidR="006F74FE">
        <w:t>(AQC</w:t>
      </w:r>
      <w:r w:rsidR="00AB1207">
        <w:t xml:space="preserve">) </w:t>
      </w:r>
      <w:r>
        <w:t xml:space="preserve">Reports </w:t>
      </w:r>
    </w:p>
    <w:p w:rsidR="00527226" w:rsidRPr="00527226" w:rsidRDefault="00527226" w:rsidP="00527226">
      <w:pPr>
        <w:pStyle w:val="BodyText"/>
        <w:rPr>
          <w:lang w:eastAsia="zh-CN"/>
        </w:rPr>
      </w:pPr>
      <w:r>
        <w:rPr>
          <w:lang w:eastAsia="zh-CN"/>
        </w:rPr>
        <w:t>All investment quality ratings</w:t>
      </w:r>
      <w:r w:rsidR="00AF71B8">
        <w:rPr>
          <w:rStyle w:val="FootnoteReference"/>
          <w:lang w:eastAsia="zh-CN"/>
        </w:rPr>
        <w:footnoteReference w:id="17"/>
      </w:r>
      <w:r>
        <w:rPr>
          <w:lang w:eastAsia="zh-CN"/>
        </w:rPr>
        <w:t xml:space="preserve"> were maintained or improved in 2014–15</w:t>
      </w:r>
      <w:r w:rsidR="00D6201F">
        <w:rPr>
          <w:lang w:eastAsia="zh-CN"/>
        </w:rPr>
        <w:t xml:space="preserve">. There are no unsatisfactory scores for any quality criteria for any of the investments. </w:t>
      </w:r>
    </w:p>
    <w:tbl>
      <w:tblPr>
        <w:tblStyle w:val="APPR"/>
        <w:tblW w:w="4244" w:type="pct"/>
        <w:tblLayout w:type="fixed"/>
        <w:tblLook w:val="0000" w:firstRow="0" w:lastRow="0" w:firstColumn="0" w:lastColumn="0" w:noHBand="0" w:noVBand="0"/>
      </w:tblPr>
      <w:tblGrid>
        <w:gridCol w:w="1464"/>
        <w:gridCol w:w="1063"/>
        <w:gridCol w:w="683"/>
        <w:gridCol w:w="246"/>
        <w:gridCol w:w="686"/>
        <w:gridCol w:w="605"/>
        <w:gridCol w:w="605"/>
        <w:gridCol w:w="641"/>
        <w:gridCol w:w="557"/>
        <w:gridCol w:w="611"/>
      </w:tblGrid>
      <w:tr w:rsidR="00096550" w:rsidRPr="009D53C4" w:rsidTr="00096550">
        <w:trPr>
          <w:cnfStyle w:val="000000010000" w:firstRow="0" w:lastRow="0" w:firstColumn="0" w:lastColumn="0" w:oddVBand="0" w:evenVBand="0" w:oddHBand="0" w:evenHBand="1" w:firstRowFirstColumn="0" w:firstRowLastColumn="0" w:lastRowFirstColumn="0" w:lastRowLastColumn="0"/>
          <w:trHeight w:val="1413"/>
        </w:trPr>
        <w:tc>
          <w:tcPr>
            <w:tcW w:w="999" w:type="pct"/>
          </w:tcPr>
          <w:p w:rsidR="00096550" w:rsidRPr="00FE4491" w:rsidRDefault="00096550" w:rsidP="00AD0AEA">
            <w:pPr>
              <w:pStyle w:val="TableTextColumnHeading"/>
            </w:pPr>
            <w:r w:rsidRPr="00FE4491">
              <w:rPr>
                <w:noProof/>
                <w:lang w:eastAsia="en-AU"/>
              </w:rPr>
              <w:drawing>
                <wp:anchor distT="0" distB="0" distL="114300" distR="114300" simplePos="0" relativeHeight="251669504" behindDoc="0" locked="0" layoutInCell="1" allowOverlap="1" wp14:anchorId="24A60D9A" wp14:editId="1164922F">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728" w:type="pct"/>
            <w:textDirection w:val="btLr"/>
          </w:tcPr>
          <w:p w:rsidR="00096550" w:rsidRPr="00FE4491" w:rsidRDefault="00096550" w:rsidP="00AD0AEA">
            <w:pPr>
              <w:pStyle w:val="TableTextColumnHeading"/>
            </w:pPr>
            <w:r w:rsidRPr="00FE4491">
              <w:t>Approved budget and duration</w:t>
            </w:r>
          </w:p>
        </w:tc>
        <w:tc>
          <w:tcPr>
            <w:tcW w:w="460" w:type="pct"/>
            <w:textDirection w:val="btLr"/>
          </w:tcPr>
          <w:p w:rsidR="00096550" w:rsidRPr="00FE4491" w:rsidRDefault="00096550" w:rsidP="00AD0AEA">
            <w:pPr>
              <w:pStyle w:val="TableTextColumnHeading"/>
            </w:pPr>
            <w:r>
              <w:t>AQC</w:t>
            </w:r>
            <w:r w:rsidRPr="00FE4491">
              <w:t xml:space="preserve"> year</w:t>
            </w:r>
          </w:p>
        </w:tc>
        <w:tc>
          <w:tcPr>
            <w:tcW w:w="615" w:type="pct"/>
            <w:gridSpan w:val="2"/>
            <w:textDirection w:val="btLr"/>
          </w:tcPr>
          <w:p w:rsidR="00096550" w:rsidRPr="00FE4491" w:rsidRDefault="00096550" w:rsidP="00AD0AEA">
            <w:pPr>
              <w:pStyle w:val="TableTextColumnHeading"/>
            </w:pPr>
            <w:r w:rsidRPr="00FE4491">
              <w:t>Relevance</w:t>
            </w:r>
          </w:p>
        </w:tc>
        <w:tc>
          <w:tcPr>
            <w:tcW w:w="405" w:type="pct"/>
            <w:textDirection w:val="btLr"/>
          </w:tcPr>
          <w:p w:rsidR="00096550" w:rsidRPr="00FE4491" w:rsidRDefault="00096550" w:rsidP="00AD0AEA">
            <w:pPr>
              <w:pStyle w:val="TableTextColumnHeading"/>
            </w:pPr>
            <w:r w:rsidRPr="00FE4491">
              <w:t>Effectiveness</w:t>
            </w:r>
          </w:p>
        </w:tc>
        <w:tc>
          <w:tcPr>
            <w:tcW w:w="405" w:type="pct"/>
            <w:textDirection w:val="btLr"/>
          </w:tcPr>
          <w:p w:rsidR="00096550" w:rsidRPr="00FE4491" w:rsidRDefault="00096550" w:rsidP="00AD0AEA">
            <w:pPr>
              <w:pStyle w:val="TableTextColumnHeading"/>
            </w:pPr>
            <w:r w:rsidRPr="00FE4491">
              <w:t>Efficiency</w:t>
            </w:r>
          </w:p>
        </w:tc>
        <w:tc>
          <w:tcPr>
            <w:tcW w:w="430" w:type="pct"/>
            <w:textDirection w:val="btLr"/>
          </w:tcPr>
          <w:p w:rsidR="00096550" w:rsidRPr="00FE4491" w:rsidRDefault="00096550" w:rsidP="00AD0AEA">
            <w:pPr>
              <w:pStyle w:val="TableTextColumnHeading"/>
            </w:pPr>
            <w:r w:rsidRPr="00FE4491">
              <w:t>Monitoring and Evaluation</w:t>
            </w:r>
          </w:p>
        </w:tc>
        <w:tc>
          <w:tcPr>
            <w:tcW w:w="372" w:type="pct"/>
            <w:textDirection w:val="btLr"/>
          </w:tcPr>
          <w:p w:rsidR="00096550" w:rsidRPr="00FE4491" w:rsidRDefault="00096550" w:rsidP="00AD0AEA">
            <w:pPr>
              <w:pStyle w:val="TableTextColumnHeading"/>
            </w:pPr>
            <w:r w:rsidRPr="00FE4491">
              <w:t>Sustainability</w:t>
            </w:r>
          </w:p>
        </w:tc>
        <w:tc>
          <w:tcPr>
            <w:tcW w:w="399" w:type="pct"/>
            <w:textDirection w:val="btLr"/>
          </w:tcPr>
          <w:p w:rsidR="00096550" w:rsidRPr="00FE4491" w:rsidRDefault="00096550" w:rsidP="00AD0AEA">
            <w:pPr>
              <w:pStyle w:val="TableTextColumnHeading"/>
            </w:pPr>
            <w:r w:rsidRPr="00FE4491">
              <w:t>Gender equality</w:t>
            </w:r>
          </w:p>
        </w:tc>
      </w:tr>
      <w:tr w:rsidR="00096550" w:rsidRPr="009D53C4" w:rsidTr="00096550">
        <w:trPr>
          <w:cnfStyle w:val="000000010000" w:firstRow="0" w:lastRow="0" w:firstColumn="0" w:lastColumn="0" w:oddVBand="0" w:evenVBand="0" w:oddHBand="0" w:evenHBand="1" w:firstRowFirstColumn="0" w:firstRowLastColumn="0" w:lastRowFirstColumn="0" w:lastRowLastColumn="0"/>
          <w:trHeight w:val="284"/>
        </w:trPr>
        <w:tc>
          <w:tcPr>
            <w:tcW w:w="999" w:type="pct"/>
            <w:vMerge w:val="restart"/>
          </w:tcPr>
          <w:p w:rsidR="00096550" w:rsidRPr="00FE4491" w:rsidRDefault="00096550" w:rsidP="00D87748">
            <w:pPr>
              <w:pStyle w:val="TableTextEntries"/>
            </w:pPr>
            <w:r>
              <w:t>UNICEF WASH</w:t>
            </w:r>
          </w:p>
        </w:tc>
        <w:tc>
          <w:tcPr>
            <w:tcW w:w="728" w:type="pct"/>
            <w:vMerge w:val="restart"/>
          </w:tcPr>
          <w:p w:rsidR="00096550" w:rsidRPr="00FE4491" w:rsidRDefault="00096550" w:rsidP="00D87748">
            <w:pPr>
              <w:pStyle w:val="TableTextEntries"/>
            </w:pPr>
          </w:p>
        </w:tc>
        <w:tc>
          <w:tcPr>
            <w:tcW w:w="613" w:type="pct"/>
            <w:gridSpan w:val="2"/>
          </w:tcPr>
          <w:p w:rsidR="00096550" w:rsidRPr="00FE4491" w:rsidRDefault="00096550" w:rsidP="00D87748">
            <w:pPr>
              <w:pStyle w:val="TableTextEntries"/>
            </w:pPr>
            <w:r w:rsidRPr="00FE4491">
              <w:t>201</w:t>
            </w:r>
            <w:r>
              <w:t>4</w:t>
            </w:r>
          </w:p>
        </w:tc>
        <w:tc>
          <w:tcPr>
            <w:tcW w:w="461" w:type="pct"/>
            <w:shd w:val="clear" w:color="auto" w:fill="92D050"/>
            <w:noWrap/>
          </w:tcPr>
          <w:p w:rsidR="00096550" w:rsidRPr="00FE4491" w:rsidRDefault="00096550" w:rsidP="00D87748">
            <w:pPr>
              <w:pStyle w:val="TableTextEntries"/>
              <w:jc w:val="center"/>
            </w:pPr>
            <w:r>
              <w:t>5</w:t>
            </w:r>
          </w:p>
        </w:tc>
        <w:tc>
          <w:tcPr>
            <w:tcW w:w="405" w:type="pct"/>
            <w:shd w:val="clear" w:color="auto" w:fill="92D050"/>
            <w:noWrap/>
          </w:tcPr>
          <w:p w:rsidR="00096550" w:rsidRPr="00FE4491" w:rsidRDefault="00096550" w:rsidP="00D87748">
            <w:pPr>
              <w:pStyle w:val="TableTextEntries"/>
              <w:jc w:val="center"/>
            </w:pPr>
            <w:r>
              <w:t>6</w:t>
            </w:r>
          </w:p>
        </w:tc>
        <w:tc>
          <w:tcPr>
            <w:tcW w:w="405" w:type="pct"/>
            <w:shd w:val="clear" w:color="auto" w:fill="92D050"/>
            <w:noWrap/>
          </w:tcPr>
          <w:p w:rsidR="00096550" w:rsidRPr="00FE4491" w:rsidRDefault="00096550" w:rsidP="00D87748">
            <w:pPr>
              <w:pStyle w:val="TableTextEntries"/>
              <w:jc w:val="center"/>
            </w:pPr>
            <w:r>
              <w:t>6</w:t>
            </w:r>
          </w:p>
        </w:tc>
        <w:tc>
          <w:tcPr>
            <w:tcW w:w="430" w:type="pct"/>
            <w:shd w:val="clear" w:color="auto" w:fill="92D050"/>
            <w:noWrap/>
          </w:tcPr>
          <w:p w:rsidR="00096550" w:rsidRPr="00FE4491" w:rsidRDefault="00096550" w:rsidP="00D87748">
            <w:pPr>
              <w:pStyle w:val="TableTextEntries"/>
              <w:jc w:val="center"/>
            </w:pPr>
            <w:r>
              <w:t>5</w:t>
            </w:r>
          </w:p>
        </w:tc>
        <w:tc>
          <w:tcPr>
            <w:tcW w:w="372" w:type="pct"/>
            <w:shd w:val="clear" w:color="auto" w:fill="92D050"/>
            <w:noWrap/>
          </w:tcPr>
          <w:p w:rsidR="00096550" w:rsidRPr="00FE4491" w:rsidRDefault="00096550" w:rsidP="00D87748">
            <w:pPr>
              <w:pStyle w:val="TableTextEntries"/>
              <w:jc w:val="center"/>
            </w:pPr>
            <w:r>
              <w:t>6</w:t>
            </w:r>
          </w:p>
        </w:tc>
        <w:tc>
          <w:tcPr>
            <w:tcW w:w="399" w:type="pct"/>
            <w:shd w:val="clear" w:color="auto" w:fill="92D050"/>
            <w:noWrap/>
          </w:tcPr>
          <w:p w:rsidR="00096550" w:rsidRPr="00FE4491" w:rsidRDefault="00096550" w:rsidP="00D87748">
            <w:pPr>
              <w:pStyle w:val="TableTextEntries"/>
              <w:jc w:val="center"/>
            </w:pPr>
            <w:r>
              <w:t>6</w:t>
            </w:r>
          </w:p>
        </w:tc>
      </w:tr>
      <w:tr w:rsidR="00096550" w:rsidRPr="009D53C4" w:rsidTr="00096550">
        <w:trPr>
          <w:cnfStyle w:val="000000010000" w:firstRow="0" w:lastRow="0" w:firstColumn="0" w:lastColumn="0" w:oddVBand="0" w:evenVBand="0" w:oddHBand="0" w:evenHBand="1" w:firstRowFirstColumn="0" w:firstRowLastColumn="0" w:lastRowFirstColumn="0" w:lastRowLastColumn="0"/>
          <w:trHeight w:val="284"/>
        </w:trPr>
        <w:tc>
          <w:tcPr>
            <w:tcW w:w="999" w:type="pct"/>
            <w:vMerge/>
          </w:tcPr>
          <w:p w:rsidR="00096550" w:rsidRPr="00FE4491" w:rsidRDefault="00096550" w:rsidP="00D87748">
            <w:pPr>
              <w:pStyle w:val="TableTextEntries"/>
            </w:pPr>
          </w:p>
        </w:tc>
        <w:tc>
          <w:tcPr>
            <w:tcW w:w="728" w:type="pct"/>
            <w:vMerge/>
          </w:tcPr>
          <w:p w:rsidR="00096550" w:rsidRPr="00FE4491" w:rsidRDefault="00096550" w:rsidP="00D87748">
            <w:pPr>
              <w:pStyle w:val="TableTextEntries"/>
            </w:pPr>
          </w:p>
        </w:tc>
        <w:tc>
          <w:tcPr>
            <w:tcW w:w="613" w:type="pct"/>
            <w:gridSpan w:val="2"/>
          </w:tcPr>
          <w:p w:rsidR="00096550" w:rsidRPr="00FE4491" w:rsidRDefault="00096550" w:rsidP="00D87748">
            <w:pPr>
              <w:pStyle w:val="TableTextEntries"/>
            </w:pPr>
            <w:r w:rsidRPr="00FE4491">
              <w:t>201</w:t>
            </w:r>
            <w:r>
              <w:t>3</w:t>
            </w:r>
          </w:p>
        </w:tc>
        <w:tc>
          <w:tcPr>
            <w:tcW w:w="461" w:type="pct"/>
            <w:shd w:val="clear" w:color="auto" w:fill="FFFF00"/>
            <w:noWrap/>
          </w:tcPr>
          <w:p w:rsidR="00096550" w:rsidRPr="00FE4491" w:rsidRDefault="00096550" w:rsidP="00D87748">
            <w:pPr>
              <w:pStyle w:val="TableTextEntries"/>
              <w:jc w:val="center"/>
            </w:pPr>
            <w:r>
              <w:t>4</w:t>
            </w:r>
          </w:p>
        </w:tc>
        <w:tc>
          <w:tcPr>
            <w:tcW w:w="405" w:type="pct"/>
            <w:shd w:val="clear" w:color="auto" w:fill="92D050"/>
            <w:noWrap/>
          </w:tcPr>
          <w:p w:rsidR="00096550" w:rsidRPr="00FE4491" w:rsidRDefault="00096550" w:rsidP="00D87748">
            <w:pPr>
              <w:pStyle w:val="TableTextEntries"/>
              <w:jc w:val="center"/>
            </w:pPr>
            <w:r>
              <w:t>5</w:t>
            </w:r>
          </w:p>
        </w:tc>
        <w:tc>
          <w:tcPr>
            <w:tcW w:w="405" w:type="pct"/>
            <w:shd w:val="clear" w:color="auto" w:fill="FFFF00"/>
            <w:noWrap/>
          </w:tcPr>
          <w:p w:rsidR="00096550" w:rsidRPr="00FE4491" w:rsidRDefault="00096550" w:rsidP="00D87748">
            <w:pPr>
              <w:pStyle w:val="TableTextEntries"/>
              <w:jc w:val="center"/>
            </w:pPr>
            <w:r>
              <w:t>4</w:t>
            </w:r>
          </w:p>
        </w:tc>
        <w:tc>
          <w:tcPr>
            <w:tcW w:w="430" w:type="pct"/>
            <w:shd w:val="clear" w:color="auto" w:fill="FFFF00"/>
            <w:noWrap/>
          </w:tcPr>
          <w:p w:rsidR="00096550" w:rsidRPr="00FE4491" w:rsidRDefault="00096550" w:rsidP="00D87748">
            <w:pPr>
              <w:pStyle w:val="TableTextEntries"/>
              <w:jc w:val="center"/>
            </w:pPr>
            <w:r>
              <w:t>4</w:t>
            </w:r>
          </w:p>
        </w:tc>
        <w:tc>
          <w:tcPr>
            <w:tcW w:w="372" w:type="pct"/>
            <w:shd w:val="clear" w:color="auto" w:fill="92D050"/>
            <w:noWrap/>
          </w:tcPr>
          <w:p w:rsidR="00096550" w:rsidRPr="00FE4491" w:rsidRDefault="00096550" w:rsidP="00D87748">
            <w:pPr>
              <w:pStyle w:val="TableTextEntries"/>
              <w:jc w:val="center"/>
            </w:pPr>
            <w:r>
              <w:t>5</w:t>
            </w:r>
          </w:p>
        </w:tc>
        <w:tc>
          <w:tcPr>
            <w:tcW w:w="399" w:type="pct"/>
            <w:shd w:val="clear" w:color="auto" w:fill="92D050"/>
            <w:noWrap/>
          </w:tcPr>
          <w:p w:rsidR="00096550" w:rsidRPr="00FE4491" w:rsidRDefault="00096550" w:rsidP="00D87748">
            <w:pPr>
              <w:pStyle w:val="TableTextEntries"/>
              <w:jc w:val="center"/>
            </w:pPr>
            <w:r>
              <w:t>5</w:t>
            </w:r>
          </w:p>
        </w:tc>
      </w:tr>
      <w:tr w:rsidR="00096550" w:rsidRPr="009D53C4" w:rsidTr="00096550">
        <w:trPr>
          <w:cnfStyle w:val="000000010000" w:firstRow="0" w:lastRow="0" w:firstColumn="0" w:lastColumn="0" w:oddVBand="0" w:evenVBand="0" w:oddHBand="0" w:evenHBand="1" w:firstRowFirstColumn="0" w:firstRowLastColumn="0" w:lastRowFirstColumn="0" w:lastRowLastColumn="0"/>
          <w:trHeight w:val="284"/>
        </w:trPr>
        <w:tc>
          <w:tcPr>
            <w:tcW w:w="999" w:type="pct"/>
            <w:vMerge w:val="restart"/>
          </w:tcPr>
          <w:p w:rsidR="00096550" w:rsidRPr="00FE4491" w:rsidRDefault="00096550" w:rsidP="00D87748">
            <w:pPr>
              <w:pStyle w:val="TableTextEntries"/>
            </w:pPr>
            <w:r>
              <w:t>Australia Awards Mongolia</w:t>
            </w:r>
          </w:p>
        </w:tc>
        <w:tc>
          <w:tcPr>
            <w:tcW w:w="728" w:type="pct"/>
            <w:vMerge w:val="restart"/>
          </w:tcPr>
          <w:p w:rsidR="00096550" w:rsidRPr="00FE4491" w:rsidRDefault="00096550" w:rsidP="00D87748">
            <w:pPr>
              <w:pStyle w:val="TableTextEntries"/>
            </w:pPr>
          </w:p>
        </w:tc>
        <w:tc>
          <w:tcPr>
            <w:tcW w:w="613" w:type="pct"/>
            <w:gridSpan w:val="2"/>
          </w:tcPr>
          <w:p w:rsidR="00096550" w:rsidRPr="00FE4491" w:rsidRDefault="00096550" w:rsidP="00D87748">
            <w:pPr>
              <w:pStyle w:val="TableTextEntries"/>
            </w:pPr>
            <w:r w:rsidRPr="00FE4491">
              <w:t>201</w:t>
            </w:r>
            <w:r>
              <w:t>4</w:t>
            </w:r>
          </w:p>
        </w:tc>
        <w:tc>
          <w:tcPr>
            <w:tcW w:w="461" w:type="pct"/>
            <w:shd w:val="clear" w:color="auto" w:fill="92D050"/>
            <w:noWrap/>
          </w:tcPr>
          <w:p w:rsidR="00096550" w:rsidRPr="00FE4491" w:rsidRDefault="00096550" w:rsidP="00D87748">
            <w:pPr>
              <w:pStyle w:val="TableTextEntries"/>
              <w:jc w:val="center"/>
            </w:pPr>
            <w:r>
              <w:t>6</w:t>
            </w:r>
          </w:p>
        </w:tc>
        <w:tc>
          <w:tcPr>
            <w:tcW w:w="405" w:type="pct"/>
            <w:shd w:val="clear" w:color="auto" w:fill="92D050"/>
            <w:noWrap/>
          </w:tcPr>
          <w:p w:rsidR="00096550" w:rsidRPr="00FE4491" w:rsidRDefault="00096550" w:rsidP="00D87748">
            <w:pPr>
              <w:pStyle w:val="TableTextEntries"/>
              <w:jc w:val="center"/>
            </w:pPr>
            <w:r>
              <w:t>5</w:t>
            </w:r>
          </w:p>
        </w:tc>
        <w:tc>
          <w:tcPr>
            <w:tcW w:w="405" w:type="pct"/>
            <w:shd w:val="clear" w:color="auto" w:fill="92D050"/>
            <w:noWrap/>
          </w:tcPr>
          <w:p w:rsidR="00096550" w:rsidRPr="00FE4491" w:rsidRDefault="00096550" w:rsidP="00D87748">
            <w:pPr>
              <w:pStyle w:val="TableTextEntries"/>
              <w:jc w:val="center"/>
            </w:pPr>
            <w:r>
              <w:t>5</w:t>
            </w:r>
          </w:p>
        </w:tc>
        <w:tc>
          <w:tcPr>
            <w:tcW w:w="430" w:type="pct"/>
            <w:shd w:val="clear" w:color="auto" w:fill="FFFF00"/>
            <w:noWrap/>
          </w:tcPr>
          <w:p w:rsidR="00096550" w:rsidRPr="00FE4491" w:rsidRDefault="00096550" w:rsidP="00D87748">
            <w:pPr>
              <w:pStyle w:val="TableTextEntries"/>
              <w:jc w:val="center"/>
            </w:pPr>
            <w:r>
              <w:t>4</w:t>
            </w:r>
          </w:p>
        </w:tc>
        <w:tc>
          <w:tcPr>
            <w:tcW w:w="372" w:type="pct"/>
            <w:shd w:val="clear" w:color="auto" w:fill="92D050"/>
            <w:noWrap/>
          </w:tcPr>
          <w:p w:rsidR="00096550" w:rsidRPr="00FE4491" w:rsidRDefault="00096550" w:rsidP="00D87748">
            <w:pPr>
              <w:pStyle w:val="TableTextEntries"/>
              <w:jc w:val="center"/>
            </w:pPr>
            <w:r>
              <w:t>5</w:t>
            </w:r>
          </w:p>
        </w:tc>
        <w:tc>
          <w:tcPr>
            <w:tcW w:w="399" w:type="pct"/>
            <w:shd w:val="clear" w:color="auto" w:fill="FFFF00"/>
            <w:noWrap/>
          </w:tcPr>
          <w:p w:rsidR="00096550" w:rsidRPr="00FE4491" w:rsidRDefault="00096550" w:rsidP="00D87748">
            <w:pPr>
              <w:pStyle w:val="TableTextEntries"/>
              <w:jc w:val="center"/>
            </w:pPr>
            <w:r>
              <w:t>4</w:t>
            </w:r>
          </w:p>
        </w:tc>
      </w:tr>
      <w:tr w:rsidR="00096550" w:rsidRPr="009D53C4" w:rsidTr="00096550">
        <w:trPr>
          <w:cnfStyle w:val="000000010000" w:firstRow="0" w:lastRow="0" w:firstColumn="0" w:lastColumn="0" w:oddVBand="0" w:evenVBand="0" w:oddHBand="0" w:evenHBand="1" w:firstRowFirstColumn="0" w:firstRowLastColumn="0" w:lastRowFirstColumn="0" w:lastRowLastColumn="0"/>
          <w:trHeight w:val="284"/>
        </w:trPr>
        <w:tc>
          <w:tcPr>
            <w:tcW w:w="999" w:type="pct"/>
            <w:vMerge/>
          </w:tcPr>
          <w:p w:rsidR="00096550" w:rsidRPr="00FE4491" w:rsidRDefault="00096550" w:rsidP="00D87748">
            <w:pPr>
              <w:pStyle w:val="TableTextEntries"/>
            </w:pPr>
          </w:p>
        </w:tc>
        <w:tc>
          <w:tcPr>
            <w:tcW w:w="728" w:type="pct"/>
            <w:vMerge/>
          </w:tcPr>
          <w:p w:rsidR="00096550" w:rsidRPr="00FE4491" w:rsidRDefault="00096550" w:rsidP="00D87748">
            <w:pPr>
              <w:pStyle w:val="TableTextEntries"/>
            </w:pPr>
          </w:p>
        </w:tc>
        <w:tc>
          <w:tcPr>
            <w:tcW w:w="613" w:type="pct"/>
            <w:gridSpan w:val="2"/>
          </w:tcPr>
          <w:p w:rsidR="00096550" w:rsidRPr="00FE4491" w:rsidRDefault="00096550" w:rsidP="00D87748">
            <w:pPr>
              <w:pStyle w:val="TableTextEntries"/>
            </w:pPr>
            <w:r w:rsidRPr="00FE4491">
              <w:t>201</w:t>
            </w:r>
            <w:r>
              <w:t>3</w:t>
            </w:r>
          </w:p>
        </w:tc>
        <w:tc>
          <w:tcPr>
            <w:tcW w:w="461" w:type="pct"/>
            <w:shd w:val="clear" w:color="auto" w:fill="92D050"/>
            <w:noWrap/>
          </w:tcPr>
          <w:p w:rsidR="00096550" w:rsidRPr="00FE4491" w:rsidRDefault="00096550" w:rsidP="00D87748">
            <w:pPr>
              <w:pStyle w:val="TableTextEntries"/>
              <w:jc w:val="center"/>
            </w:pPr>
            <w:r>
              <w:t>5</w:t>
            </w:r>
          </w:p>
        </w:tc>
        <w:tc>
          <w:tcPr>
            <w:tcW w:w="405" w:type="pct"/>
            <w:shd w:val="clear" w:color="auto" w:fill="92D050"/>
            <w:noWrap/>
          </w:tcPr>
          <w:p w:rsidR="00096550" w:rsidRPr="00FE4491" w:rsidRDefault="00096550" w:rsidP="00D87748">
            <w:pPr>
              <w:pStyle w:val="TableTextEntries"/>
              <w:jc w:val="center"/>
            </w:pPr>
            <w:r>
              <w:t>5</w:t>
            </w:r>
          </w:p>
        </w:tc>
        <w:tc>
          <w:tcPr>
            <w:tcW w:w="405" w:type="pct"/>
            <w:shd w:val="clear" w:color="auto" w:fill="92D050"/>
            <w:noWrap/>
          </w:tcPr>
          <w:p w:rsidR="00096550" w:rsidRPr="00FE4491" w:rsidRDefault="00096550" w:rsidP="00D87748">
            <w:pPr>
              <w:pStyle w:val="TableTextEntries"/>
              <w:jc w:val="center"/>
            </w:pPr>
            <w:r>
              <w:t>5</w:t>
            </w:r>
          </w:p>
        </w:tc>
        <w:tc>
          <w:tcPr>
            <w:tcW w:w="430" w:type="pct"/>
            <w:shd w:val="clear" w:color="auto" w:fill="FFFF00"/>
            <w:noWrap/>
          </w:tcPr>
          <w:p w:rsidR="00096550" w:rsidRPr="00FE4491" w:rsidRDefault="00096550" w:rsidP="00D87748">
            <w:pPr>
              <w:pStyle w:val="TableTextEntries"/>
              <w:jc w:val="center"/>
            </w:pPr>
            <w:r>
              <w:t>4</w:t>
            </w:r>
          </w:p>
        </w:tc>
        <w:tc>
          <w:tcPr>
            <w:tcW w:w="372" w:type="pct"/>
            <w:shd w:val="clear" w:color="auto" w:fill="FFFF00"/>
            <w:noWrap/>
          </w:tcPr>
          <w:p w:rsidR="00096550" w:rsidRPr="00FE4491" w:rsidRDefault="00096550" w:rsidP="00D87748">
            <w:pPr>
              <w:pStyle w:val="TableTextEntries"/>
              <w:jc w:val="center"/>
            </w:pPr>
            <w:r>
              <w:t>4</w:t>
            </w:r>
          </w:p>
        </w:tc>
        <w:tc>
          <w:tcPr>
            <w:tcW w:w="399" w:type="pct"/>
            <w:shd w:val="clear" w:color="auto" w:fill="FFFF00"/>
            <w:noWrap/>
          </w:tcPr>
          <w:p w:rsidR="00096550" w:rsidRPr="00FE4491" w:rsidRDefault="00096550" w:rsidP="00D87748">
            <w:pPr>
              <w:pStyle w:val="TableTextEntries"/>
              <w:jc w:val="center"/>
            </w:pPr>
            <w:r>
              <w:t>4</w:t>
            </w:r>
          </w:p>
        </w:tc>
      </w:tr>
      <w:tr w:rsidR="00096550" w:rsidRPr="009D53C4" w:rsidTr="00096550">
        <w:trPr>
          <w:cnfStyle w:val="000000010000" w:firstRow="0" w:lastRow="0" w:firstColumn="0" w:lastColumn="0" w:oddVBand="0" w:evenVBand="0" w:oddHBand="0" w:evenHBand="1" w:firstRowFirstColumn="0" w:firstRowLastColumn="0" w:lastRowFirstColumn="0" w:lastRowLastColumn="0"/>
          <w:trHeight w:val="284"/>
        </w:trPr>
        <w:tc>
          <w:tcPr>
            <w:tcW w:w="999" w:type="pct"/>
          </w:tcPr>
          <w:p w:rsidR="00096550" w:rsidRPr="00FE4491" w:rsidRDefault="00096550" w:rsidP="00D87748">
            <w:pPr>
              <w:pStyle w:val="TableTextEntries"/>
            </w:pPr>
            <w:r>
              <w:t>Australia Mongolia Extractives Program</w:t>
            </w:r>
          </w:p>
        </w:tc>
        <w:tc>
          <w:tcPr>
            <w:tcW w:w="728" w:type="pct"/>
          </w:tcPr>
          <w:p w:rsidR="00096550" w:rsidRPr="00FE4491" w:rsidRDefault="00096550" w:rsidP="00D87748">
            <w:pPr>
              <w:pStyle w:val="TableTextEntries"/>
            </w:pPr>
          </w:p>
        </w:tc>
        <w:tc>
          <w:tcPr>
            <w:tcW w:w="613" w:type="pct"/>
            <w:gridSpan w:val="2"/>
          </w:tcPr>
          <w:p w:rsidR="00096550" w:rsidRPr="00FE4491" w:rsidRDefault="00096550" w:rsidP="00D87748">
            <w:pPr>
              <w:pStyle w:val="TableTextEntries"/>
            </w:pPr>
            <w:r>
              <w:t>2014</w:t>
            </w:r>
          </w:p>
        </w:tc>
        <w:tc>
          <w:tcPr>
            <w:tcW w:w="461" w:type="pct"/>
            <w:shd w:val="clear" w:color="auto" w:fill="92D050"/>
            <w:noWrap/>
          </w:tcPr>
          <w:p w:rsidR="00096550" w:rsidRDefault="00096550" w:rsidP="00D87748">
            <w:pPr>
              <w:pStyle w:val="TableTextEntries"/>
              <w:jc w:val="center"/>
            </w:pPr>
            <w:r>
              <w:t>6</w:t>
            </w:r>
          </w:p>
        </w:tc>
        <w:tc>
          <w:tcPr>
            <w:tcW w:w="405" w:type="pct"/>
            <w:shd w:val="clear" w:color="auto" w:fill="92D050"/>
            <w:noWrap/>
          </w:tcPr>
          <w:p w:rsidR="00096550" w:rsidRDefault="00096550" w:rsidP="00D87748">
            <w:pPr>
              <w:pStyle w:val="TableTextEntries"/>
              <w:jc w:val="center"/>
            </w:pPr>
            <w:r>
              <w:t>5</w:t>
            </w:r>
          </w:p>
        </w:tc>
        <w:tc>
          <w:tcPr>
            <w:tcW w:w="405" w:type="pct"/>
            <w:shd w:val="clear" w:color="auto" w:fill="FFFF00"/>
            <w:noWrap/>
          </w:tcPr>
          <w:p w:rsidR="00096550" w:rsidRDefault="00096550" w:rsidP="00D87748">
            <w:pPr>
              <w:pStyle w:val="TableTextEntries"/>
              <w:jc w:val="center"/>
            </w:pPr>
            <w:r>
              <w:t>4</w:t>
            </w:r>
          </w:p>
        </w:tc>
        <w:tc>
          <w:tcPr>
            <w:tcW w:w="430" w:type="pct"/>
            <w:shd w:val="clear" w:color="auto" w:fill="92D050"/>
            <w:noWrap/>
          </w:tcPr>
          <w:p w:rsidR="00096550" w:rsidRDefault="00096550" w:rsidP="00D87748">
            <w:pPr>
              <w:pStyle w:val="TableTextEntries"/>
              <w:jc w:val="center"/>
            </w:pPr>
            <w:r>
              <w:t>5</w:t>
            </w:r>
          </w:p>
        </w:tc>
        <w:tc>
          <w:tcPr>
            <w:tcW w:w="372" w:type="pct"/>
            <w:shd w:val="clear" w:color="auto" w:fill="92D050"/>
            <w:noWrap/>
          </w:tcPr>
          <w:p w:rsidR="00096550" w:rsidRDefault="00096550" w:rsidP="00D87748">
            <w:pPr>
              <w:pStyle w:val="TableTextEntries"/>
              <w:jc w:val="center"/>
            </w:pPr>
            <w:r>
              <w:t>5</w:t>
            </w:r>
          </w:p>
        </w:tc>
        <w:tc>
          <w:tcPr>
            <w:tcW w:w="399" w:type="pct"/>
            <w:shd w:val="clear" w:color="auto" w:fill="92D050"/>
            <w:noWrap/>
          </w:tcPr>
          <w:p w:rsidR="00096550" w:rsidRDefault="00096550" w:rsidP="00D87748">
            <w:pPr>
              <w:pStyle w:val="TableTextEntries"/>
              <w:jc w:val="center"/>
            </w:pPr>
            <w:r>
              <w:t>5</w:t>
            </w:r>
          </w:p>
        </w:tc>
      </w:tr>
      <w:tr w:rsidR="00096550" w:rsidRPr="009D53C4" w:rsidTr="00096550">
        <w:trPr>
          <w:cnfStyle w:val="000000010000" w:firstRow="0" w:lastRow="0" w:firstColumn="0" w:lastColumn="0" w:oddVBand="0" w:evenVBand="0" w:oddHBand="0" w:evenHBand="1" w:firstRowFirstColumn="0" w:firstRowLastColumn="0" w:lastRowFirstColumn="0" w:lastRowLastColumn="0"/>
          <w:trHeight w:val="284"/>
        </w:trPr>
        <w:tc>
          <w:tcPr>
            <w:tcW w:w="999" w:type="pct"/>
          </w:tcPr>
          <w:p w:rsidR="00096550" w:rsidRPr="00FE4491" w:rsidRDefault="00096550" w:rsidP="00527226">
            <w:pPr>
              <w:pStyle w:val="TableTextEntries"/>
              <w:jc w:val="center"/>
            </w:pPr>
          </w:p>
        </w:tc>
        <w:tc>
          <w:tcPr>
            <w:tcW w:w="728" w:type="pct"/>
          </w:tcPr>
          <w:p w:rsidR="00096550" w:rsidRPr="00FE4491" w:rsidRDefault="00096550" w:rsidP="00D87748">
            <w:pPr>
              <w:pStyle w:val="TableTextEntries"/>
            </w:pPr>
          </w:p>
        </w:tc>
        <w:tc>
          <w:tcPr>
            <w:tcW w:w="613" w:type="pct"/>
            <w:gridSpan w:val="2"/>
          </w:tcPr>
          <w:p w:rsidR="00096550" w:rsidRPr="00FE4491" w:rsidRDefault="00096550" w:rsidP="00D87748">
            <w:pPr>
              <w:pStyle w:val="TableTextEntries"/>
            </w:pPr>
            <w:r>
              <w:t>2013</w:t>
            </w:r>
          </w:p>
        </w:tc>
        <w:tc>
          <w:tcPr>
            <w:tcW w:w="461" w:type="pct"/>
            <w:shd w:val="clear" w:color="auto" w:fill="92D050"/>
            <w:noWrap/>
          </w:tcPr>
          <w:p w:rsidR="00096550" w:rsidRDefault="00096550" w:rsidP="00D87748">
            <w:pPr>
              <w:pStyle w:val="TableTextEntries"/>
              <w:jc w:val="center"/>
            </w:pPr>
            <w:r>
              <w:t>6</w:t>
            </w:r>
          </w:p>
        </w:tc>
        <w:tc>
          <w:tcPr>
            <w:tcW w:w="405" w:type="pct"/>
            <w:shd w:val="clear" w:color="auto" w:fill="E36C0A" w:themeFill="accent6" w:themeFillShade="BF"/>
            <w:noWrap/>
          </w:tcPr>
          <w:p w:rsidR="00096550" w:rsidRDefault="00096550" w:rsidP="00D87748">
            <w:pPr>
              <w:pStyle w:val="TableTextEntries"/>
              <w:jc w:val="center"/>
            </w:pPr>
            <w:r>
              <w:t>3</w:t>
            </w:r>
          </w:p>
        </w:tc>
        <w:tc>
          <w:tcPr>
            <w:tcW w:w="405" w:type="pct"/>
            <w:shd w:val="clear" w:color="auto" w:fill="E36C0A" w:themeFill="accent6" w:themeFillShade="BF"/>
            <w:noWrap/>
          </w:tcPr>
          <w:p w:rsidR="00096550" w:rsidRDefault="00096550" w:rsidP="00D87748">
            <w:pPr>
              <w:pStyle w:val="TableTextEntries"/>
              <w:jc w:val="center"/>
            </w:pPr>
            <w:r>
              <w:t>3</w:t>
            </w:r>
          </w:p>
        </w:tc>
        <w:tc>
          <w:tcPr>
            <w:tcW w:w="430" w:type="pct"/>
            <w:shd w:val="clear" w:color="auto" w:fill="E36C0A" w:themeFill="accent6" w:themeFillShade="BF"/>
            <w:noWrap/>
          </w:tcPr>
          <w:p w:rsidR="00096550" w:rsidRDefault="00096550" w:rsidP="00D87748">
            <w:pPr>
              <w:pStyle w:val="TableTextEntries"/>
              <w:jc w:val="center"/>
            </w:pPr>
            <w:r>
              <w:t>3</w:t>
            </w:r>
          </w:p>
        </w:tc>
        <w:tc>
          <w:tcPr>
            <w:tcW w:w="372" w:type="pct"/>
            <w:shd w:val="clear" w:color="auto" w:fill="FFFF00"/>
            <w:noWrap/>
          </w:tcPr>
          <w:p w:rsidR="00096550" w:rsidRDefault="00096550" w:rsidP="00D87748">
            <w:pPr>
              <w:pStyle w:val="TableTextEntries"/>
              <w:jc w:val="center"/>
            </w:pPr>
            <w:r>
              <w:t>4</w:t>
            </w:r>
          </w:p>
        </w:tc>
        <w:tc>
          <w:tcPr>
            <w:tcW w:w="399" w:type="pct"/>
            <w:shd w:val="clear" w:color="auto" w:fill="FFFF00"/>
            <w:noWrap/>
          </w:tcPr>
          <w:p w:rsidR="00096550" w:rsidRDefault="00096550" w:rsidP="00D87748">
            <w:pPr>
              <w:pStyle w:val="TableTextEntries"/>
              <w:jc w:val="center"/>
            </w:pPr>
            <w:r>
              <w:t>4</w:t>
            </w:r>
          </w:p>
        </w:tc>
      </w:tr>
    </w:tbl>
    <w:p w:rsidR="005028E7" w:rsidRDefault="00ED24B3" w:rsidP="00627EF7">
      <w:pPr>
        <w:pStyle w:val="BodyText"/>
        <w:rPr>
          <w:lang w:eastAsia="zh-CN"/>
        </w:rPr>
      </w:pPr>
      <w:r w:rsidRPr="00E46E6E">
        <w:rPr>
          <w:lang w:eastAsia="zh-CN"/>
        </w:rPr>
        <w:lastRenderedPageBreak/>
        <w:t xml:space="preserve">All initiatives </w:t>
      </w:r>
      <w:r w:rsidR="0009189D">
        <w:rPr>
          <w:lang w:eastAsia="zh-CN"/>
        </w:rPr>
        <w:t>are</w:t>
      </w:r>
      <w:r w:rsidRPr="00E46E6E">
        <w:rPr>
          <w:lang w:eastAsia="zh-CN"/>
        </w:rPr>
        <w:t xml:space="preserve"> highly relevant</w:t>
      </w:r>
      <w:r w:rsidR="002E4ED6">
        <w:rPr>
          <w:lang w:eastAsia="zh-CN"/>
        </w:rPr>
        <w:t>—</w:t>
      </w:r>
      <w:r w:rsidR="0009189D">
        <w:rPr>
          <w:lang w:eastAsia="zh-CN"/>
        </w:rPr>
        <w:t xml:space="preserve">as was the case last year for AAM and AMEP (then </w:t>
      </w:r>
      <w:r w:rsidR="002C4C0A">
        <w:rPr>
          <w:lang w:eastAsia="zh-CN"/>
        </w:rPr>
        <w:t xml:space="preserve">consisting </w:t>
      </w:r>
      <w:r w:rsidR="005C4792">
        <w:rPr>
          <w:lang w:eastAsia="zh-CN"/>
        </w:rPr>
        <w:t xml:space="preserve">only </w:t>
      </w:r>
      <w:r w:rsidR="002C4C0A">
        <w:rPr>
          <w:lang w:eastAsia="zh-CN"/>
        </w:rPr>
        <w:t xml:space="preserve">of the </w:t>
      </w:r>
      <w:r w:rsidR="0009189D">
        <w:rPr>
          <w:lang w:eastAsia="zh-CN"/>
        </w:rPr>
        <w:t>Groundwater</w:t>
      </w:r>
      <w:r w:rsidR="002C4C0A">
        <w:rPr>
          <w:lang w:eastAsia="zh-CN"/>
        </w:rPr>
        <w:t xml:space="preserve"> activity</w:t>
      </w:r>
      <w:r w:rsidR="0009189D">
        <w:rPr>
          <w:lang w:eastAsia="zh-CN"/>
        </w:rPr>
        <w:t>)</w:t>
      </w:r>
      <w:r w:rsidRPr="00E46E6E">
        <w:rPr>
          <w:lang w:eastAsia="zh-CN"/>
        </w:rPr>
        <w:t>.</w:t>
      </w:r>
      <w:r w:rsidR="0009189D">
        <w:rPr>
          <w:lang w:eastAsia="zh-CN"/>
        </w:rPr>
        <w:t xml:space="preserve"> </w:t>
      </w:r>
      <w:r w:rsidR="00C957DB">
        <w:rPr>
          <w:lang w:eastAsia="zh-CN"/>
        </w:rPr>
        <w:t>AMEP</w:t>
      </w:r>
      <w:r w:rsidR="00CC40C6">
        <w:rPr>
          <w:lang w:eastAsia="zh-CN"/>
        </w:rPr>
        <w:t xml:space="preserve"> is particularly relevant to Australia’s economic diplomacy objectives of support for trade, investment, growth and business. </w:t>
      </w:r>
      <w:r w:rsidR="0009189D">
        <w:rPr>
          <w:lang w:eastAsia="zh-CN"/>
        </w:rPr>
        <w:t xml:space="preserve">In last year’s </w:t>
      </w:r>
      <w:r w:rsidR="00D6201F">
        <w:rPr>
          <w:lang w:eastAsia="zh-CN"/>
        </w:rPr>
        <w:t>assessment</w:t>
      </w:r>
      <w:r w:rsidR="0009189D">
        <w:rPr>
          <w:lang w:eastAsia="zh-CN"/>
        </w:rPr>
        <w:t xml:space="preserve"> the WASH program </w:t>
      </w:r>
      <w:r w:rsidR="00D6201F">
        <w:rPr>
          <w:lang w:eastAsia="zh-CN"/>
        </w:rPr>
        <w:t>was</w:t>
      </w:r>
      <w:r w:rsidR="0009189D">
        <w:rPr>
          <w:lang w:eastAsia="zh-CN"/>
        </w:rPr>
        <w:t xml:space="preserve"> downgraded for relevance </w:t>
      </w:r>
      <w:r w:rsidR="00946EC2">
        <w:rPr>
          <w:lang w:eastAsia="zh-CN"/>
        </w:rPr>
        <w:t>due to</w:t>
      </w:r>
      <w:r w:rsidR="0009189D">
        <w:rPr>
          <w:lang w:eastAsia="zh-CN"/>
        </w:rPr>
        <w:t xml:space="preserve"> its early termination and the intention to change the objectives of the Mongolia country strategy during 201</w:t>
      </w:r>
      <w:r w:rsidR="00D6201F">
        <w:rPr>
          <w:lang w:eastAsia="zh-CN"/>
        </w:rPr>
        <w:t>4-15</w:t>
      </w:r>
      <w:r w:rsidR="0009189D">
        <w:rPr>
          <w:lang w:eastAsia="zh-CN"/>
        </w:rPr>
        <w:t xml:space="preserve">. This year’s assessment re-instated the relevance to 5 </w:t>
      </w:r>
      <w:r w:rsidR="005665B2">
        <w:rPr>
          <w:lang w:eastAsia="zh-CN"/>
        </w:rPr>
        <w:t>a</w:t>
      </w:r>
      <w:r w:rsidR="002E4ED6">
        <w:rPr>
          <w:lang w:eastAsia="zh-CN"/>
        </w:rPr>
        <w:t>fter more favourable consideration of</w:t>
      </w:r>
      <w:r w:rsidR="0009189D">
        <w:rPr>
          <w:lang w:eastAsia="zh-CN"/>
        </w:rPr>
        <w:t xml:space="preserve"> its alignment with the Australian aid policy, the objectives of the </w:t>
      </w:r>
      <w:r w:rsidR="00D6201F">
        <w:rPr>
          <w:lang w:eastAsia="zh-CN"/>
        </w:rPr>
        <w:t xml:space="preserve">still-current </w:t>
      </w:r>
      <w:r w:rsidR="0009189D">
        <w:rPr>
          <w:lang w:eastAsia="zh-CN"/>
        </w:rPr>
        <w:t xml:space="preserve">Mongolia country strategy, </w:t>
      </w:r>
      <w:r w:rsidR="00CC40C6">
        <w:rPr>
          <w:lang w:eastAsia="zh-CN"/>
        </w:rPr>
        <w:t xml:space="preserve">and GoM priorities. </w:t>
      </w:r>
    </w:p>
    <w:p w:rsidR="006B757F" w:rsidRDefault="0009189D" w:rsidP="00627EF7">
      <w:pPr>
        <w:pStyle w:val="BodyText"/>
        <w:rPr>
          <w:lang w:eastAsia="zh-CN"/>
        </w:rPr>
      </w:pPr>
      <w:r>
        <w:rPr>
          <w:lang w:eastAsia="zh-CN"/>
        </w:rPr>
        <w:t>Effectiveness has increased across the board, and particularly so for AMEP</w:t>
      </w:r>
      <w:r w:rsidR="001B7FA2">
        <w:rPr>
          <w:lang w:eastAsia="zh-CN"/>
        </w:rPr>
        <w:t xml:space="preserve"> (despite its </w:t>
      </w:r>
      <w:r w:rsidR="00CC40C6">
        <w:rPr>
          <w:lang w:eastAsia="zh-CN"/>
        </w:rPr>
        <w:t>now</w:t>
      </w:r>
      <w:r w:rsidR="001B7FA2">
        <w:rPr>
          <w:lang w:eastAsia="zh-CN"/>
        </w:rPr>
        <w:t xml:space="preserve"> reduced scope)</w:t>
      </w:r>
      <w:r>
        <w:rPr>
          <w:lang w:eastAsia="zh-CN"/>
        </w:rPr>
        <w:t xml:space="preserve">. Efficiency scores also increased </w:t>
      </w:r>
      <w:r w:rsidR="006B757F">
        <w:rPr>
          <w:lang w:eastAsia="zh-CN"/>
        </w:rPr>
        <w:t xml:space="preserve">for WASH and AMEP, and were maintained at a high level (5) for AAM. On this basis, the portfolio of investments under the Mongolia aid program during 2014–15 can be considered good to very good value-for-money. </w:t>
      </w:r>
    </w:p>
    <w:p w:rsidR="00627EF7" w:rsidRPr="00E46E6E" w:rsidRDefault="00D6201F" w:rsidP="00627EF7">
      <w:pPr>
        <w:pStyle w:val="BodyText"/>
        <w:rPr>
          <w:lang w:eastAsia="zh-CN"/>
        </w:rPr>
      </w:pPr>
      <w:r>
        <w:rPr>
          <w:lang w:eastAsia="zh-CN"/>
        </w:rPr>
        <w:t>Although</w:t>
      </w:r>
      <w:r w:rsidR="005028E7">
        <w:rPr>
          <w:lang w:eastAsia="zh-CN"/>
        </w:rPr>
        <w:t xml:space="preserve"> scores are satisfactory for gender equality, m</w:t>
      </w:r>
      <w:r w:rsidR="00EB4502">
        <w:rPr>
          <w:lang w:eastAsia="zh-CN"/>
        </w:rPr>
        <w:t xml:space="preserve">ore </w:t>
      </w:r>
      <w:r>
        <w:rPr>
          <w:lang w:eastAsia="zh-CN"/>
        </w:rPr>
        <w:t xml:space="preserve">can </w:t>
      </w:r>
      <w:r w:rsidR="00627EF7" w:rsidRPr="00E46E6E">
        <w:rPr>
          <w:lang w:eastAsia="zh-CN"/>
        </w:rPr>
        <w:t xml:space="preserve">be done to support gender </w:t>
      </w:r>
      <w:r w:rsidR="005753CA">
        <w:rPr>
          <w:lang w:eastAsia="zh-CN"/>
        </w:rPr>
        <w:t xml:space="preserve">equality </w:t>
      </w:r>
      <w:r w:rsidR="00627EF7" w:rsidRPr="00E46E6E">
        <w:rPr>
          <w:lang w:eastAsia="zh-CN"/>
        </w:rPr>
        <w:t xml:space="preserve">outcomes in </w:t>
      </w:r>
      <w:r>
        <w:rPr>
          <w:lang w:eastAsia="zh-CN"/>
        </w:rPr>
        <w:t>the</w:t>
      </w:r>
      <w:r w:rsidR="00627EF7" w:rsidRPr="00E46E6E">
        <w:rPr>
          <w:lang w:eastAsia="zh-CN"/>
        </w:rPr>
        <w:t xml:space="preserve"> scholarships and extractives programs</w:t>
      </w:r>
      <w:r w:rsidR="00626A8C">
        <w:rPr>
          <w:lang w:eastAsia="zh-CN"/>
        </w:rPr>
        <w:t xml:space="preserve">. </w:t>
      </w:r>
      <w:r w:rsidR="002E4ED6">
        <w:rPr>
          <w:lang w:eastAsia="zh-CN"/>
        </w:rPr>
        <w:t>AAM</w:t>
      </w:r>
      <w:r w:rsidR="006B757F">
        <w:rPr>
          <w:lang w:eastAsia="zh-CN"/>
        </w:rPr>
        <w:t xml:space="preserve"> can al</w:t>
      </w:r>
      <w:r w:rsidR="00CC40C6">
        <w:rPr>
          <w:lang w:eastAsia="zh-CN"/>
        </w:rPr>
        <w:t>so work to improve its monitoring and e</w:t>
      </w:r>
      <w:r w:rsidR="006B757F">
        <w:rPr>
          <w:lang w:eastAsia="zh-CN"/>
        </w:rPr>
        <w:t>valuation score. A tracer study of alumni to assess longer-term outcomes from sc</w:t>
      </w:r>
      <w:r w:rsidR="00FE57D4">
        <w:rPr>
          <w:lang w:eastAsia="zh-CN"/>
        </w:rPr>
        <w:t>holarship awards</w:t>
      </w:r>
      <w:r w:rsidR="006B757F">
        <w:rPr>
          <w:lang w:eastAsia="zh-CN"/>
        </w:rPr>
        <w:t xml:space="preserve"> </w:t>
      </w:r>
      <w:r w:rsidR="005B040A">
        <w:rPr>
          <w:lang w:eastAsia="zh-CN"/>
        </w:rPr>
        <w:t>may</w:t>
      </w:r>
      <w:r w:rsidR="006B757F">
        <w:rPr>
          <w:lang w:eastAsia="zh-CN"/>
        </w:rPr>
        <w:t xml:space="preserve"> be undertaken </w:t>
      </w:r>
      <w:r w:rsidR="005B040A">
        <w:rPr>
          <w:lang w:eastAsia="zh-CN"/>
        </w:rPr>
        <w:t>in</w:t>
      </w:r>
      <w:r w:rsidR="006B757F">
        <w:rPr>
          <w:lang w:eastAsia="zh-CN"/>
        </w:rPr>
        <w:t xml:space="preserve"> 2016</w:t>
      </w:r>
      <w:r w:rsidR="005C4792">
        <w:rPr>
          <w:lang w:eastAsia="zh-CN"/>
        </w:rPr>
        <w:t>, budget permitting</w:t>
      </w:r>
      <w:r w:rsidR="006B757F">
        <w:rPr>
          <w:lang w:eastAsia="zh-CN"/>
        </w:rPr>
        <w:t>.</w:t>
      </w:r>
    </w:p>
    <w:p w:rsidR="000D733F" w:rsidRDefault="000D733F" w:rsidP="00432EED">
      <w:pPr>
        <w:pStyle w:val="Heading3"/>
      </w:pPr>
      <w:r>
        <w:t xml:space="preserve">Performance </w:t>
      </w:r>
      <w:r w:rsidR="004F4630">
        <w:t xml:space="preserve">of </w:t>
      </w:r>
      <w:r w:rsidR="00096550">
        <w:t xml:space="preserve">program </w:t>
      </w:r>
      <w:r w:rsidR="004F4630">
        <w:t>delivery partners</w:t>
      </w:r>
    </w:p>
    <w:p w:rsidR="005468EE" w:rsidRDefault="009A7A80" w:rsidP="0007008E">
      <w:pPr>
        <w:pStyle w:val="BodyText"/>
      </w:pPr>
      <w:r>
        <w:t>Coffey International has</w:t>
      </w:r>
      <w:r w:rsidR="005468EE" w:rsidRPr="005468EE">
        <w:t xml:space="preserve"> efficiently and reliably </w:t>
      </w:r>
      <w:r w:rsidR="00EF78D2">
        <w:t>implemented</w:t>
      </w:r>
      <w:r w:rsidR="005468EE" w:rsidRPr="005468EE">
        <w:t xml:space="preserve"> AAM </w:t>
      </w:r>
      <w:r w:rsidR="002E4ED6">
        <w:t>while managing an increase</w:t>
      </w:r>
      <w:r w:rsidR="00FE57D4">
        <w:t xml:space="preserve">d number of </w:t>
      </w:r>
      <w:r w:rsidR="0088297A">
        <w:t xml:space="preserve">scholarship </w:t>
      </w:r>
      <w:r w:rsidR="00FE57D4">
        <w:t>applications (over 5</w:t>
      </w:r>
      <w:r w:rsidR="002E4ED6">
        <w:t>00)</w:t>
      </w:r>
      <w:r w:rsidR="00AD5D2E">
        <w:t>.</w:t>
      </w:r>
      <w:r w:rsidR="002E4ED6" w:rsidRPr="002E4ED6">
        <w:t xml:space="preserve"> </w:t>
      </w:r>
      <w:r w:rsidR="0088297A">
        <w:t>AAM</w:t>
      </w:r>
      <w:r w:rsidR="002E4ED6" w:rsidRPr="002E4ED6">
        <w:t xml:space="preserve"> has engaged well with </w:t>
      </w:r>
      <w:r w:rsidR="007C68B4">
        <w:t>GoM</w:t>
      </w:r>
      <w:r w:rsidR="002E4ED6" w:rsidRPr="002E4ED6">
        <w:t xml:space="preserve"> national counterpart agencies and civic and private sector organisations</w:t>
      </w:r>
      <w:r w:rsidR="005541FD">
        <w:t xml:space="preserve"> to maintain</w:t>
      </w:r>
      <w:r w:rsidR="002E4ED6" w:rsidRPr="002E4ED6">
        <w:t xml:space="preserve"> their </w:t>
      </w:r>
      <w:r w:rsidR="00960A95">
        <w:t>strong</w:t>
      </w:r>
      <w:r w:rsidR="002E4ED6" w:rsidRPr="002E4ED6">
        <w:t xml:space="preserve"> engagement in program planning and priority setting. For example, the Annual Reflections Workshop </w:t>
      </w:r>
      <w:r w:rsidR="007C68B4">
        <w:t>in October 2014</w:t>
      </w:r>
      <w:r w:rsidR="004976B2">
        <w:t xml:space="preserve"> </w:t>
      </w:r>
      <w:r w:rsidR="002E4ED6" w:rsidRPr="002E4ED6">
        <w:t>was attended by 40 officials from major agencies an</w:t>
      </w:r>
      <w:r w:rsidR="0088297A">
        <w:t>d stakeholders—</w:t>
      </w:r>
      <w:r w:rsidR="002E4ED6" w:rsidRPr="002E4ED6">
        <w:t>an excellent outcome as this occurred during the government reshuffle. However, engagement with the P</w:t>
      </w:r>
      <w:r w:rsidR="004976B2">
        <w:t xml:space="preserve">roject </w:t>
      </w:r>
      <w:r w:rsidR="002E4ED6" w:rsidRPr="002E4ED6">
        <w:t>C</w:t>
      </w:r>
      <w:r w:rsidR="004976B2">
        <w:t xml:space="preserve">oordinating </w:t>
      </w:r>
      <w:r w:rsidR="002E4ED6" w:rsidRPr="002E4ED6">
        <w:t>C</w:t>
      </w:r>
      <w:r w:rsidR="004976B2">
        <w:t>ommittee</w:t>
      </w:r>
      <w:r w:rsidR="002E4ED6" w:rsidRPr="002E4ED6">
        <w:t xml:space="preserve"> </w:t>
      </w:r>
      <w:r w:rsidR="005541FD">
        <w:t>was challenging</w:t>
      </w:r>
      <w:r w:rsidR="0088297A">
        <w:t xml:space="preserve"> in 2014</w:t>
      </w:r>
      <w:r w:rsidR="00C957DB">
        <w:t xml:space="preserve"> as changes to the program’s guidelines and procedures were implemented</w:t>
      </w:r>
      <w:r w:rsidR="0088297A">
        <w:t>. DFAT and Coffey are</w:t>
      </w:r>
      <w:r w:rsidR="002E4ED6" w:rsidRPr="002E4ED6">
        <w:t xml:space="preserve"> work</w:t>
      </w:r>
      <w:r w:rsidR="0088297A">
        <w:t>ing</w:t>
      </w:r>
      <w:r w:rsidR="002E4ED6" w:rsidRPr="002E4ED6">
        <w:t xml:space="preserve"> closely on this relationship to </w:t>
      </w:r>
      <w:r w:rsidR="005541FD" w:rsidRPr="002E4ED6">
        <w:t xml:space="preserve">ensure </w:t>
      </w:r>
      <w:r w:rsidR="0088297A" w:rsidRPr="002E4ED6">
        <w:t xml:space="preserve">positive </w:t>
      </w:r>
      <w:r w:rsidR="005541FD" w:rsidRPr="002E4ED6">
        <w:t>rel</w:t>
      </w:r>
      <w:r w:rsidR="0088297A">
        <w:t>ationships with stakeholders</w:t>
      </w:r>
      <w:r w:rsidR="005541FD" w:rsidRPr="002E4ED6">
        <w:t>.</w:t>
      </w:r>
      <w:r w:rsidR="002E4ED6" w:rsidRPr="002E4ED6">
        <w:t xml:space="preserve"> Coffey appropriately manages risk</w:t>
      </w:r>
      <w:r w:rsidR="005541FD">
        <w:t xml:space="preserve"> and fraud with</w:t>
      </w:r>
      <w:r w:rsidR="002E4ED6" w:rsidRPr="002E4ED6">
        <w:t xml:space="preserve"> quarterly updates to the risk matrix</w:t>
      </w:r>
      <w:r w:rsidR="007C68B4">
        <w:t xml:space="preserve"> in consultation with DFAT</w:t>
      </w:r>
      <w:r w:rsidR="002E4ED6" w:rsidRPr="002E4ED6">
        <w:t xml:space="preserve">. </w:t>
      </w:r>
      <w:r w:rsidR="007C68B4">
        <w:t xml:space="preserve"> </w:t>
      </w:r>
    </w:p>
    <w:p w:rsidR="005541FD" w:rsidRDefault="004323C2" w:rsidP="0007008E">
      <w:pPr>
        <w:pStyle w:val="BodyText"/>
      </w:pPr>
      <w:r>
        <w:t xml:space="preserve">During 2014–15 the World Bank effectively managed the Ground Water Management activity to make up for the time lost to </w:t>
      </w:r>
      <w:r w:rsidR="007C68B4">
        <w:t>earlier delays</w:t>
      </w:r>
      <w:r>
        <w:t xml:space="preserve">. </w:t>
      </w:r>
      <w:r w:rsidR="007C68B4">
        <w:t xml:space="preserve">The </w:t>
      </w:r>
      <w:r>
        <w:t>W</w:t>
      </w:r>
      <w:r w:rsidR="009541E2">
        <w:t xml:space="preserve">orld </w:t>
      </w:r>
      <w:r>
        <w:t>B</w:t>
      </w:r>
      <w:r w:rsidR="009541E2">
        <w:t>ank</w:t>
      </w:r>
      <w:r>
        <w:t xml:space="preserve"> has an e</w:t>
      </w:r>
      <w:r w:rsidR="00960A95">
        <w:t xml:space="preserve">xcellent partnership with the Ministry of </w:t>
      </w:r>
      <w:r>
        <w:t>F</w:t>
      </w:r>
      <w:r w:rsidR="00960A95">
        <w:t>inance</w:t>
      </w:r>
      <w:r>
        <w:t xml:space="preserve"> and MEGD</w:t>
      </w:r>
      <w:r w:rsidR="00960A95">
        <w:t>,</w:t>
      </w:r>
      <w:r>
        <w:t xml:space="preserve"> and cooperation is increasing with sub-national governments, private companies and communities. At DFAT’s suggestion</w:t>
      </w:r>
      <w:r w:rsidR="001B7FA2">
        <w:t xml:space="preserve"> the</w:t>
      </w:r>
      <w:r>
        <w:t xml:space="preserve"> </w:t>
      </w:r>
      <w:r w:rsidRPr="004323C2">
        <w:t>W</w:t>
      </w:r>
      <w:r w:rsidR="009541E2">
        <w:t xml:space="preserve">orld </w:t>
      </w:r>
      <w:r w:rsidRPr="004323C2">
        <w:t>B</w:t>
      </w:r>
      <w:r w:rsidR="009541E2">
        <w:t>ank</w:t>
      </w:r>
      <w:r w:rsidR="001B7FA2">
        <w:t xml:space="preserve"> country program</w:t>
      </w:r>
      <w:r w:rsidRPr="004323C2">
        <w:t xml:space="preserve"> has started coordination with</w:t>
      </w:r>
      <w:r w:rsidR="0099224B">
        <w:t xml:space="preserve"> the</w:t>
      </w:r>
      <w:r w:rsidRPr="004323C2">
        <w:t xml:space="preserve"> I</w:t>
      </w:r>
      <w:r w:rsidR="0099224B">
        <w:t xml:space="preserve">nternational </w:t>
      </w:r>
      <w:r w:rsidRPr="004323C2">
        <w:t>F</w:t>
      </w:r>
      <w:r w:rsidR="0099224B">
        <w:t xml:space="preserve">inance </w:t>
      </w:r>
      <w:r w:rsidRPr="004323C2">
        <w:t>C</w:t>
      </w:r>
      <w:r w:rsidR="0099224B">
        <w:t>orporation (IFC)</w:t>
      </w:r>
      <w:r w:rsidRPr="004323C2">
        <w:t xml:space="preserve"> which </w:t>
      </w:r>
      <w:r w:rsidR="0099224B">
        <w:t>has</w:t>
      </w:r>
      <w:r w:rsidRPr="004323C2">
        <w:t xml:space="preserve"> water initiatives with </w:t>
      </w:r>
      <w:r>
        <w:t xml:space="preserve">the </w:t>
      </w:r>
      <w:r w:rsidR="00960A95">
        <w:t xml:space="preserve">private sector. </w:t>
      </w:r>
      <w:r w:rsidRPr="004323C2">
        <w:t>T</w:t>
      </w:r>
      <w:r>
        <w:t xml:space="preserve">he </w:t>
      </w:r>
      <w:r w:rsidR="00960A95">
        <w:t>Bank’s Mongolia program and</w:t>
      </w:r>
      <w:r w:rsidR="001B7FA2">
        <w:t xml:space="preserve"> IFC</w:t>
      </w:r>
      <w:r w:rsidRPr="004323C2">
        <w:t xml:space="preserve"> have agreed to share experiences and harmonize their activities when relevant.</w:t>
      </w:r>
    </w:p>
    <w:p w:rsidR="008E29AB" w:rsidRDefault="004323C2" w:rsidP="005A0DFC">
      <w:pPr>
        <w:pStyle w:val="BodyText"/>
      </w:pPr>
      <w:r>
        <w:t xml:space="preserve">UNICEF </w:t>
      </w:r>
      <w:r w:rsidR="0099224B">
        <w:t>effectively managed</w:t>
      </w:r>
      <w:r>
        <w:t xml:space="preserve"> the </w:t>
      </w:r>
      <w:r w:rsidR="0099224B">
        <w:t xml:space="preserve">2014 </w:t>
      </w:r>
      <w:r>
        <w:t>dec</w:t>
      </w:r>
      <w:r w:rsidR="0099224B">
        <w:t xml:space="preserve">ision </w:t>
      </w:r>
      <w:r>
        <w:t xml:space="preserve">to reduce the budget and timeframe of the </w:t>
      </w:r>
      <w:r w:rsidR="0099224B">
        <w:t>WASH</w:t>
      </w:r>
      <w:r>
        <w:t xml:space="preserve"> investment. UNICEF quickly adjusted its plans and there were no negative effects on the timely delivery of activities and outputs. DFAT and UNICEF developed a communication strategy to reduce </w:t>
      </w:r>
      <w:r w:rsidR="00467772">
        <w:t xml:space="preserve">reputational </w:t>
      </w:r>
      <w:r>
        <w:t>risk, and strong partnerships with national and provincial authorities, and the schoo</w:t>
      </w:r>
      <w:r w:rsidR="00960A95">
        <w:t>ls and kindergarten communities</w:t>
      </w:r>
      <w:r w:rsidR="0099224B">
        <w:t>,</w:t>
      </w:r>
      <w:r>
        <w:t xml:space="preserve"> were helpful. Innovative approaches to low-cost high-value facilities were </w:t>
      </w:r>
      <w:r w:rsidR="0099224B">
        <w:t xml:space="preserve">essential </w:t>
      </w:r>
      <w:r>
        <w:t>to achieve objectives. In fact the investment exceeded its target outcomes even with the reduced funding and timeframe.</w:t>
      </w:r>
    </w:p>
    <w:p w:rsidR="007C68B4" w:rsidRDefault="007C68B4" w:rsidP="005A0DFC">
      <w:pPr>
        <w:pStyle w:val="BodyText"/>
      </w:pPr>
    </w:p>
    <w:p w:rsidR="00C957DB" w:rsidRPr="005A0DFC" w:rsidRDefault="00C957DB" w:rsidP="005A0DFC">
      <w:pPr>
        <w:pStyle w:val="BodyText"/>
      </w:pPr>
    </w:p>
    <w:p w:rsidR="000D733F" w:rsidRPr="003275D0" w:rsidRDefault="005C4792" w:rsidP="00432EED">
      <w:pPr>
        <w:pStyle w:val="Heading3"/>
        <w:rPr>
          <w:rStyle w:val="BodyTextChar"/>
          <w:b/>
        </w:rPr>
      </w:pPr>
      <w:r>
        <w:lastRenderedPageBreak/>
        <w:t xml:space="preserve">Risks and </w:t>
      </w:r>
      <w:r w:rsidR="000D733F" w:rsidRPr="009E38C1">
        <w:t xml:space="preserve">Management </w:t>
      </w:r>
      <w:r w:rsidR="00417566">
        <w:t>Actions</w:t>
      </w:r>
      <w:r w:rsidR="000D733F" w:rsidRPr="009E38C1">
        <w:tab/>
      </w:r>
      <w:r w:rsidR="000D733F">
        <w:tab/>
      </w:r>
    </w:p>
    <w:p w:rsidR="005A0DFC" w:rsidRPr="005A0DFC" w:rsidRDefault="005A0DFC" w:rsidP="005A0DFC">
      <w:pPr>
        <w:pStyle w:val="BodyText"/>
      </w:pPr>
      <w:r w:rsidRPr="005A0DFC">
        <w:t>The key risk to be addressed is that the significantly reduced aid budget decreases Australia’s influence in our sectors of engagement, our relative standing within the donor community, and more broadly our relationship with the GoM. The likelihood of this risk is considered low, given our strong and open relationship with the GoM and the good will generated with</w:t>
      </w:r>
      <w:r w:rsidR="00960A95">
        <w:t xml:space="preserve"> the opening of an embassy in Ulaanbaatar. We are</w:t>
      </w:r>
      <w:r w:rsidRPr="005A0DFC">
        <w:t xml:space="preserve"> </w:t>
      </w:r>
      <w:r w:rsidR="004976B2">
        <w:t>mitigating</w:t>
      </w:r>
      <w:r w:rsidRPr="005A0DFC">
        <w:t xml:space="preserve"> the consequences of a reduced aid budget on the ability of our investments to deliver tangible activities and results. We will </w:t>
      </w:r>
      <w:r w:rsidR="004976B2">
        <w:t xml:space="preserve">particularly </w:t>
      </w:r>
      <w:r w:rsidRPr="005A0DFC">
        <w:t>seek to minimise the impact on the scholarship</w:t>
      </w:r>
      <w:r w:rsidR="009541E2">
        <w:t xml:space="preserve"> program</w:t>
      </w:r>
      <w:r w:rsidRPr="005A0DFC">
        <w:t xml:space="preserve"> as the AAM program is a high priority for the GoM.  The intended work of the new AMEP investment will be scaled back, but as the ISP is only recently mobilised this will not mean cutting pre-existing activities</w:t>
      </w:r>
      <w:r w:rsidR="009541E2">
        <w:t xml:space="preserve"> (the Groundwater and TVET programs)</w:t>
      </w:r>
      <w:r w:rsidRPr="005A0DFC">
        <w:t xml:space="preserve">. Initial conversations with our implementing partners—Coffey </w:t>
      </w:r>
      <w:r w:rsidR="00960A95">
        <w:t xml:space="preserve">(for AAM) </w:t>
      </w:r>
      <w:r w:rsidRPr="005A0DFC">
        <w:t>and Adam Smith International</w:t>
      </w:r>
      <w:r w:rsidR="00960A95">
        <w:t xml:space="preserve"> (for AMEP)</w:t>
      </w:r>
      <w:r w:rsidR="00096550">
        <w:t>—</w:t>
      </w:r>
      <w:r w:rsidRPr="005A0DFC">
        <w:t>on the need to reorient investments have been cooperative.</w:t>
      </w:r>
    </w:p>
    <w:p w:rsidR="005A0DFC" w:rsidRPr="005A0DFC" w:rsidRDefault="005A0DFC" w:rsidP="005A0DFC">
      <w:pPr>
        <w:pStyle w:val="BodyText"/>
      </w:pPr>
      <w:r w:rsidRPr="005A0DFC">
        <w:t>Actions:</w:t>
      </w:r>
    </w:p>
    <w:p w:rsidR="005A0DFC" w:rsidRPr="005A0DFC" w:rsidRDefault="005A0DFC" w:rsidP="005A0DFC">
      <w:pPr>
        <w:pStyle w:val="BodyText"/>
      </w:pPr>
      <w:r w:rsidRPr="00417566">
        <w:rPr>
          <w:b/>
          <w:u w:val="single"/>
        </w:rPr>
        <w:t>Manage communication around budget reductions to the Mongolia aid program</w:t>
      </w:r>
      <w:r w:rsidRPr="00417566">
        <w:rPr>
          <w:u w:val="single"/>
        </w:rPr>
        <w:br/>
      </w:r>
      <w:r w:rsidR="00960A95">
        <w:t xml:space="preserve">DFAT </w:t>
      </w:r>
      <w:r w:rsidRPr="005A0DFC">
        <w:t xml:space="preserve">officials </w:t>
      </w:r>
      <w:r w:rsidR="0023548A">
        <w:t>will continue to</w:t>
      </w:r>
      <w:r w:rsidRPr="005A0DFC">
        <w:t xml:space="preserve"> convey</w:t>
      </w:r>
      <w:r w:rsidR="0023548A" w:rsidRPr="00F348A7">
        <w:t xml:space="preserve"> to partners that the Mongolia-Australia relationship remains strong and important—as evidenced by the announcement to open an embassy</w:t>
      </w:r>
      <w:r w:rsidR="0023548A">
        <w:t>, Australia’s continued investment in Mongolia’s human resource development and extractives sectors,</w:t>
      </w:r>
      <w:r w:rsidR="0023548A" w:rsidRPr="00F348A7">
        <w:t xml:space="preserve"> and the strong bilateral trade and investment relationships. </w:t>
      </w:r>
      <w:r w:rsidRPr="005A0DFC">
        <w:t xml:space="preserve">The aid program will continue to work closely with Mongolian counterparts to refine the focus and priorities of Australian aid assistance in line with agreed development goals. </w:t>
      </w:r>
    </w:p>
    <w:p w:rsidR="005A0DFC" w:rsidRPr="005A0DFC" w:rsidRDefault="005A0DFC" w:rsidP="005A0DFC">
      <w:pPr>
        <w:pStyle w:val="BodyText"/>
        <w:rPr>
          <w:b/>
        </w:rPr>
      </w:pPr>
      <w:r w:rsidRPr="00417566">
        <w:rPr>
          <w:b/>
          <w:u w:val="single"/>
        </w:rPr>
        <w:t xml:space="preserve">Manage reduction in scale of AMEP </w:t>
      </w:r>
      <w:r w:rsidRPr="00417566">
        <w:rPr>
          <w:b/>
          <w:u w:val="single"/>
        </w:rPr>
        <w:br/>
      </w:r>
      <w:r w:rsidRPr="005A0DFC">
        <w:t>WB and GiZ partne</w:t>
      </w:r>
      <w:r w:rsidR="004976B2">
        <w:t>rships will</w:t>
      </w:r>
      <w:r w:rsidR="00960A95">
        <w:t xml:space="preserve"> continue as planned. </w:t>
      </w:r>
      <w:r w:rsidR="00C957DB">
        <w:t>DFAT</w:t>
      </w:r>
      <w:r w:rsidRPr="005A0DFC">
        <w:t xml:space="preserve"> staff</w:t>
      </w:r>
      <w:r w:rsidR="00C957DB">
        <w:t xml:space="preserve"> will</w:t>
      </w:r>
      <w:r w:rsidRPr="005A0DFC">
        <w:t xml:space="preserve"> monitor progress, including </w:t>
      </w:r>
      <w:r w:rsidR="00C957DB">
        <w:t xml:space="preserve">through </w:t>
      </w:r>
      <w:r w:rsidRPr="005A0DFC">
        <w:t>field visits, and maintain regular co</w:t>
      </w:r>
      <w:r w:rsidR="004976B2">
        <w:t>mmunication</w:t>
      </w:r>
      <w:r w:rsidRPr="005A0DFC">
        <w:t xml:space="preserve"> about project implementation, risk and results. </w:t>
      </w:r>
    </w:p>
    <w:p w:rsidR="005A0DFC" w:rsidRPr="005A0DFC" w:rsidRDefault="0023548A" w:rsidP="005A0DFC">
      <w:pPr>
        <w:pStyle w:val="BodyText"/>
      </w:pPr>
      <w:r>
        <w:t>DFAT Canberra will</w:t>
      </w:r>
      <w:r w:rsidR="005A0DFC" w:rsidRPr="005A0DFC">
        <w:t xml:space="preserve"> negotiate a revised scope for the AMEP contract to fit the reduced funding envelope while still contributing outcomes that meet our </w:t>
      </w:r>
      <w:r w:rsidR="00D92174">
        <w:t>goals in the extractives sector and broader economic diplomacy objectives.</w:t>
      </w:r>
    </w:p>
    <w:p w:rsidR="005A0DFC" w:rsidRPr="00417566" w:rsidRDefault="00960A95" w:rsidP="005A0DFC">
      <w:pPr>
        <w:pStyle w:val="BodyText"/>
        <w:rPr>
          <w:b/>
          <w:u w:val="single"/>
        </w:rPr>
      </w:pPr>
      <w:r w:rsidRPr="00417566">
        <w:rPr>
          <w:b/>
          <w:u w:val="single"/>
        </w:rPr>
        <w:t>P</w:t>
      </w:r>
      <w:r w:rsidR="005A0DFC" w:rsidRPr="00417566">
        <w:rPr>
          <w:b/>
          <w:u w:val="single"/>
        </w:rPr>
        <w:t xml:space="preserve">rovide a highly regarded quality scholarships program </w:t>
      </w:r>
      <w:r w:rsidRPr="00417566">
        <w:rPr>
          <w:b/>
          <w:u w:val="single"/>
        </w:rPr>
        <w:t>while reducing</w:t>
      </w:r>
      <w:r w:rsidR="005A0DFC" w:rsidRPr="00417566">
        <w:rPr>
          <w:b/>
          <w:u w:val="single"/>
        </w:rPr>
        <w:t xml:space="preserve"> management costs</w:t>
      </w:r>
      <w:r w:rsidR="00417566">
        <w:rPr>
          <w:b/>
          <w:u w:val="single"/>
        </w:rPr>
        <w:br/>
      </w:r>
      <w:r w:rsidR="0023548A">
        <w:t>DFAT</w:t>
      </w:r>
      <w:r w:rsidR="005A0DFC" w:rsidRPr="005A0DFC">
        <w:t xml:space="preserve"> Canberra will renegotiate the existing AAM contract to obtain savings on the management of the program</w:t>
      </w:r>
      <w:r w:rsidR="009541E2">
        <w:t>, while maintaining program quality,</w:t>
      </w:r>
      <w:r w:rsidR="005A0DFC" w:rsidRPr="005A0DFC">
        <w:t xml:space="preserve"> for the remainder of the contract to July 2016. </w:t>
      </w:r>
      <w:r w:rsidR="004664B9">
        <w:t xml:space="preserve">DFAT </w:t>
      </w:r>
      <w:r w:rsidR="005A0DFC" w:rsidRPr="005A0DFC">
        <w:t xml:space="preserve">Canberra staff will work with DFAT’s global scholarships area to ensure the maximum number of scholarships can be awarded for </w:t>
      </w:r>
      <w:r w:rsidR="004664B9">
        <w:t>future</w:t>
      </w:r>
      <w:r w:rsidR="005A0DFC" w:rsidRPr="005A0DFC">
        <w:t xml:space="preserve"> academic intakes. </w:t>
      </w:r>
    </w:p>
    <w:p w:rsidR="009C461F" w:rsidRDefault="005A0DFC" w:rsidP="00417566">
      <w:pPr>
        <w:pStyle w:val="BodyText"/>
      </w:pPr>
      <w:r w:rsidRPr="00417566">
        <w:rPr>
          <w:b/>
          <w:u w:val="single"/>
        </w:rPr>
        <w:t xml:space="preserve">Prepare for transition of management responsibility from Seoul post to </w:t>
      </w:r>
      <w:r w:rsidR="009541E2" w:rsidRPr="00417566">
        <w:rPr>
          <w:b/>
          <w:u w:val="single"/>
        </w:rPr>
        <w:t xml:space="preserve">the </w:t>
      </w:r>
      <w:r w:rsidRPr="00417566">
        <w:rPr>
          <w:b/>
          <w:u w:val="single"/>
        </w:rPr>
        <w:t>new embassy in Ulaanbaatar</w:t>
      </w:r>
      <w:r w:rsidRPr="005A0DFC">
        <w:rPr>
          <w:b/>
        </w:rPr>
        <w:t xml:space="preserve"> </w:t>
      </w:r>
      <w:r>
        <w:rPr>
          <w:b/>
        </w:rPr>
        <w:br/>
      </w:r>
      <w:r w:rsidRPr="005A0DFC">
        <w:t xml:space="preserve">The timeframe for the opening of the embassy is expected to be </w:t>
      </w:r>
      <w:r w:rsidR="00034187">
        <w:t xml:space="preserve">early </w:t>
      </w:r>
      <w:r w:rsidR="009541E2">
        <w:t>2016</w:t>
      </w:r>
      <w:r w:rsidRPr="005A0DFC">
        <w:t xml:space="preserve">. Seoul and Canberra </w:t>
      </w:r>
      <w:r w:rsidR="00AD790C">
        <w:t xml:space="preserve">staff </w:t>
      </w:r>
      <w:r w:rsidRPr="005A0DFC">
        <w:t xml:space="preserve">will lead discussion on roles and responsibilities for aid program </w:t>
      </w:r>
      <w:r w:rsidR="00C957DB">
        <w:t>management</w:t>
      </w:r>
      <w:r w:rsidR="004664B9">
        <w:t>. Current r</w:t>
      </w:r>
      <w:r w:rsidRPr="005A0DFC">
        <w:t>oles and responsibilities between Canberra and Seoul staff will continue until further clarity on embassy opening.</w:t>
      </w:r>
      <w:bookmarkEnd w:id="2"/>
    </w:p>
    <w:sectPr w:rsidR="009C461F" w:rsidSect="00417566">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48" w:rsidRDefault="00D87748" w:rsidP="0050529F">
      <w:r>
        <w:separator/>
      </w:r>
    </w:p>
    <w:p w:rsidR="00D87748" w:rsidRDefault="00D87748"/>
    <w:p w:rsidR="00D87748" w:rsidRDefault="00D87748"/>
    <w:p w:rsidR="00D87748" w:rsidRDefault="00D87748"/>
    <w:p w:rsidR="00D87748" w:rsidRDefault="00D87748"/>
    <w:p w:rsidR="00D87748" w:rsidRDefault="00D87748"/>
    <w:p w:rsidR="00D87748" w:rsidRDefault="00D87748"/>
  </w:endnote>
  <w:endnote w:type="continuationSeparator" w:id="0">
    <w:p w:rsidR="00D87748" w:rsidRDefault="00D87748" w:rsidP="0050529F">
      <w:r>
        <w:continuationSeparator/>
      </w:r>
    </w:p>
    <w:p w:rsidR="00D87748" w:rsidRDefault="00D87748"/>
    <w:p w:rsidR="00D87748" w:rsidRDefault="00D87748"/>
    <w:p w:rsidR="00D87748" w:rsidRDefault="00D87748"/>
    <w:p w:rsidR="00D87748" w:rsidRDefault="00D87748"/>
    <w:p w:rsidR="00D87748" w:rsidRDefault="00D87748"/>
    <w:p w:rsidR="00D87748" w:rsidRDefault="00D87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74" w:rsidRDefault="001D2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755419"/>
      <w:docPartObj>
        <w:docPartGallery w:val="Page Numbers (Bottom of Page)"/>
        <w:docPartUnique/>
      </w:docPartObj>
    </w:sdtPr>
    <w:sdtEndPr>
      <w:rPr>
        <w:noProof/>
      </w:rPr>
    </w:sdtEndPr>
    <w:sdtContent>
      <w:p w:rsidR="00D87748" w:rsidRDefault="00D87748">
        <w:pPr>
          <w:pStyle w:val="Footer"/>
          <w:jc w:val="right"/>
        </w:pPr>
        <w:r>
          <w:fldChar w:fldCharType="begin"/>
        </w:r>
        <w:r>
          <w:instrText xml:space="preserve"> PAGE   \* MERGEFORMAT </w:instrText>
        </w:r>
        <w:r>
          <w:fldChar w:fldCharType="separate"/>
        </w:r>
        <w:r w:rsidR="001D2E74">
          <w:rPr>
            <w:noProof/>
          </w:rPr>
          <w:t>1</w:t>
        </w:r>
        <w:r>
          <w:rPr>
            <w:noProof/>
          </w:rPr>
          <w:fldChar w:fldCharType="end"/>
        </w:r>
      </w:p>
    </w:sdtContent>
  </w:sdt>
  <w:p w:rsidR="00D87748" w:rsidRDefault="00D87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48" w:rsidRPr="004C4A3E" w:rsidRDefault="00D87748"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42C1FFBF" wp14:editId="277D1C3A">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40349B">
      <w:rPr>
        <w:rFonts w:ascii="Franklin Gothic Medium" w:hAnsi="Franklin Gothic Medium"/>
        <w:b/>
        <w:bCs/>
        <w:noProof/>
        <w:color w:val="5A9A98"/>
        <w:sz w:val="14"/>
        <w:szCs w:val="14"/>
        <w:lang w:val="en-US"/>
      </w:rPr>
      <w:t>Error! No text of specified style in document.</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15</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662C8869" wp14:editId="557A18BB">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4813B00D" wp14:editId="3655AEB3">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48" w:rsidRDefault="00D87748" w:rsidP="0050529F">
      <w:r>
        <w:separator/>
      </w:r>
    </w:p>
    <w:p w:rsidR="00D87748" w:rsidRDefault="00D87748"/>
  </w:footnote>
  <w:footnote w:type="continuationSeparator" w:id="0">
    <w:p w:rsidR="00D87748" w:rsidRDefault="00D87748" w:rsidP="0050529F">
      <w:r>
        <w:continuationSeparator/>
      </w:r>
    </w:p>
    <w:p w:rsidR="00D87748" w:rsidRDefault="00D87748"/>
    <w:p w:rsidR="00D87748" w:rsidRDefault="00D87748"/>
    <w:p w:rsidR="00D87748" w:rsidRDefault="00D87748"/>
    <w:p w:rsidR="00D87748" w:rsidRDefault="00D87748"/>
    <w:p w:rsidR="00D87748" w:rsidRDefault="00D87748"/>
    <w:p w:rsidR="00D87748" w:rsidRDefault="00D87748"/>
  </w:footnote>
  <w:footnote w:id="1">
    <w:p w:rsidR="008B5042" w:rsidRDefault="00D87748" w:rsidP="008B5042">
      <w:pPr>
        <w:pStyle w:val="Note"/>
      </w:pPr>
      <w:r>
        <w:rPr>
          <w:rStyle w:val="FootnoteReference"/>
        </w:rPr>
        <w:footnoteRef/>
      </w:r>
      <w:r>
        <w:t xml:space="preserve"> </w:t>
      </w:r>
      <w:r w:rsidR="008B5042">
        <w:t xml:space="preserve">Rating scale: </w:t>
      </w:r>
      <w:r w:rsidRPr="00E74404">
        <w:rPr>
          <w:color w:val="72AF2F"/>
        </w:rPr>
        <w:sym w:font="Webdings" w:char="F067"/>
      </w:r>
      <w:r w:rsidRPr="00180B19">
        <w:t> </w:t>
      </w:r>
      <w:r>
        <w:t xml:space="preserve">Green. </w:t>
      </w:r>
      <w:r w:rsidRPr="00180B19">
        <w:t>Progress is as expected for this point in time and it is likely that the objective will be achieved. Standard program management practices are sufficient.</w:t>
      </w:r>
      <w:r w:rsidR="008B5042">
        <w:t xml:space="preserve"> </w:t>
      </w: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r w:rsidR="008B5042" w:rsidRPr="008B5042">
        <w:rPr>
          <w:color w:val="FF0000"/>
        </w:rPr>
        <w:t xml:space="preserve"> </w:t>
      </w:r>
      <w:r w:rsidR="008B5042" w:rsidRPr="004C4A3E">
        <w:rPr>
          <w:color w:val="FF0000"/>
        </w:rPr>
        <w:sym w:font="Webdings" w:char="F067"/>
      </w:r>
      <w:r w:rsidR="008B5042" w:rsidRPr="00180B19">
        <w:t> </w:t>
      </w:r>
      <w:r w:rsidR="008B5042" w:rsidRPr="00180B19">
        <w:t xml:space="preserve"> </w:t>
      </w:r>
      <w:r w:rsidR="008B5042">
        <w:t xml:space="preserve">Red. </w:t>
      </w:r>
      <w:r w:rsidR="008B5042" w:rsidRPr="00180B19">
        <w:t xml:space="preserve">Progress is significantly less than expected for this point in time and the objective is not likely to be met given available resources and priorities. </w:t>
      </w:r>
    </w:p>
    <w:p w:rsidR="00D87748" w:rsidRDefault="00D87748" w:rsidP="00935E5D">
      <w:pPr>
        <w:pStyle w:val="Note"/>
      </w:pPr>
    </w:p>
    <w:p w:rsidR="00D87748" w:rsidRDefault="00D87748">
      <w:pPr>
        <w:pStyle w:val="FootnoteText"/>
      </w:pPr>
    </w:p>
  </w:footnote>
  <w:footnote w:id="2">
    <w:p w:rsidR="00D87748" w:rsidRDefault="00D87748">
      <w:pPr>
        <w:pStyle w:val="FootnoteText"/>
      </w:pPr>
      <w:r>
        <w:rPr>
          <w:rStyle w:val="FootnoteReference"/>
        </w:rPr>
        <w:footnoteRef/>
      </w:r>
      <w:r>
        <w:t xml:space="preserve"> Overall forei</w:t>
      </w:r>
      <w:r w:rsidR="00AD0E0E">
        <w:t>gn direct investment fell by 85 per cent</w:t>
      </w:r>
      <w:r>
        <w:t xml:space="preserve"> from 2011 to the first quarter of 2015 (US Department of State 2015 Investment Climate Statement)</w:t>
      </w:r>
    </w:p>
  </w:footnote>
  <w:footnote w:id="3">
    <w:p w:rsidR="00D87748" w:rsidRDefault="00D87748">
      <w:pPr>
        <w:pStyle w:val="FootnoteText"/>
      </w:pPr>
      <w:r>
        <w:rPr>
          <w:rStyle w:val="FootnoteReference"/>
        </w:rPr>
        <w:footnoteRef/>
      </w:r>
      <w:r>
        <w:t xml:space="preserve"> In January 2015 Mongolia’s parliament raised the country’s debt ceiling to 58.3 per cent of GDP. </w:t>
      </w:r>
      <w:r w:rsidRPr="000F4CCF">
        <w:t>http://af.reuters.com/article/commoditiesNews/idAFL4N0V03JG20150121</w:t>
      </w:r>
    </w:p>
  </w:footnote>
  <w:footnote w:id="4">
    <w:p w:rsidR="00D87748" w:rsidRDefault="00D87748">
      <w:pPr>
        <w:pStyle w:val="FootnoteText"/>
      </w:pPr>
      <w:r>
        <w:rPr>
          <w:rStyle w:val="FootnoteReference"/>
        </w:rPr>
        <w:footnoteRef/>
      </w:r>
      <w:r w:rsidR="00AD0E0E">
        <w:t xml:space="preserve"> Down from 27.4 per cent</w:t>
      </w:r>
      <w:r>
        <w:t xml:space="preserve"> in 2012 (Mongolia National Statistical Commission 2015)</w:t>
      </w:r>
    </w:p>
  </w:footnote>
  <w:footnote w:id="5">
    <w:p w:rsidR="00D87748" w:rsidRPr="000F4CCF" w:rsidRDefault="00D87748" w:rsidP="000F4CCF">
      <w:pPr>
        <w:pStyle w:val="FootnoteText"/>
      </w:pPr>
      <w:r w:rsidRPr="00F07CCF">
        <w:rPr>
          <w:rStyle w:val="FootnoteReference"/>
          <w:rFonts w:ascii="Calibri" w:hAnsi="Calibri" w:cstheme="minorHAnsi"/>
          <w:sz w:val="18"/>
          <w:szCs w:val="18"/>
        </w:rPr>
        <w:footnoteRef/>
      </w:r>
      <w:r w:rsidRPr="00F07CCF">
        <w:rPr>
          <w:rFonts w:ascii="Calibri" w:hAnsi="Calibri" w:cstheme="minorHAnsi"/>
          <w:sz w:val="18"/>
          <w:szCs w:val="18"/>
        </w:rPr>
        <w:t xml:space="preserve"> </w:t>
      </w:r>
      <w:r w:rsidRPr="000F4CCF">
        <w:t>The Consumer Confidence Index (School of Economic Studies, 2013) survey showed significant difference in poverty rates between house</w:t>
      </w:r>
      <w:r w:rsidR="00AD0E0E">
        <w:t>holds living in ger areas (29.9 per cent</w:t>
      </w:r>
      <w:r w:rsidRPr="000F4CCF">
        <w:t>) as opposed to househ</w:t>
      </w:r>
      <w:r w:rsidR="00AD0E0E">
        <w:t>olds living in apartments (11.9 per cent</w:t>
      </w:r>
      <w:r w:rsidRPr="000F4CCF">
        <w:t>). The difference is even starker when the household head holds</w:t>
      </w:r>
      <w:r>
        <w:t xml:space="preserve"> a</w:t>
      </w:r>
      <w:r w:rsidRPr="000F4CCF">
        <w:t xml:space="preserve"> higher </w:t>
      </w:r>
      <w:r>
        <w:t>education degree</w:t>
      </w:r>
      <w:r w:rsidRPr="000F4CCF">
        <w:t xml:space="preserve"> or is employed.</w:t>
      </w:r>
    </w:p>
  </w:footnote>
  <w:footnote w:id="6">
    <w:p w:rsidR="00D87748" w:rsidRPr="000F4CCF" w:rsidRDefault="00D87748" w:rsidP="000F4CCF">
      <w:pPr>
        <w:pStyle w:val="FootnoteText"/>
      </w:pPr>
      <w:r w:rsidRPr="000F4CCF">
        <w:footnoteRef/>
      </w:r>
      <w:r w:rsidRPr="000F4CCF">
        <w:t xml:space="preserve"> </w:t>
      </w:r>
      <w:r>
        <w:t>The National Statistical Commission reports a significant decline in rural poverty from 35.4 per cent in 2012.</w:t>
      </w:r>
      <w:r w:rsidRPr="000F4CCF">
        <w:t xml:space="preserve"> </w:t>
      </w:r>
    </w:p>
  </w:footnote>
  <w:footnote w:id="7">
    <w:p w:rsidR="00D87748" w:rsidRDefault="00D87748">
      <w:pPr>
        <w:pStyle w:val="FootnoteText"/>
      </w:pPr>
      <w:r w:rsidRPr="00242A6C">
        <w:rPr>
          <w:rStyle w:val="FootnoteReference"/>
          <w:rFonts w:ascii="Franklin Gothic Book" w:hAnsi="Franklin Gothic Book"/>
        </w:rPr>
        <w:footnoteRef/>
      </w:r>
      <w:r>
        <w:t xml:space="preserve"> </w:t>
      </w:r>
      <w:r w:rsidRPr="00B84C2C">
        <w:t>http://hdr.undp.org/en/content/human-development-index-hdi-table</w:t>
      </w:r>
    </w:p>
  </w:footnote>
  <w:footnote w:id="8">
    <w:p w:rsidR="00D87748" w:rsidRDefault="00D87748">
      <w:pPr>
        <w:pStyle w:val="FootnoteText"/>
      </w:pPr>
      <w:r>
        <w:rPr>
          <w:rStyle w:val="FootnoteReference"/>
        </w:rPr>
        <w:footnoteRef/>
      </w:r>
      <w:r>
        <w:t xml:space="preserve"> Like many countries, Mongolia has adapted the MDG global goals to align with its national priorities and local context. Mongolia reports on 24 targets and 67 indicators for the MDGs, and all </w:t>
      </w:r>
      <w:r w:rsidRPr="00FE1643">
        <w:rPr>
          <w:i/>
        </w:rPr>
        <w:t xml:space="preserve">aimags </w:t>
      </w:r>
      <w:r>
        <w:t>(provinces) have their own targets and monitoring mechanisms.</w:t>
      </w:r>
    </w:p>
  </w:footnote>
  <w:footnote w:id="9">
    <w:p w:rsidR="00D87748" w:rsidRDefault="00D87748">
      <w:pPr>
        <w:pStyle w:val="FootnoteText"/>
      </w:pPr>
      <w:r w:rsidRPr="00242A6C">
        <w:rPr>
          <w:rStyle w:val="FootnoteReference"/>
          <w:rFonts w:ascii="Franklin Gothic Book" w:hAnsi="Franklin Gothic Book"/>
        </w:rPr>
        <w:footnoteRef/>
      </w:r>
      <w:r>
        <w:t xml:space="preserve"> </w:t>
      </w:r>
      <w:r w:rsidRPr="00B036D5">
        <w:t>http://www.mn.undp.org/content/mongolia/en/home/library/National-MDG-reports/TheFirthNationalMDGReport/</w:t>
      </w:r>
    </w:p>
  </w:footnote>
  <w:footnote w:id="10">
    <w:p w:rsidR="00D87748" w:rsidRDefault="00D87748">
      <w:pPr>
        <w:pStyle w:val="FootnoteText"/>
      </w:pPr>
      <w:r w:rsidRPr="00242A6C">
        <w:rPr>
          <w:rStyle w:val="FootnoteReference"/>
          <w:rFonts w:ascii="Franklin Gothic Book" w:hAnsi="Franklin Gothic Book"/>
        </w:rPr>
        <w:footnoteRef/>
      </w:r>
      <w:r w:rsidRPr="00242A6C">
        <w:t xml:space="preserve"> </w:t>
      </w:r>
      <w:r>
        <w:t xml:space="preserve">54 out of 187 countries on the gender inequality index: </w:t>
      </w:r>
      <w:r w:rsidRPr="005C5057">
        <w:t>http://hdr.undp.org/en/content/table-4-gender-inequality-index</w:t>
      </w:r>
    </w:p>
  </w:footnote>
  <w:footnote w:id="11">
    <w:p w:rsidR="00D87748" w:rsidRDefault="00D87748">
      <w:pPr>
        <w:pStyle w:val="FootnoteText"/>
      </w:pPr>
      <w:r>
        <w:rPr>
          <w:rStyle w:val="FootnoteReference"/>
        </w:rPr>
        <w:footnoteRef/>
      </w:r>
      <w:r>
        <w:t xml:space="preserve"> Economic Policy and Competitiveness Research Center, </w:t>
      </w:r>
      <w:hyperlink r:id="rId1" w:history="1">
        <w:r w:rsidRPr="00AC491D">
          <w:rPr>
            <w:rStyle w:val="Hyperlink"/>
            <w:sz w:val="16"/>
          </w:rPr>
          <w:t>http://www.infomongolia.com/ct/ci/9467</w:t>
        </w:r>
      </w:hyperlink>
      <w:r>
        <w:t xml:space="preserve"> </w:t>
      </w:r>
    </w:p>
  </w:footnote>
  <w:footnote w:id="12">
    <w:p w:rsidR="00D87748" w:rsidRDefault="00D87748">
      <w:pPr>
        <w:pStyle w:val="FootnoteText"/>
      </w:pPr>
      <w:r w:rsidRPr="00242A6C">
        <w:rPr>
          <w:rStyle w:val="FootnoteReference"/>
          <w:rFonts w:ascii="Franklin Gothic Book" w:hAnsi="Franklin Gothic Book"/>
        </w:rPr>
        <w:footnoteRef/>
      </w:r>
      <w:hyperlink r:id="rId2" w:history="1">
        <w:r w:rsidRPr="00AC491D">
          <w:rPr>
            <w:rStyle w:val="Hyperlink"/>
            <w:rFonts w:eastAsia="Malgun Gothic"/>
            <w:sz w:val="16"/>
            <w:lang w:eastAsia="ko-KR"/>
          </w:rPr>
          <w:t>https://public.tableau.com/views/AidAtAGlance_Recipients/Recipients?:embed=n&amp;:showTabs=y&amp;:display_count=no?&amp;:showVizHome=no</w:t>
        </w:r>
      </w:hyperlink>
      <w:r>
        <w:rPr>
          <w:rFonts w:eastAsia="Malgun Gothic"/>
          <w:lang w:eastAsia="ko-KR"/>
        </w:rPr>
        <w:t xml:space="preserve"> (figures from 2013).</w:t>
      </w:r>
    </w:p>
  </w:footnote>
  <w:footnote w:id="13">
    <w:p w:rsidR="00D87748" w:rsidRDefault="00D87748" w:rsidP="008155EE">
      <w:pPr>
        <w:pStyle w:val="FootnoteText"/>
      </w:pPr>
      <w:r>
        <w:rPr>
          <w:rStyle w:val="FootnoteReference"/>
        </w:rPr>
        <w:footnoteRef/>
      </w:r>
      <w:r>
        <w:t xml:space="preserve"> The final tranche of funding to UNICEF was paid in the previous financial year.</w:t>
      </w:r>
    </w:p>
  </w:footnote>
  <w:footnote w:id="14">
    <w:p w:rsidR="00D87748" w:rsidRDefault="00D87748">
      <w:pPr>
        <w:pStyle w:val="FootnoteText"/>
      </w:pPr>
      <w:r>
        <w:rPr>
          <w:rStyle w:val="FootnoteReference"/>
        </w:rPr>
        <w:footnoteRef/>
      </w:r>
      <w:r>
        <w:t xml:space="preserve"> The evaluators rated the project overall as “successful” with a score of 13 out of a possible 16.</w:t>
      </w:r>
    </w:p>
  </w:footnote>
  <w:footnote w:id="15">
    <w:p w:rsidR="00C957DB" w:rsidRDefault="00C957DB">
      <w:pPr>
        <w:pStyle w:val="FootnoteText"/>
      </w:pPr>
      <w:r>
        <w:rPr>
          <w:rStyle w:val="FootnoteReference"/>
        </w:rPr>
        <w:footnoteRef/>
      </w:r>
      <w:r>
        <w:t xml:space="preserve"> </w:t>
      </w:r>
      <w:hyperlink r:id="rId3" w:history="1">
        <w:r w:rsidRPr="00C02366">
          <w:rPr>
            <w:rStyle w:val="Hyperlink"/>
            <w:sz w:val="16"/>
          </w:rPr>
          <w:t>https://www.csrm.uq.edu.au/publications/responsible-mining-in-mongolia-enhancing-positive-engagement</w:t>
        </w:r>
      </w:hyperlink>
      <w:r>
        <w:t xml:space="preserve"> </w:t>
      </w:r>
    </w:p>
  </w:footnote>
  <w:footnote w:id="16">
    <w:p w:rsidR="00D87748" w:rsidRDefault="00D87748">
      <w:pPr>
        <w:pStyle w:val="FootnoteText"/>
      </w:pPr>
      <w:r>
        <w:rPr>
          <w:rStyle w:val="FootnoteReference"/>
        </w:rPr>
        <w:footnoteRef/>
      </w:r>
      <w:r>
        <w:t xml:space="preserve"> Formal reporting of v</w:t>
      </w:r>
      <w:r w:rsidRPr="00CD75E6">
        <w:t>olunteer program outc</w:t>
      </w:r>
      <w:r>
        <w:t>omes achieved during 2014–15 was</w:t>
      </w:r>
      <w:r w:rsidRPr="00CD75E6">
        <w:t xml:space="preserve"> not available at </w:t>
      </w:r>
      <w:r>
        <w:t xml:space="preserve">the </w:t>
      </w:r>
      <w:r w:rsidRPr="00CD75E6">
        <w:t>time of writing</w:t>
      </w:r>
      <w:r>
        <w:t>.</w:t>
      </w:r>
    </w:p>
  </w:footnote>
  <w:footnote w:id="17">
    <w:p w:rsidR="00AF71B8" w:rsidRDefault="00AF71B8" w:rsidP="00AF71B8">
      <w:pPr>
        <w:pStyle w:val="Note"/>
      </w:pPr>
      <w:r>
        <w:rPr>
          <w:rStyle w:val="FootnoteReference"/>
        </w:rPr>
        <w:footnoteRef/>
      </w:r>
      <w:r>
        <w:t xml:space="preserve"> Rating scale: </w:t>
      </w:r>
      <w:r w:rsidRPr="00593946">
        <w:rPr>
          <w:color w:val="72AF2F"/>
        </w:rPr>
        <w:sym w:font="Webdings" w:char="F067"/>
      </w:r>
      <w:r>
        <w:t xml:space="preserve"> = 6 = Very good  </w:t>
      </w:r>
      <w:r w:rsidRPr="00593946">
        <w:rPr>
          <w:color w:val="72AF2F"/>
        </w:rPr>
        <w:sym w:font="Webdings" w:char="F067"/>
      </w:r>
      <w:r>
        <w:t xml:space="preserve"> = 5 = Good quality   </w:t>
      </w:r>
      <w:r w:rsidRPr="000774FD">
        <w:rPr>
          <w:color w:val="FFFF00"/>
        </w:rPr>
        <w:sym w:font="Webdings" w:char="F067"/>
      </w:r>
      <w:r>
        <w:t xml:space="preserve"> = 4 = Adequate quality, needs some work</w:t>
      </w:r>
    </w:p>
    <w:p w:rsidR="00AF71B8" w:rsidRPr="00527226" w:rsidRDefault="00AF71B8" w:rsidP="00AF71B8">
      <w:pPr>
        <w:pStyle w:val="Note"/>
      </w:pPr>
      <w:r w:rsidRPr="00527226">
        <w:rPr>
          <w:color w:val="E36C0A"/>
        </w:rPr>
        <w:sym w:font="Webdings" w:char="F067"/>
      </w:r>
      <w:r w:rsidRPr="00527226">
        <w:rPr>
          <w:color w:val="E36C0A"/>
        </w:rPr>
        <w:t xml:space="preserve"> </w:t>
      </w:r>
      <w:r w:rsidRPr="00527226">
        <w:t>= 3 = Less than adequate quality; needs significant work</w:t>
      </w:r>
      <w:r>
        <w:t xml:space="preserve"> </w:t>
      </w:r>
      <w:r w:rsidRPr="00527226">
        <w:rPr>
          <w:color w:val="FF0000"/>
        </w:rPr>
        <w:sym w:font="Webdings" w:char="F067"/>
      </w:r>
      <w:r w:rsidRPr="00527226">
        <w:t xml:space="preserve"> = 2 = Poor quality; needs major work to improve</w:t>
      </w:r>
    </w:p>
    <w:p w:rsidR="00AF71B8" w:rsidRPr="00527226" w:rsidRDefault="00AF71B8" w:rsidP="00AF71B8">
      <w:pPr>
        <w:keepNext/>
        <w:keepLines/>
        <w:spacing w:before="20" w:after="20" w:line="180" w:lineRule="atLeast"/>
        <w:jc w:val="both"/>
        <w:rPr>
          <w:rFonts w:ascii="Franklin Gothic Book" w:eastAsia="Times New Roman" w:hAnsi="Franklin Gothic Book"/>
          <w:sz w:val="14"/>
          <w:szCs w:val="14"/>
        </w:rPr>
      </w:pPr>
      <w:r w:rsidRPr="00527226">
        <w:rPr>
          <w:rFonts w:ascii="Franklin Gothic Book" w:eastAsia="Times New Roman" w:hAnsi="Franklin Gothic Book"/>
          <w:color w:val="FF0000"/>
          <w:sz w:val="14"/>
          <w:szCs w:val="14"/>
        </w:rPr>
        <w:sym w:font="Webdings" w:char="F067"/>
      </w:r>
      <w:r w:rsidRPr="00527226">
        <w:rPr>
          <w:rFonts w:ascii="Franklin Gothic Book" w:eastAsia="Times New Roman" w:hAnsi="Franklin Gothic Book"/>
          <w:sz w:val="14"/>
          <w:szCs w:val="14"/>
        </w:rPr>
        <w:t xml:space="preserve"> = 1 = Very poor quality; needs major overhaul</w:t>
      </w:r>
    </w:p>
    <w:p w:rsidR="00AF71B8" w:rsidRDefault="00AF71B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74" w:rsidRDefault="001D2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74" w:rsidRDefault="001D2E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74" w:rsidRDefault="001D2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5AF64EA"/>
    <w:multiLevelType w:val="hybridMultilevel"/>
    <w:tmpl w:val="841CA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nsid w:val="37A0338E"/>
    <w:multiLevelType w:val="hybridMultilevel"/>
    <w:tmpl w:val="519430BC"/>
    <w:lvl w:ilvl="0" w:tplc="3AF89E02">
      <w:start w:val="12"/>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ED62A29"/>
    <w:multiLevelType w:val="hybridMultilevel"/>
    <w:tmpl w:val="6658B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4"/>
  </w:num>
  <w:num w:numId="4">
    <w:abstractNumId w:val="15"/>
  </w:num>
  <w:num w:numId="5">
    <w:abstractNumId w:val="13"/>
  </w:num>
  <w:num w:numId="6">
    <w:abstractNumId w:val="12"/>
  </w:num>
  <w:num w:numId="7">
    <w:abstractNumId w:val="19"/>
  </w:num>
  <w:num w:numId="8">
    <w:abstractNumId w:val="3"/>
  </w:num>
  <w:num w:numId="9">
    <w:abstractNumId w:val="6"/>
  </w:num>
  <w:num w:numId="10">
    <w:abstractNumId w:val="20"/>
  </w:num>
  <w:num w:numId="11">
    <w:abstractNumId w:val="21"/>
  </w:num>
  <w:num w:numId="12">
    <w:abstractNumId w:val="0"/>
  </w:num>
  <w:num w:numId="13">
    <w:abstractNumId w:val="2"/>
  </w:num>
  <w:num w:numId="14">
    <w:abstractNumId w:val="18"/>
  </w:num>
  <w:num w:numId="15">
    <w:abstractNumId w:val="1"/>
  </w:num>
  <w:num w:numId="16">
    <w:abstractNumId w:val="10"/>
  </w:num>
  <w:num w:numId="17">
    <w:abstractNumId w:val="7"/>
  </w:num>
  <w:num w:numId="18">
    <w:abstractNumId w:val="5"/>
  </w:num>
  <w:num w:numId="19">
    <w:abstractNumId w:val="11"/>
  </w:num>
  <w:num w:numId="20">
    <w:abstractNumId w:val="14"/>
  </w:num>
  <w:num w:numId="21">
    <w:abstractNumId w:val="8"/>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2C1"/>
    <w:rsid w:val="00001E9E"/>
    <w:rsid w:val="00002161"/>
    <w:rsid w:val="0000242A"/>
    <w:rsid w:val="00002A92"/>
    <w:rsid w:val="00002E28"/>
    <w:rsid w:val="000039CF"/>
    <w:rsid w:val="00004E18"/>
    <w:rsid w:val="00005943"/>
    <w:rsid w:val="00007E94"/>
    <w:rsid w:val="00011B3B"/>
    <w:rsid w:val="000142A2"/>
    <w:rsid w:val="000143D9"/>
    <w:rsid w:val="00020121"/>
    <w:rsid w:val="00021A9E"/>
    <w:rsid w:val="00024C12"/>
    <w:rsid w:val="00027629"/>
    <w:rsid w:val="00030111"/>
    <w:rsid w:val="00031100"/>
    <w:rsid w:val="00031156"/>
    <w:rsid w:val="00031EB5"/>
    <w:rsid w:val="0003231A"/>
    <w:rsid w:val="00032BDC"/>
    <w:rsid w:val="00034187"/>
    <w:rsid w:val="00040AF6"/>
    <w:rsid w:val="00040F03"/>
    <w:rsid w:val="000426DF"/>
    <w:rsid w:val="0004395B"/>
    <w:rsid w:val="000514FB"/>
    <w:rsid w:val="000517AE"/>
    <w:rsid w:val="000529AD"/>
    <w:rsid w:val="0005506B"/>
    <w:rsid w:val="000550B0"/>
    <w:rsid w:val="00055E78"/>
    <w:rsid w:val="00057589"/>
    <w:rsid w:val="00057D09"/>
    <w:rsid w:val="00065B96"/>
    <w:rsid w:val="0007008E"/>
    <w:rsid w:val="00071B95"/>
    <w:rsid w:val="0007395B"/>
    <w:rsid w:val="000745E2"/>
    <w:rsid w:val="0007703B"/>
    <w:rsid w:val="000774FD"/>
    <w:rsid w:val="0007777B"/>
    <w:rsid w:val="000818C0"/>
    <w:rsid w:val="00081F4E"/>
    <w:rsid w:val="000853A0"/>
    <w:rsid w:val="000905A8"/>
    <w:rsid w:val="00091878"/>
    <w:rsid w:val="0009189D"/>
    <w:rsid w:val="00093989"/>
    <w:rsid w:val="00093AB0"/>
    <w:rsid w:val="000957FC"/>
    <w:rsid w:val="00095CF5"/>
    <w:rsid w:val="00096550"/>
    <w:rsid w:val="000979A0"/>
    <w:rsid w:val="00097B02"/>
    <w:rsid w:val="000A1618"/>
    <w:rsid w:val="000A1755"/>
    <w:rsid w:val="000A4247"/>
    <w:rsid w:val="000B0DDD"/>
    <w:rsid w:val="000B3121"/>
    <w:rsid w:val="000B4022"/>
    <w:rsid w:val="000B5A68"/>
    <w:rsid w:val="000B68F6"/>
    <w:rsid w:val="000B6BE5"/>
    <w:rsid w:val="000B6FEA"/>
    <w:rsid w:val="000B75E8"/>
    <w:rsid w:val="000C258A"/>
    <w:rsid w:val="000C29BF"/>
    <w:rsid w:val="000C4A7A"/>
    <w:rsid w:val="000C6080"/>
    <w:rsid w:val="000C60A8"/>
    <w:rsid w:val="000D151B"/>
    <w:rsid w:val="000D1993"/>
    <w:rsid w:val="000D5D83"/>
    <w:rsid w:val="000D679D"/>
    <w:rsid w:val="000D733F"/>
    <w:rsid w:val="000D74A3"/>
    <w:rsid w:val="000D7952"/>
    <w:rsid w:val="000E1CD0"/>
    <w:rsid w:val="000E4573"/>
    <w:rsid w:val="000E7297"/>
    <w:rsid w:val="000E7A8D"/>
    <w:rsid w:val="000F02E7"/>
    <w:rsid w:val="000F29E5"/>
    <w:rsid w:val="000F2D94"/>
    <w:rsid w:val="000F3698"/>
    <w:rsid w:val="000F4CCF"/>
    <w:rsid w:val="00100485"/>
    <w:rsid w:val="00100AA2"/>
    <w:rsid w:val="00105BCA"/>
    <w:rsid w:val="00106185"/>
    <w:rsid w:val="00106BDC"/>
    <w:rsid w:val="0010729C"/>
    <w:rsid w:val="0011113D"/>
    <w:rsid w:val="00112E97"/>
    <w:rsid w:val="001139DE"/>
    <w:rsid w:val="00114751"/>
    <w:rsid w:val="001154CA"/>
    <w:rsid w:val="001171DE"/>
    <w:rsid w:val="00120696"/>
    <w:rsid w:val="00120FC7"/>
    <w:rsid w:val="00122038"/>
    <w:rsid w:val="001227C3"/>
    <w:rsid w:val="0012429A"/>
    <w:rsid w:val="0012431E"/>
    <w:rsid w:val="001258C6"/>
    <w:rsid w:val="0012793C"/>
    <w:rsid w:val="00131FF0"/>
    <w:rsid w:val="00132003"/>
    <w:rsid w:val="00133AAD"/>
    <w:rsid w:val="00135806"/>
    <w:rsid w:val="001366B4"/>
    <w:rsid w:val="001375E3"/>
    <w:rsid w:val="00140C77"/>
    <w:rsid w:val="00141A30"/>
    <w:rsid w:val="00143053"/>
    <w:rsid w:val="0014411B"/>
    <w:rsid w:val="001448E7"/>
    <w:rsid w:val="00146344"/>
    <w:rsid w:val="00147846"/>
    <w:rsid w:val="0015043E"/>
    <w:rsid w:val="00152DFD"/>
    <w:rsid w:val="00154974"/>
    <w:rsid w:val="00154C73"/>
    <w:rsid w:val="00154EF9"/>
    <w:rsid w:val="00157858"/>
    <w:rsid w:val="00160975"/>
    <w:rsid w:val="001612CE"/>
    <w:rsid w:val="001624FB"/>
    <w:rsid w:val="001632E0"/>
    <w:rsid w:val="0016544D"/>
    <w:rsid w:val="001657F1"/>
    <w:rsid w:val="00165EBF"/>
    <w:rsid w:val="00166016"/>
    <w:rsid w:val="00167331"/>
    <w:rsid w:val="0016740F"/>
    <w:rsid w:val="00171B21"/>
    <w:rsid w:val="00171BB2"/>
    <w:rsid w:val="00173C6E"/>
    <w:rsid w:val="00175E4C"/>
    <w:rsid w:val="001772BE"/>
    <w:rsid w:val="00180B19"/>
    <w:rsid w:val="0018196F"/>
    <w:rsid w:val="001829BB"/>
    <w:rsid w:val="0018305E"/>
    <w:rsid w:val="0018353A"/>
    <w:rsid w:val="00186308"/>
    <w:rsid w:val="00192498"/>
    <w:rsid w:val="001943B6"/>
    <w:rsid w:val="00194806"/>
    <w:rsid w:val="001A374B"/>
    <w:rsid w:val="001B0D59"/>
    <w:rsid w:val="001B1A0C"/>
    <w:rsid w:val="001B2948"/>
    <w:rsid w:val="001B41CD"/>
    <w:rsid w:val="001B6C3B"/>
    <w:rsid w:val="001B714C"/>
    <w:rsid w:val="001B7FA2"/>
    <w:rsid w:val="001C1EA0"/>
    <w:rsid w:val="001C31B9"/>
    <w:rsid w:val="001C507E"/>
    <w:rsid w:val="001C5B06"/>
    <w:rsid w:val="001C700E"/>
    <w:rsid w:val="001C7117"/>
    <w:rsid w:val="001C745A"/>
    <w:rsid w:val="001C7564"/>
    <w:rsid w:val="001C7DDD"/>
    <w:rsid w:val="001C7F08"/>
    <w:rsid w:val="001D20FC"/>
    <w:rsid w:val="001D210A"/>
    <w:rsid w:val="001D2E74"/>
    <w:rsid w:val="001D6059"/>
    <w:rsid w:val="001D7E98"/>
    <w:rsid w:val="001E4BDE"/>
    <w:rsid w:val="001E613A"/>
    <w:rsid w:val="001E6635"/>
    <w:rsid w:val="001F12A2"/>
    <w:rsid w:val="001F5CB1"/>
    <w:rsid w:val="001F61A8"/>
    <w:rsid w:val="001F7480"/>
    <w:rsid w:val="00201174"/>
    <w:rsid w:val="00202880"/>
    <w:rsid w:val="00202E4E"/>
    <w:rsid w:val="00203BCC"/>
    <w:rsid w:val="00205E0B"/>
    <w:rsid w:val="00205F2B"/>
    <w:rsid w:val="002110C1"/>
    <w:rsid w:val="002115BD"/>
    <w:rsid w:val="002126BA"/>
    <w:rsid w:val="0021298E"/>
    <w:rsid w:val="00212B27"/>
    <w:rsid w:val="00212C1F"/>
    <w:rsid w:val="0021515C"/>
    <w:rsid w:val="00215F76"/>
    <w:rsid w:val="00222105"/>
    <w:rsid w:val="002227A9"/>
    <w:rsid w:val="00223C41"/>
    <w:rsid w:val="00223D2E"/>
    <w:rsid w:val="00226DEE"/>
    <w:rsid w:val="00227B38"/>
    <w:rsid w:val="0023106A"/>
    <w:rsid w:val="00231D45"/>
    <w:rsid w:val="002335A9"/>
    <w:rsid w:val="002343CF"/>
    <w:rsid w:val="002349EE"/>
    <w:rsid w:val="0023548A"/>
    <w:rsid w:val="00235D29"/>
    <w:rsid w:val="002363D9"/>
    <w:rsid w:val="00236B8C"/>
    <w:rsid w:val="00237C4B"/>
    <w:rsid w:val="00240D59"/>
    <w:rsid w:val="00242A6C"/>
    <w:rsid w:val="002441D5"/>
    <w:rsid w:val="00246E5F"/>
    <w:rsid w:val="00261E78"/>
    <w:rsid w:val="00263F5F"/>
    <w:rsid w:val="00267BBD"/>
    <w:rsid w:val="00270898"/>
    <w:rsid w:val="00270D68"/>
    <w:rsid w:val="00272AF0"/>
    <w:rsid w:val="00273C6F"/>
    <w:rsid w:val="00275C42"/>
    <w:rsid w:val="002849B4"/>
    <w:rsid w:val="002911A4"/>
    <w:rsid w:val="00291F1C"/>
    <w:rsid w:val="00294A68"/>
    <w:rsid w:val="00297FA7"/>
    <w:rsid w:val="002A1242"/>
    <w:rsid w:val="002A15F4"/>
    <w:rsid w:val="002A1935"/>
    <w:rsid w:val="002A1A79"/>
    <w:rsid w:val="002A21D1"/>
    <w:rsid w:val="002A22F7"/>
    <w:rsid w:val="002A3152"/>
    <w:rsid w:val="002A4D70"/>
    <w:rsid w:val="002B1CB1"/>
    <w:rsid w:val="002B1F66"/>
    <w:rsid w:val="002B31B3"/>
    <w:rsid w:val="002B433A"/>
    <w:rsid w:val="002B4EBC"/>
    <w:rsid w:val="002B61A8"/>
    <w:rsid w:val="002B6EBE"/>
    <w:rsid w:val="002B79D4"/>
    <w:rsid w:val="002B7BA7"/>
    <w:rsid w:val="002C1E00"/>
    <w:rsid w:val="002C4C0A"/>
    <w:rsid w:val="002C639B"/>
    <w:rsid w:val="002D1328"/>
    <w:rsid w:val="002D2714"/>
    <w:rsid w:val="002D5D7B"/>
    <w:rsid w:val="002D6914"/>
    <w:rsid w:val="002D6B1E"/>
    <w:rsid w:val="002D6DF0"/>
    <w:rsid w:val="002D70CD"/>
    <w:rsid w:val="002D7FFA"/>
    <w:rsid w:val="002E1F55"/>
    <w:rsid w:val="002E4ED6"/>
    <w:rsid w:val="002E55EA"/>
    <w:rsid w:val="002E5604"/>
    <w:rsid w:val="002F479A"/>
    <w:rsid w:val="002F54F3"/>
    <w:rsid w:val="002F5A14"/>
    <w:rsid w:val="00303038"/>
    <w:rsid w:val="0030318A"/>
    <w:rsid w:val="003054E3"/>
    <w:rsid w:val="00305944"/>
    <w:rsid w:val="00306734"/>
    <w:rsid w:val="00310426"/>
    <w:rsid w:val="00310974"/>
    <w:rsid w:val="00311C99"/>
    <w:rsid w:val="003124AE"/>
    <w:rsid w:val="003133AE"/>
    <w:rsid w:val="00315135"/>
    <w:rsid w:val="00315D13"/>
    <w:rsid w:val="003167E5"/>
    <w:rsid w:val="00320FCE"/>
    <w:rsid w:val="003223F8"/>
    <w:rsid w:val="0032292A"/>
    <w:rsid w:val="00322D92"/>
    <w:rsid w:val="0032486D"/>
    <w:rsid w:val="003260C0"/>
    <w:rsid w:val="0032667F"/>
    <w:rsid w:val="003266E1"/>
    <w:rsid w:val="00326AB2"/>
    <w:rsid w:val="00326B5A"/>
    <w:rsid w:val="003275D0"/>
    <w:rsid w:val="003279FD"/>
    <w:rsid w:val="003305E3"/>
    <w:rsid w:val="00330CD0"/>
    <w:rsid w:val="00331848"/>
    <w:rsid w:val="003319BD"/>
    <w:rsid w:val="0033233E"/>
    <w:rsid w:val="003326BE"/>
    <w:rsid w:val="003327F8"/>
    <w:rsid w:val="00335F19"/>
    <w:rsid w:val="003363C7"/>
    <w:rsid w:val="0033706C"/>
    <w:rsid w:val="00341177"/>
    <w:rsid w:val="00341311"/>
    <w:rsid w:val="00342BF7"/>
    <w:rsid w:val="00343B25"/>
    <w:rsid w:val="00345B8E"/>
    <w:rsid w:val="00351ACA"/>
    <w:rsid w:val="00352AE5"/>
    <w:rsid w:val="00357648"/>
    <w:rsid w:val="0035770F"/>
    <w:rsid w:val="00357AF7"/>
    <w:rsid w:val="00360662"/>
    <w:rsid w:val="00367E52"/>
    <w:rsid w:val="003703A4"/>
    <w:rsid w:val="00371F53"/>
    <w:rsid w:val="00372E1B"/>
    <w:rsid w:val="003743C8"/>
    <w:rsid w:val="00375C7A"/>
    <w:rsid w:val="003822AB"/>
    <w:rsid w:val="00383294"/>
    <w:rsid w:val="00383F3F"/>
    <w:rsid w:val="00384342"/>
    <w:rsid w:val="003849ED"/>
    <w:rsid w:val="00385A4C"/>
    <w:rsid w:val="00392981"/>
    <w:rsid w:val="00394C87"/>
    <w:rsid w:val="00395CFA"/>
    <w:rsid w:val="003A052F"/>
    <w:rsid w:val="003A27D2"/>
    <w:rsid w:val="003A2D7B"/>
    <w:rsid w:val="003A344F"/>
    <w:rsid w:val="003A74BF"/>
    <w:rsid w:val="003B122C"/>
    <w:rsid w:val="003B1F39"/>
    <w:rsid w:val="003B2756"/>
    <w:rsid w:val="003B468C"/>
    <w:rsid w:val="003B5F7E"/>
    <w:rsid w:val="003C2263"/>
    <w:rsid w:val="003C288C"/>
    <w:rsid w:val="003C31EE"/>
    <w:rsid w:val="003C7721"/>
    <w:rsid w:val="003D081D"/>
    <w:rsid w:val="003D2E2F"/>
    <w:rsid w:val="003D3F8B"/>
    <w:rsid w:val="003D44F4"/>
    <w:rsid w:val="003E0E66"/>
    <w:rsid w:val="003E4982"/>
    <w:rsid w:val="003E63B3"/>
    <w:rsid w:val="003E7AA9"/>
    <w:rsid w:val="003F190A"/>
    <w:rsid w:val="003F5FF6"/>
    <w:rsid w:val="00403152"/>
    <w:rsid w:val="0040349B"/>
    <w:rsid w:val="00403AAA"/>
    <w:rsid w:val="00406000"/>
    <w:rsid w:val="00412707"/>
    <w:rsid w:val="00413539"/>
    <w:rsid w:val="0041396D"/>
    <w:rsid w:val="00415A92"/>
    <w:rsid w:val="0041730D"/>
    <w:rsid w:val="00417566"/>
    <w:rsid w:val="004176A5"/>
    <w:rsid w:val="00420E02"/>
    <w:rsid w:val="004228CD"/>
    <w:rsid w:val="0042349B"/>
    <w:rsid w:val="0042527A"/>
    <w:rsid w:val="00426354"/>
    <w:rsid w:val="00430159"/>
    <w:rsid w:val="004309E9"/>
    <w:rsid w:val="00430C14"/>
    <w:rsid w:val="004323C2"/>
    <w:rsid w:val="00432EED"/>
    <w:rsid w:val="004332D4"/>
    <w:rsid w:val="004334CC"/>
    <w:rsid w:val="00433F80"/>
    <w:rsid w:val="00437C95"/>
    <w:rsid w:val="00441E77"/>
    <w:rsid w:val="00443639"/>
    <w:rsid w:val="004450BD"/>
    <w:rsid w:val="004453CE"/>
    <w:rsid w:val="00445A3B"/>
    <w:rsid w:val="00445C4E"/>
    <w:rsid w:val="00446742"/>
    <w:rsid w:val="004508B3"/>
    <w:rsid w:val="00452CCF"/>
    <w:rsid w:val="00452F8A"/>
    <w:rsid w:val="0045475F"/>
    <w:rsid w:val="00457C41"/>
    <w:rsid w:val="00462000"/>
    <w:rsid w:val="0046285A"/>
    <w:rsid w:val="00462E85"/>
    <w:rsid w:val="004664B9"/>
    <w:rsid w:val="00466C98"/>
    <w:rsid w:val="00467772"/>
    <w:rsid w:val="00467C3F"/>
    <w:rsid w:val="00467CE4"/>
    <w:rsid w:val="0047358A"/>
    <w:rsid w:val="0047710F"/>
    <w:rsid w:val="0048082C"/>
    <w:rsid w:val="0048141D"/>
    <w:rsid w:val="00481777"/>
    <w:rsid w:val="00490BDE"/>
    <w:rsid w:val="004934F4"/>
    <w:rsid w:val="00494504"/>
    <w:rsid w:val="004957EC"/>
    <w:rsid w:val="00496F8D"/>
    <w:rsid w:val="004976B2"/>
    <w:rsid w:val="004A2EC3"/>
    <w:rsid w:val="004A315C"/>
    <w:rsid w:val="004A32A5"/>
    <w:rsid w:val="004A568F"/>
    <w:rsid w:val="004A7400"/>
    <w:rsid w:val="004B201A"/>
    <w:rsid w:val="004B41B9"/>
    <w:rsid w:val="004B429F"/>
    <w:rsid w:val="004B4A44"/>
    <w:rsid w:val="004B521C"/>
    <w:rsid w:val="004B64F3"/>
    <w:rsid w:val="004C33EA"/>
    <w:rsid w:val="004C36CF"/>
    <w:rsid w:val="004C4A3E"/>
    <w:rsid w:val="004C4F84"/>
    <w:rsid w:val="004C59EA"/>
    <w:rsid w:val="004C65C6"/>
    <w:rsid w:val="004C660D"/>
    <w:rsid w:val="004C6FC1"/>
    <w:rsid w:val="004C7E92"/>
    <w:rsid w:val="004D0699"/>
    <w:rsid w:val="004D1529"/>
    <w:rsid w:val="004D19CE"/>
    <w:rsid w:val="004D23F6"/>
    <w:rsid w:val="004D2ED0"/>
    <w:rsid w:val="004D4522"/>
    <w:rsid w:val="004D70F2"/>
    <w:rsid w:val="004E01E9"/>
    <w:rsid w:val="004E3E40"/>
    <w:rsid w:val="004E570D"/>
    <w:rsid w:val="004E6400"/>
    <w:rsid w:val="004E642E"/>
    <w:rsid w:val="004E6924"/>
    <w:rsid w:val="004E6A61"/>
    <w:rsid w:val="004E6E33"/>
    <w:rsid w:val="004E702A"/>
    <w:rsid w:val="004F0C2D"/>
    <w:rsid w:val="004F3D7E"/>
    <w:rsid w:val="004F4630"/>
    <w:rsid w:val="004F50EE"/>
    <w:rsid w:val="004F521E"/>
    <w:rsid w:val="004F6FEE"/>
    <w:rsid w:val="00500E10"/>
    <w:rsid w:val="00500EB4"/>
    <w:rsid w:val="00501024"/>
    <w:rsid w:val="00501CD2"/>
    <w:rsid w:val="005028E7"/>
    <w:rsid w:val="00503974"/>
    <w:rsid w:val="00503C59"/>
    <w:rsid w:val="0050439B"/>
    <w:rsid w:val="0050529F"/>
    <w:rsid w:val="00506A51"/>
    <w:rsid w:val="005110C3"/>
    <w:rsid w:val="00514B5E"/>
    <w:rsid w:val="005157C1"/>
    <w:rsid w:val="00515954"/>
    <w:rsid w:val="00515E3D"/>
    <w:rsid w:val="005208AC"/>
    <w:rsid w:val="0052286C"/>
    <w:rsid w:val="00522AB9"/>
    <w:rsid w:val="005265B9"/>
    <w:rsid w:val="00527226"/>
    <w:rsid w:val="005307E8"/>
    <w:rsid w:val="0053175E"/>
    <w:rsid w:val="00531A1A"/>
    <w:rsid w:val="00533533"/>
    <w:rsid w:val="00533CB4"/>
    <w:rsid w:val="005348DF"/>
    <w:rsid w:val="00534CCB"/>
    <w:rsid w:val="00535C99"/>
    <w:rsid w:val="00535E24"/>
    <w:rsid w:val="00537E02"/>
    <w:rsid w:val="00542431"/>
    <w:rsid w:val="00542718"/>
    <w:rsid w:val="00543224"/>
    <w:rsid w:val="005440F6"/>
    <w:rsid w:val="00544CCD"/>
    <w:rsid w:val="0054557A"/>
    <w:rsid w:val="005468EE"/>
    <w:rsid w:val="00546DD6"/>
    <w:rsid w:val="0055172C"/>
    <w:rsid w:val="005541FD"/>
    <w:rsid w:val="0055771D"/>
    <w:rsid w:val="00565055"/>
    <w:rsid w:val="00565635"/>
    <w:rsid w:val="00566396"/>
    <w:rsid w:val="005665B2"/>
    <w:rsid w:val="00567FCF"/>
    <w:rsid w:val="00570432"/>
    <w:rsid w:val="00570765"/>
    <w:rsid w:val="005713EE"/>
    <w:rsid w:val="00571521"/>
    <w:rsid w:val="005732BD"/>
    <w:rsid w:val="005733F9"/>
    <w:rsid w:val="00573E59"/>
    <w:rsid w:val="00575295"/>
    <w:rsid w:val="005753CA"/>
    <w:rsid w:val="00580B6F"/>
    <w:rsid w:val="00581C01"/>
    <w:rsid w:val="0058242D"/>
    <w:rsid w:val="005845CB"/>
    <w:rsid w:val="0058498A"/>
    <w:rsid w:val="00586350"/>
    <w:rsid w:val="0059461A"/>
    <w:rsid w:val="00597486"/>
    <w:rsid w:val="00597520"/>
    <w:rsid w:val="005A0DFC"/>
    <w:rsid w:val="005A18C5"/>
    <w:rsid w:val="005A3ED5"/>
    <w:rsid w:val="005A511C"/>
    <w:rsid w:val="005A7CF6"/>
    <w:rsid w:val="005B040A"/>
    <w:rsid w:val="005B19FC"/>
    <w:rsid w:val="005B42EE"/>
    <w:rsid w:val="005B4F7A"/>
    <w:rsid w:val="005B537E"/>
    <w:rsid w:val="005B7C71"/>
    <w:rsid w:val="005C4792"/>
    <w:rsid w:val="005C4A6B"/>
    <w:rsid w:val="005C5057"/>
    <w:rsid w:val="005C661F"/>
    <w:rsid w:val="005D2A59"/>
    <w:rsid w:val="005D5C34"/>
    <w:rsid w:val="005E3C92"/>
    <w:rsid w:val="005F0C00"/>
    <w:rsid w:val="005F15ED"/>
    <w:rsid w:val="005F33F2"/>
    <w:rsid w:val="005F460C"/>
    <w:rsid w:val="005F51F6"/>
    <w:rsid w:val="005F5CD9"/>
    <w:rsid w:val="005F7425"/>
    <w:rsid w:val="005F74D0"/>
    <w:rsid w:val="00600404"/>
    <w:rsid w:val="0060117A"/>
    <w:rsid w:val="00610400"/>
    <w:rsid w:val="00611A9F"/>
    <w:rsid w:val="00612E14"/>
    <w:rsid w:val="0061511E"/>
    <w:rsid w:val="006155DF"/>
    <w:rsid w:val="006159EB"/>
    <w:rsid w:val="00617F30"/>
    <w:rsid w:val="0062307E"/>
    <w:rsid w:val="006231CF"/>
    <w:rsid w:val="0062598A"/>
    <w:rsid w:val="00625A52"/>
    <w:rsid w:val="0062686B"/>
    <w:rsid w:val="00626A8C"/>
    <w:rsid w:val="00627EF7"/>
    <w:rsid w:val="00633A74"/>
    <w:rsid w:val="00637549"/>
    <w:rsid w:val="00642A6F"/>
    <w:rsid w:val="00642E50"/>
    <w:rsid w:val="00646049"/>
    <w:rsid w:val="00647FBA"/>
    <w:rsid w:val="0065268F"/>
    <w:rsid w:val="0065391A"/>
    <w:rsid w:val="0065679C"/>
    <w:rsid w:val="00657108"/>
    <w:rsid w:val="00661AF4"/>
    <w:rsid w:val="00663306"/>
    <w:rsid w:val="00663909"/>
    <w:rsid w:val="006639E6"/>
    <w:rsid w:val="00663E95"/>
    <w:rsid w:val="00663FFE"/>
    <w:rsid w:val="006659FF"/>
    <w:rsid w:val="006671BC"/>
    <w:rsid w:val="0067299B"/>
    <w:rsid w:val="00673287"/>
    <w:rsid w:val="00680679"/>
    <w:rsid w:val="0068146D"/>
    <w:rsid w:val="00682DB1"/>
    <w:rsid w:val="00683FFB"/>
    <w:rsid w:val="006875B3"/>
    <w:rsid w:val="0068768A"/>
    <w:rsid w:val="00690BEA"/>
    <w:rsid w:val="00695279"/>
    <w:rsid w:val="00697C69"/>
    <w:rsid w:val="006A18AF"/>
    <w:rsid w:val="006B0F12"/>
    <w:rsid w:val="006B33A7"/>
    <w:rsid w:val="006B757F"/>
    <w:rsid w:val="006C0A29"/>
    <w:rsid w:val="006C1260"/>
    <w:rsid w:val="006C2232"/>
    <w:rsid w:val="006C6800"/>
    <w:rsid w:val="006C787E"/>
    <w:rsid w:val="006D0BC5"/>
    <w:rsid w:val="006D16AA"/>
    <w:rsid w:val="006D19F3"/>
    <w:rsid w:val="006D2CF2"/>
    <w:rsid w:val="006D2E37"/>
    <w:rsid w:val="006D34C3"/>
    <w:rsid w:val="006D37D0"/>
    <w:rsid w:val="006D7FBB"/>
    <w:rsid w:val="006E327C"/>
    <w:rsid w:val="006E5114"/>
    <w:rsid w:val="006E7795"/>
    <w:rsid w:val="006E7E9F"/>
    <w:rsid w:val="006E7FA8"/>
    <w:rsid w:val="006F00DB"/>
    <w:rsid w:val="006F4623"/>
    <w:rsid w:val="006F4B40"/>
    <w:rsid w:val="006F5C29"/>
    <w:rsid w:val="006F70FB"/>
    <w:rsid w:val="006F74FE"/>
    <w:rsid w:val="00701FEA"/>
    <w:rsid w:val="007040D1"/>
    <w:rsid w:val="00704C4D"/>
    <w:rsid w:val="00705A00"/>
    <w:rsid w:val="007069F7"/>
    <w:rsid w:val="00706DE1"/>
    <w:rsid w:val="007076A6"/>
    <w:rsid w:val="00710059"/>
    <w:rsid w:val="00710337"/>
    <w:rsid w:val="007110C9"/>
    <w:rsid w:val="00712349"/>
    <w:rsid w:val="00712FCE"/>
    <w:rsid w:val="007131CA"/>
    <w:rsid w:val="00714BA3"/>
    <w:rsid w:val="00715180"/>
    <w:rsid w:val="0071537B"/>
    <w:rsid w:val="007167AE"/>
    <w:rsid w:val="00720276"/>
    <w:rsid w:val="00721098"/>
    <w:rsid w:val="007220F0"/>
    <w:rsid w:val="0072495B"/>
    <w:rsid w:val="00731142"/>
    <w:rsid w:val="007311E0"/>
    <w:rsid w:val="00734300"/>
    <w:rsid w:val="007360D3"/>
    <w:rsid w:val="0073644C"/>
    <w:rsid w:val="00736D2D"/>
    <w:rsid w:val="00737641"/>
    <w:rsid w:val="00737C72"/>
    <w:rsid w:val="007452F9"/>
    <w:rsid w:val="0074660C"/>
    <w:rsid w:val="00747B69"/>
    <w:rsid w:val="00750E77"/>
    <w:rsid w:val="00751449"/>
    <w:rsid w:val="00753AE8"/>
    <w:rsid w:val="00755849"/>
    <w:rsid w:val="00755D95"/>
    <w:rsid w:val="0075616C"/>
    <w:rsid w:val="00756538"/>
    <w:rsid w:val="00756B0E"/>
    <w:rsid w:val="00757BAA"/>
    <w:rsid w:val="00762974"/>
    <w:rsid w:val="00762B9C"/>
    <w:rsid w:val="00766491"/>
    <w:rsid w:val="00766BCF"/>
    <w:rsid w:val="00767F39"/>
    <w:rsid w:val="007700EB"/>
    <w:rsid w:val="007705BC"/>
    <w:rsid w:val="007726E1"/>
    <w:rsid w:val="00774F4B"/>
    <w:rsid w:val="00777CB0"/>
    <w:rsid w:val="007807C9"/>
    <w:rsid w:val="0079256F"/>
    <w:rsid w:val="0079307B"/>
    <w:rsid w:val="007941CF"/>
    <w:rsid w:val="00796F48"/>
    <w:rsid w:val="007A2A5E"/>
    <w:rsid w:val="007A3C6A"/>
    <w:rsid w:val="007A5821"/>
    <w:rsid w:val="007A6B87"/>
    <w:rsid w:val="007B0EBF"/>
    <w:rsid w:val="007B12EF"/>
    <w:rsid w:val="007B51E2"/>
    <w:rsid w:val="007B6F81"/>
    <w:rsid w:val="007B7CA4"/>
    <w:rsid w:val="007C08B4"/>
    <w:rsid w:val="007C68B4"/>
    <w:rsid w:val="007C7DCF"/>
    <w:rsid w:val="007D0A64"/>
    <w:rsid w:val="007D4367"/>
    <w:rsid w:val="007D5D8D"/>
    <w:rsid w:val="007D608D"/>
    <w:rsid w:val="007E10A5"/>
    <w:rsid w:val="007E2A95"/>
    <w:rsid w:val="007E3D71"/>
    <w:rsid w:val="007F0036"/>
    <w:rsid w:val="007F2841"/>
    <w:rsid w:val="007F3E30"/>
    <w:rsid w:val="007F7872"/>
    <w:rsid w:val="0080096B"/>
    <w:rsid w:val="00800B90"/>
    <w:rsid w:val="00802A66"/>
    <w:rsid w:val="008036E0"/>
    <w:rsid w:val="008042BB"/>
    <w:rsid w:val="00805ADD"/>
    <w:rsid w:val="008103A0"/>
    <w:rsid w:val="00810668"/>
    <w:rsid w:val="00810DE3"/>
    <w:rsid w:val="00810FBA"/>
    <w:rsid w:val="008155EE"/>
    <w:rsid w:val="008170B8"/>
    <w:rsid w:val="00821541"/>
    <w:rsid w:val="00821A06"/>
    <w:rsid w:val="00821DD9"/>
    <w:rsid w:val="008220F3"/>
    <w:rsid w:val="00822273"/>
    <w:rsid w:val="008235DB"/>
    <w:rsid w:val="00826FE4"/>
    <w:rsid w:val="00830647"/>
    <w:rsid w:val="00830E80"/>
    <w:rsid w:val="00832911"/>
    <w:rsid w:val="00833071"/>
    <w:rsid w:val="00833EB7"/>
    <w:rsid w:val="008349E6"/>
    <w:rsid w:val="0084092F"/>
    <w:rsid w:val="00844C87"/>
    <w:rsid w:val="00844FB1"/>
    <w:rsid w:val="00850A87"/>
    <w:rsid w:val="00852B9F"/>
    <w:rsid w:val="008532FB"/>
    <w:rsid w:val="008540F0"/>
    <w:rsid w:val="008568C0"/>
    <w:rsid w:val="00861B29"/>
    <w:rsid w:val="0086427B"/>
    <w:rsid w:val="00864874"/>
    <w:rsid w:val="00870639"/>
    <w:rsid w:val="00871CA1"/>
    <w:rsid w:val="00874F47"/>
    <w:rsid w:val="00877D87"/>
    <w:rsid w:val="00880255"/>
    <w:rsid w:val="008810FA"/>
    <w:rsid w:val="00881109"/>
    <w:rsid w:val="0088297A"/>
    <w:rsid w:val="00884878"/>
    <w:rsid w:val="00885B9C"/>
    <w:rsid w:val="00886D18"/>
    <w:rsid w:val="00892303"/>
    <w:rsid w:val="008950ED"/>
    <w:rsid w:val="00896927"/>
    <w:rsid w:val="00897E16"/>
    <w:rsid w:val="008A144E"/>
    <w:rsid w:val="008A310A"/>
    <w:rsid w:val="008A62B8"/>
    <w:rsid w:val="008A6603"/>
    <w:rsid w:val="008B3C4E"/>
    <w:rsid w:val="008B5042"/>
    <w:rsid w:val="008B5F65"/>
    <w:rsid w:val="008B6A9A"/>
    <w:rsid w:val="008C0FBD"/>
    <w:rsid w:val="008C3215"/>
    <w:rsid w:val="008C4903"/>
    <w:rsid w:val="008C5617"/>
    <w:rsid w:val="008C6687"/>
    <w:rsid w:val="008C70BD"/>
    <w:rsid w:val="008C79C7"/>
    <w:rsid w:val="008C7AC8"/>
    <w:rsid w:val="008D0242"/>
    <w:rsid w:val="008D27EF"/>
    <w:rsid w:val="008D28DF"/>
    <w:rsid w:val="008D2DC8"/>
    <w:rsid w:val="008D34F9"/>
    <w:rsid w:val="008D3D46"/>
    <w:rsid w:val="008D43CE"/>
    <w:rsid w:val="008D745E"/>
    <w:rsid w:val="008E29AB"/>
    <w:rsid w:val="008E44A5"/>
    <w:rsid w:val="008E4EF2"/>
    <w:rsid w:val="008F01C2"/>
    <w:rsid w:val="008F06F2"/>
    <w:rsid w:val="008F1AA8"/>
    <w:rsid w:val="008F1E28"/>
    <w:rsid w:val="008F238E"/>
    <w:rsid w:val="008F2F3C"/>
    <w:rsid w:val="008F31FC"/>
    <w:rsid w:val="008F4C4B"/>
    <w:rsid w:val="008F5D80"/>
    <w:rsid w:val="008F7202"/>
    <w:rsid w:val="008F7B8C"/>
    <w:rsid w:val="009006D2"/>
    <w:rsid w:val="00903FE0"/>
    <w:rsid w:val="009103F3"/>
    <w:rsid w:val="009126A4"/>
    <w:rsid w:val="009163AF"/>
    <w:rsid w:val="00916507"/>
    <w:rsid w:val="00916D52"/>
    <w:rsid w:val="00917700"/>
    <w:rsid w:val="00920A31"/>
    <w:rsid w:val="00922FA5"/>
    <w:rsid w:val="00923D3D"/>
    <w:rsid w:val="00924CCB"/>
    <w:rsid w:val="0092520A"/>
    <w:rsid w:val="00927978"/>
    <w:rsid w:val="00932FAD"/>
    <w:rsid w:val="00933913"/>
    <w:rsid w:val="00935E5D"/>
    <w:rsid w:val="009366FA"/>
    <w:rsid w:val="0093693D"/>
    <w:rsid w:val="00936ECF"/>
    <w:rsid w:val="00937307"/>
    <w:rsid w:val="00937DAC"/>
    <w:rsid w:val="00940728"/>
    <w:rsid w:val="009445BA"/>
    <w:rsid w:val="00945130"/>
    <w:rsid w:val="00945B0A"/>
    <w:rsid w:val="00946EC2"/>
    <w:rsid w:val="00946F68"/>
    <w:rsid w:val="009475F3"/>
    <w:rsid w:val="00950481"/>
    <w:rsid w:val="00951562"/>
    <w:rsid w:val="00951651"/>
    <w:rsid w:val="00953CAB"/>
    <w:rsid w:val="009541E2"/>
    <w:rsid w:val="00954EF3"/>
    <w:rsid w:val="0095603B"/>
    <w:rsid w:val="00957948"/>
    <w:rsid w:val="00960A95"/>
    <w:rsid w:val="0096386F"/>
    <w:rsid w:val="00964B56"/>
    <w:rsid w:val="009668EF"/>
    <w:rsid w:val="009713CF"/>
    <w:rsid w:val="009729A9"/>
    <w:rsid w:val="009761F8"/>
    <w:rsid w:val="00976AF1"/>
    <w:rsid w:val="00976FB3"/>
    <w:rsid w:val="0098030D"/>
    <w:rsid w:val="00981B13"/>
    <w:rsid w:val="00981E62"/>
    <w:rsid w:val="0098239D"/>
    <w:rsid w:val="0099224B"/>
    <w:rsid w:val="009928E1"/>
    <w:rsid w:val="00993A65"/>
    <w:rsid w:val="00994882"/>
    <w:rsid w:val="0099488A"/>
    <w:rsid w:val="00994D57"/>
    <w:rsid w:val="00996460"/>
    <w:rsid w:val="0099677B"/>
    <w:rsid w:val="009A1E07"/>
    <w:rsid w:val="009A25EB"/>
    <w:rsid w:val="009A290D"/>
    <w:rsid w:val="009A6610"/>
    <w:rsid w:val="009A77F9"/>
    <w:rsid w:val="009A7A80"/>
    <w:rsid w:val="009B5190"/>
    <w:rsid w:val="009B5381"/>
    <w:rsid w:val="009B654F"/>
    <w:rsid w:val="009C16DF"/>
    <w:rsid w:val="009C1FDC"/>
    <w:rsid w:val="009C461F"/>
    <w:rsid w:val="009C4804"/>
    <w:rsid w:val="009D104E"/>
    <w:rsid w:val="009D16EA"/>
    <w:rsid w:val="009D1FDF"/>
    <w:rsid w:val="009D249E"/>
    <w:rsid w:val="009D3524"/>
    <w:rsid w:val="009D5236"/>
    <w:rsid w:val="009E1667"/>
    <w:rsid w:val="009E1CA8"/>
    <w:rsid w:val="009E28E1"/>
    <w:rsid w:val="009E38C1"/>
    <w:rsid w:val="009E39AA"/>
    <w:rsid w:val="009E6780"/>
    <w:rsid w:val="009E79EC"/>
    <w:rsid w:val="009F1D43"/>
    <w:rsid w:val="009F311B"/>
    <w:rsid w:val="009F4D99"/>
    <w:rsid w:val="009F50F0"/>
    <w:rsid w:val="00A01327"/>
    <w:rsid w:val="00A018E7"/>
    <w:rsid w:val="00A03911"/>
    <w:rsid w:val="00A05140"/>
    <w:rsid w:val="00A06FC9"/>
    <w:rsid w:val="00A10DE1"/>
    <w:rsid w:val="00A11D59"/>
    <w:rsid w:val="00A123C7"/>
    <w:rsid w:val="00A13029"/>
    <w:rsid w:val="00A14E44"/>
    <w:rsid w:val="00A14E66"/>
    <w:rsid w:val="00A20511"/>
    <w:rsid w:val="00A20730"/>
    <w:rsid w:val="00A22538"/>
    <w:rsid w:val="00A257B2"/>
    <w:rsid w:val="00A27E2B"/>
    <w:rsid w:val="00A33B7B"/>
    <w:rsid w:val="00A33DD3"/>
    <w:rsid w:val="00A34039"/>
    <w:rsid w:val="00A3552E"/>
    <w:rsid w:val="00A35E94"/>
    <w:rsid w:val="00A36117"/>
    <w:rsid w:val="00A36449"/>
    <w:rsid w:val="00A40C72"/>
    <w:rsid w:val="00A417FA"/>
    <w:rsid w:val="00A42760"/>
    <w:rsid w:val="00A443C7"/>
    <w:rsid w:val="00A458B3"/>
    <w:rsid w:val="00A45B60"/>
    <w:rsid w:val="00A45E73"/>
    <w:rsid w:val="00A46575"/>
    <w:rsid w:val="00A53D79"/>
    <w:rsid w:val="00A5551F"/>
    <w:rsid w:val="00A61B0C"/>
    <w:rsid w:val="00A62E17"/>
    <w:rsid w:val="00A65630"/>
    <w:rsid w:val="00A65CAA"/>
    <w:rsid w:val="00A662CF"/>
    <w:rsid w:val="00A766FD"/>
    <w:rsid w:val="00A80353"/>
    <w:rsid w:val="00A81E04"/>
    <w:rsid w:val="00A820E7"/>
    <w:rsid w:val="00A82DF8"/>
    <w:rsid w:val="00A85D3A"/>
    <w:rsid w:val="00A87F87"/>
    <w:rsid w:val="00A91509"/>
    <w:rsid w:val="00A9333E"/>
    <w:rsid w:val="00A94EC5"/>
    <w:rsid w:val="00A951D7"/>
    <w:rsid w:val="00A9554E"/>
    <w:rsid w:val="00AA0344"/>
    <w:rsid w:val="00AA31F2"/>
    <w:rsid w:val="00AA37A2"/>
    <w:rsid w:val="00AA406C"/>
    <w:rsid w:val="00AA4F9F"/>
    <w:rsid w:val="00AA5E1B"/>
    <w:rsid w:val="00AA7256"/>
    <w:rsid w:val="00AB0987"/>
    <w:rsid w:val="00AB1207"/>
    <w:rsid w:val="00AB3900"/>
    <w:rsid w:val="00AB7080"/>
    <w:rsid w:val="00AB7215"/>
    <w:rsid w:val="00AC005D"/>
    <w:rsid w:val="00AC0EFF"/>
    <w:rsid w:val="00AC14DE"/>
    <w:rsid w:val="00AC56C2"/>
    <w:rsid w:val="00AC5E19"/>
    <w:rsid w:val="00AC6F49"/>
    <w:rsid w:val="00AD0AEA"/>
    <w:rsid w:val="00AD0E0E"/>
    <w:rsid w:val="00AD222B"/>
    <w:rsid w:val="00AD267E"/>
    <w:rsid w:val="00AD2723"/>
    <w:rsid w:val="00AD445D"/>
    <w:rsid w:val="00AD5D2E"/>
    <w:rsid w:val="00AD6F47"/>
    <w:rsid w:val="00AD790C"/>
    <w:rsid w:val="00AE2781"/>
    <w:rsid w:val="00AE45F4"/>
    <w:rsid w:val="00AE5C52"/>
    <w:rsid w:val="00AE6D76"/>
    <w:rsid w:val="00AE6E0A"/>
    <w:rsid w:val="00AF045F"/>
    <w:rsid w:val="00AF0FA2"/>
    <w:rsid w:val="00AF0FDD"/>
    <w:rsid w:val="00AF5A70"/>
    <w:rsid w:val="00AF5C5C"/>
    <w:rsid w:val="00AF71B8"/>
    <w:rsid w:val="00B036D5"/>
    <w:rsid w:val="00B03FB1"/>
    <w:rsid w:val="00B0653B"/>
    <w:rsid w:val="00B15829"/>
    <w:rsid w:val="00B16BCA"/>
    <w:rsid w:val="00B17A9D"/>
    <w:rsid w:val="00B206FA"/>
    <w:rsid w:val="00B217B5"/>
    <w:rsid w:val="00B21C2F"/>
    <w:rsid w:val="00B249B7"/>
    <w:rsid w:val="00B2764E"/>
    <w:rsid w:val="00B30E77"/>
    <w:rsid w:val="00B33F27"/>
    <w:rsid w:val="00B34B88"/>
    <w:rsid w:val="00B37A25"/>
    <w:rsid w:val="00B44032"/>
    <w:rsid w:val="00B44F14"/>
    <w:rsid w:val="00B456CC"/>
    <w:rsid w:val="00B45C28"/>
    <w:rsid w:val="00B478EF"/>
    <w:rsid w:val="00B51BAD"/>
    <w:rsid w:val="00B53586"/>
    <w:rsid w:val="00B55BE4"/>
    <w:rsid w:val="00B55DDD"/>
    <w:rsid w:val="00B564A3"/>
    <w:rsid w:val="00B56514"/>
    <w:rsid w:val="00B56551"/>
    <w:rsid w:val="00B57AE9"/>
    <w:rsid w:val="00B57CA2"/>
    <w:rsid w:val="00B57DD5"/>
    <w:rsid w:val="00B6288E"/>
    <w:rsid w:val="00B638BD"/>
    <w:rsid w:val="00B65EB5"/>
    <w:rsid w:val="00B66555"/>
    <w:rsid w:val="00B672D7"/>
    <w:rsid w:val="00B71672"/>
    <w:rsid w:val="00B722C5"/>
    <w:rsid w:val="00B72CEC"/>
    <w:rsid w:val="00B73156"/>
    <w:rsid w:val="00B73BA1"/>
    <w:rsid w:val="00B74929"/>
    <w:rsid w:val="00B756E2"/>
    <w:rsid w:val="00B7716B"/>
    <w:rsid w:val="00B777E6"/>
    <w:rsid w:val="00B80134"/>
    <w:rsid w:val="00B80707"/>
    <w:rsid w:val="00B84C2C"/>
    <w:rsid w:val="00B861D4"/>
    <w:rsid w:val="00B8737A"/>
    <w:rsid w:val="00B87675"/>
    <w:rsid w:val="00B910DF"/>
    <w:rsid w:val="00B922B9"/>
    <w:rsid w:val="00B95043"/>
    <w:rsid w:val="00B9749F"/>
    <w:rsid w:val="00BA190C"/>
    <w:rsid w:val="00BA3026"/>
    <w:rsid w:val="00BA3EFF"/>
    <w:rsid w:val="00BA4972"/>
    <w:rsid w:val="00BA5FE7"/>
    <w:rsid w:val="00BA638D"/>
    <w:rsid w:val="00BB1C24"/>
    <w:rsid w:val="00BB2580"/>
    <w:rsid w:val="00BB27EC"/>
    <w:rsid w:val="00BB3121"/>
    <w:rsid w:val="00BB37EE"/>
    <w:rsid w:val="00BB530B"/>
    <w:rsid w:val="00BB58D3"/>
    <w:rsid w:val="00BC179B"/>
    <w:rsid w:val="00BC432E"/>
    <w:rsid w:val="00BC6774"/>
    <w:rsid w:val="00BC6C8B"/>
    <w:rsid w:val="00BC6EEF"/>
    <w:rsid w:val="00BC7980"/>
    <w:rsid w:val="00BD28C5"/>
    <w:rsid w:val="00BD2FEE"/>
    <w:rsid w:val="00BD47D8"/>
    <w:rsid w:val="00BD4D43"/>
    <w:rsid w:val="00BD6ABA"/>
    <w:rsid w:val="00BD7695"/>
    <w:rsid w:val="00BE0D5C"/>
    <w:rsid w:val="00BE0EE1"/>
    <w:rsid w:val="00BE4BDF"/>
    <w:rsid w:val="00BE5FED"/>
    <w:rsid w:val="00BE65E4"/>
    <w:rsid w:val="00BE7D81"/>
    <w:rsid w:val="00BF0AA7"/>
    <w:rsid w:val="00BF15C1"/>
    <w:rsid w:val="00BF2F97"/>
    <w:rsid w:val="00C00765"/>
    <w:rsid w:val="00C00E26"/>
    <w:rsid w:val="00C01BF1"/>
    <w:rsid w:val="00C03A2E"/>
    <w:rsid w:val="00C06287"/>
    <w:rsid w:val="00C113E8"/>
    <w:rsid w:val="00C12309"/>
    <w:rsid w:val="00C152C8"/>
    <w:rsid w:val="00C15F0C"/>
    <w:rsid w:val="00C20D5E"/>
    <w:rsid w:val="00C23583"/>
    <w:rsid w:val="00C312CC"/>
    <w:rsid w:val="00C32D69"/>
    <w:rsid w:val="00C36C67"/>
    <w:rsid w:val="00C4066A"/>
    <w:rsid w:val="00C40D0E"/>
    <w:rsid w:val="00C41C3A"/>
    <w:rsid w:val="00C45C39"/>
    <w:rsid w:val="00C469FC"/>
    <w:rsid w:val="00C51DF7"/>
    <w:rsid w:val="00C5255D"/>
    <w:rsid w:val="00C53CE3"/>
    <w:rsid w:val="00C56BAB"/>
    <w:rsid w:val="00C57E14"/>
    <w:rsid w:val="00C602B7"/>
    <w:rsid w:val="00C60D92"/>
    <w:rsid w:val="00C65930"/>
    <w:rsid w:val="00C665B4"/>
    <w:rsid w:val="00C75AB0"/>
    <w:rsid w:val="00C82AA4"/>
    <w:rsid w:val="00C8305C"/>
    <w:rsid w:val="00C83CA9"/>
    <w:rsid w:val="00C844D6"/>
    <w:rsid w:val="00C85FF6"/>
    <w:rsid w:val="00C9326B"/>
    <w:rsid w:val="00C95691"/>
    <w:rsid w:val="00C957DB"/>
    <w:rsid w:val="00C96A47"/>
    <w:rsid w:val="00C970CE"/>
    <w:rsid w:val="00CA113C"/>
    <w:rsid w:val="00CA1ECD"/>
    <w:rsid w:val="00CA4C7F"/>
    <w:rsid w:val="00CB13B7"/>
    <w:rsid w:val="00CB388E"/>
    <w:rsid w:val="00CB7087"/>
    <w:rsid w:val="00CB723D"/>
    <w:rsid w:val="00CC40C6"/>
    <w:rsid w:val="00CC41EE"/>
    <w:rsid w:val="00CC557A"/>
    <w:rsid w:val="00CD061B"/>
    <w:rsid w:val="00CD0BF5"/>
    <w:rsid w:val="00CD0FA4"/>
    <w:rsid w:val="00CD1089"/>
    <w:rsid w:val="00CD1BCD"/>
    <w:rsid w:val="00CD41F8"/>
    <w:rsid w:val="00CD4340"/>
    <w:rsid w:val="00CD6D61"/>
    <w:rsid w:val="00CD75E6"/>
    <w:rsid w:val="00CD7D66"/>
    <w:rsid w:val="00CD7FFC"/>
    <w:rsid w:val="00CE199C"/>
    <w:rsid w:val="00CE2C6E"/>
    <w:rsid w:val="00CE2D75"/>
    <w:rsid w:val="00CE6C66"/>
    <w:rsid w:val="00CE799B"/>
    <w:rsid w:val="00CF046A"/>
    <w:rsid w:val="00CF321C"/>
    <w:rsid w:val="00CF4FE6"/>
    <w:rsid w:val="00CF556F"/>
    <w:rsid w:val="00CF5630"/>
    <w:rsid w:val="00CF5974"/>
    <w:rsid w:val="00D0030F"/>
    <w:rsid w:val="00D0445F"/>
    <w:rsid w:val="00D0608D"/>
    <w:rsid w:val="00D061D5"/>
    <w:rsid w:val="00D06E87"/>
    <w:rsid w:val="00D06EFC"/>
    <w:rsid w:val="00D074BF"/>
    <w:rsid w:val="00D1197E"/>
    <w:rsid w:val="00D122E5"/>
    <w:rsid w:val="00D1619E"/>
    <w:rsid w:val="00D1704A"/>
    <w:rsid w:val="00D206B3"/>
    <w:rsid w:val="00D219C1"/>
    <w:rsid w:val="00D22C33"/>
    <w:rsid w:val="00D27373"/>
    <w:rsid w:val="00D32833"/>
    <w:rsid w:val="00D33DA7"/>
    <w:rsid w:val="00D3507E"/>
    <w:rsid w:val="00D354D0"/>
    <w:rsid w:val="00D41D9A"/>
    <w:rsid w:val="00D461E5"/>
    <w:rsid w:val="00D472D8"/>
    <w:rsid w:val="00D52246"/>
    <w:rsid w:val="00D5255B"/>
    <w:rsid w:val="00D538F6"/>
    <w:rsid w:val="00D5457D"/>
    <w:rsid w:val="00D54EF5"/>
    <w:rsid w:val="00D56FF4"/>
    <w:rsid w:val="00D60D12"/>
    <w:rsid w:val="00D61E55"/>
    <w:rsid w:val="00D6201F"/>
    <w:rsid w:val="00D6213A"/>
    <w:rsid w:val="00D65196"/>
    <w:rsid w:val="00D66EC5"/>
    <w:rsid w:val="00D70223"/>
    <w:rsid w:val="00D70C37"/>
    <w:rsid w:val="00D73760"/>
    <w:rsid w:val="00D74036"/>
    <w:rsid w:val="00D802BD"/>
    <w:rsid w:val="00D808EE"/>
    <w:rsid w:val="00D83C9D"/>
    <w:rsid w:val="00D8400D"/>
    <w:rsid w:val="00D87748"/>
    <w:rsid w:val="00D87FE7"/>
    <w:rsid w:val="00D91885"/>
    <w:rsid w:val="00D92174"/>
    <w:rsid w:val="00D93663"/>
    <w:rsid w:val="00D94097"/>
    <w:rsid w:val="00D94F5B"/>
    <w:rsid w:val="00D95744"/>
    <w:rsid w:val="00D95DDC"/>
    <w:rsid w:val="00D96B60"/>
    <w:rsid w:val="00DA0634"/>
    <w:rsid w:val="00DA3E6F"/>
    <w:rsid w:val="00DA62C5"/>
    <w:rsid w:val="00DA7CB8"/>
    <w:rsid w:val="00DA7DA7"/>
    <w:rsid w:val="00DB0871"/>
    <w:rsid w:val="00DB0CB2"/>
    <w:rsid w:val="00DB1327"/>
    <w:rsid w:val="00DB20ED"/>
    <w:rsid w:val="00DC08BC"/>
    <w:rsid w:val="00DC1F63"/>
    <w:rsid w:val="00DC6D66"/>
    <w:rsid w:val="00DD1011"/>
    <w:rsid w:val="00DD5451"/>
    <w:rsid w:val="00DE221F"/>
    <w:rsid w:val="00DE3A2A"/>
    <w:rsid w:val="00DE55E6"/>
    <w:rsid w:val="00DE5DBB"/>
    <w:rsid w:val="00DF169D"/>
    <w:rsid w:val="00DF2DE0"/>
    <w:rsid w:val="00DF46FD"/>
    <w:rsid w:val="00DF7AE1"/>
    <w:rsid w:val="00E00C05"/>
    <w:rsid w:val="00E0241F"/>
    <w:rsid w:val="00E04482"/>
    <w:rsid w:val="00E04B5A"/>
    <w:rsid w:val="00E04D37"/>
    <w:rsid w:val="00E05840"/>
    <w:rsid w:val="00E07968"/>
    <w:rsid w:val="00E1028D"/>
    <w:rsid w:val="00E10656"/>
    <w:rsid w:val="00E10BA8"/>
    <w:rsid w:val="00E12448"/>
    <w:rsid w:val="00E14683"/>
    <w:rsid w:val="00E207DB"/>
    <w:rsid w:val="00E21EFB"/>
    <w:rsid w:val="00E2267F"/>
    <w:rsid w:val="00E232E6"/>
    <w:rsid w:val="00E235D4"/>
    <w:rsid w:val="00E25FBA"/>
    <w:rsid w:val="00E2607D"/>
    <w:rsid w:val="00E263F8"/>
    <w:rsid w:val="00E270B7"/>
    <w:rsid w:val="00E27C9F"/>
    <w:rsid w:val="00E33435"/>
    <w:rsid w:val="00E36A50"/>
    <w:rsid w:val="00E40A05"/>
    <w:rsid w:val="00E415E3"/>
    <w:rsid w:val="00E41B22"/>
    <w:rsid w:val="00E43C87"/>
    <w:rsid w:val="00E44BDB"/>
    <w:rsid w:val="00E46E6E"/>
    <w:rsid w:val="00E503B7"/>
    <w:rsid w:val="00E528EB"/>
    <w:rsid w:val="00E5370B"/>
    <w:rsid w:val="00E56811"/>
    <w:rsid w:val="00E56A3E"/>
    <w:rsid w:val="00E6139F"/>
    <w:rsid w:val="00E61E1E"/>
    <w:rsid w:val="00E62387"/>
    <w:rsid w:val="00E64B3B"/>
    <w:rsid w:val="00E67D97"/>
    <w:rsid w:val="00E71A05"/>
    <w:rsid w:val="00E732E2"/>
    <w:rsid w:val="00E742BC"/>
    <w:rsid w:val="00E80AB0"/>
    <w:rsid w:val="00E82051"/>
    <w:rsid w:val="00E8435E"/>
    <w:rsid w:val="00E90B9D"/>
    <w:rsid w:val="00E923F1"/>
    <w:rsid w:val="00E93762"/>
    <w:rsid w:val="00E96025"/>
    <w:rsid w:val="00E96A6F"/>
    <w:rsid w:val="00EA0947"/>
    <w:rsid w:val="00EA1B79"/>
    <w:rsid w:val="00EA1DC6"/>
    <w:rsid w:val="00EA42B1"/>
    <w:rsid w:val="00EA4BDE"/>
    <w:rsid w:val="00EA6D03"/>
    <w:rsid w:val="00EB1D3D"/>
    <w:rsid w:val="00EB3D8A"/>
    <w:rsid w:val="00EB4502"/>
    <w:rsid w:val="00EB4AF9"/>
    <w:rsid w:val="00EB5ABE"/>
    <w:rsid w:val="00EB6139"/>
    <w:rsid w:val="00EB711D"/>
    <w:rsid w:val="00EC0044"/>
    <w:rsid w:val="00EC0476"/>
    <w:rsid w:val="00EC71ED"/>
    <w:rsid w:val="00EC7486"/>
    <w:rsid w:val="00ED04F4"/>
    <w:rsid w:val="00ED24B3"/>
    <w:rsid w:val="00ED2536"/>
    <w:rsid w:val="00ED27A5"/>
    <w:rsid w:val="00ED2FB7"/>
    <w:rsid w:val="00ED6B9E"/>
    <w:rsid w:val="00ED7B38"/>
    <w:rsid w:val="00EE0057"/>
    <w:rsid w:val="00EE0E84"/>
    <w:rsid w:val="00EE120A"/>
    <w:rsid w:val="00EE208F"/>
    <w:rsid w:val="00EE308D"/>
    <w:rsid w:val="00EE44C9"/>
    <w:rsid w:val="00EE5982"/>
    <w:rsid w:val="00EE7D0B"/>
    <w:rsid w:val="00EF087C"/>
    <w:rsid w:val="00EF2769"/>
    <w:rsid w:val="00EF366A"/>
    <w:rsid w:val="00EF4DF3"/>
    <w:rsid w:val="00EF78D2"/>
    <w:rsid w:val="00F0043A"/>
    <w:rsid w:val="00F02F28"/>
    <w:rsid w:val="00F0457F"/>
    <w:rsid w:val="00F0799D"/>
    <w:rsid w:val="00F12744"/>
    <w:rsid w:val="00F13F24"/>
    <w:rsid w:val="00F1419E"/>
    <w:rsid w:val="00F1472A"/>
    <w:rsid w:val="00F17092"/>
    <w:rsid w:val="00F209D8"/>
    <w:rsid w:val="00F212FF"/>
    <w:rsid w:val="00F25003"/>
    <w:rsid w:val="00F27ED1"/>
    <w:rsid w:val="00F30CF8"/>
    <w:rsid w:val="00F31315"/>
    <w:rsid w:val="00F32771"/>
    <w:rsid w:val="00F40408"/>
    <w:rsid w:val="00F42301"/>
    <w:rsid w:val="00F42F5E"/>
    <w:rsid w:val="00F43BA3"/>
    <w:rsid w:val="00F46297"/>
    <w:rsid w:val="00F46ABC"/>
    <w:rsid w:val="00F4799D"/>
    <w:rsid w:val="00F5172B"/>
    <w:rsid w:val="00F53655"/>
    <w:rsid w:val="00F53C1E"/>
    <w:rsid w:val="00F55290"/>
    <w:rsid w:val="00F55956"/>
    <w:rsid w:val="00F56C80"/>
    <w:rsid w:val="00F56CA9"/>
    <w:rsid w:val="00F6071E"/>
    <w:rsid w:val="00F614AD"/>
    <w:rsid w:val="00F616C5"/>
    <w:rsid w:val="00F61AC3"/>
    <w:rsid w:val="00F62B59"/>
    <w:rsid w:val="00F62CFC"/>
    <w:rsid w:val="00F639E2"/>
    <w:rsid w:val="00F65284"/>
    <w:rsid w:val="00F66A76"/>
    <w:rsid w:val="00F67E0C"/>
    <w:rsid w:val="00F711FF"/>
    <w:rsid w:val="00F71512"/>
    <w:rsid w:val="00F74363"/>
    <w:rsid w:val="00F74FA5"/>
    <w:rsid w:val="00F7658C"/>
    <w:rsid w:val="00F769FF"/>
    <w:rsid w:val="00F77E6A"/>
    <w:rsid w:val="00F81D93"/>
    <w:rsid w:val="00F831FB"/>
    <w:rsid w:val="00F86C62"/>
    <w:rsid w:val="00F907B5"/>
    <w:rsid w:val="00F93164"/>
    <w:rsid w:val="00F93332"/>
    <w:rsid w:val="00F940A3"/>
    <w:rsid w:val="00F9413F"/>
    <w:rsid w:val="00F94A2D"/>
    <w:rsid w:val="00F94D21"/>
    <w:rsid w:val="00F97938"/>
    <w:rsid w:val="00FA0B92"/>
    <w:rsid w:val="00FA11D0"/>
    <w:rsid w:val="00FA14EB"/>
    <w:rsid w:val="00FA344A"/>
    <w:rsid w:val="00FA39DE"/>
    <w:rsid w:val="00FA406D"/>
    <w:rsid w:val="00FA44DE"/>
    <w:rsid w:val="00FA4570"/>
    <w:rsid w:val="00FA690F"/>
    <w:rsid w:val="00FB3748"/>
    <w:rsid w:val="00FB5056"/>
    <w:rsid w:val="00FB59DA"/>
    <w:rsid w:val="00FC015B"/>
    <w:rsid w:val="00FC019D"/>
    <w:rsid w:val="00FC19A6"/>
    <w:rsid w:val="00FC3C87"/>
    <w:rsid w:val="00FD0CB0"/>
    <w:rsid w:val="00FD1315"/>
    <w:rsid w:val="00FD19F3"/>
    <w:rsid w:val="00FD281E"/>
    <w:rsid w:val="00FD2EEB"/>
    <w:rsid w:val="00FD7BD8"/>
    <w:rsid w:val="00FE1536"/>
    <w:rsid w:val="00FE1643"/>
    <w:rsid w:val="00FE25EE"/>
    <w:rsid w:val="00FE4491"/>
    <w:rsid w:val="00FE5718"/>
    <w:rsid w:val="00FE57D4"/>
    <w:rsid w:val="00FE68CD"/>
    <w:rsid w:val="00FF061A"/>
    <w:rsid w:val="00FF2137"/>
    <w:rsid w:val="00FF287D"/>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C152C8"/>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32EED"/>
    <w:pPr>
      <w:keepNext w:val="0"/>
      <w:numPr>
        <w:ilvl w:val="2"/>
      </w:numPr>
      <w:spacing w:before="240"/>
      <w:outlineLvl w:val="2"/>
    </w:pPr>
    <w:rPr>
      <w:color w:val="auto"/>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32EED"/>
    <w:rPr>
      <w:rFonts w:ascii="Helvetica" w:eastAsia="Times New Roman" w:hAnsi="Helvetica" w:cs="Arial"/>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AD0AEA"/>
    <w:pPr>
      <w:jc w:val="left"/>
    </w:p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n Char,ft Char,C"/>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ASI Footer,ftref,BVI fnr,16 Point,Superscript 6 Point,Fußnotenzeichen DISS,fr,(NECG) Footnote Reference,footnote ref,Char Char Char Char Car Char"/>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33233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C152C8"/>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32EED"/>
    <w:pPr>
      <w:keepNext w:val="0"/>
      <w:numPr>
        <w:ilvl w:val="2"/>
      </w:numPr>
      <w:spacing w:before="240"/>
      <w:outlineLvl w:val="2"/>
    </w:pPr>
    <w:rPr>
      <w:color w:val="auto"/>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32EED"/>
    <w:rPr>
      <w:rFonts w:ascii="Helvetica" w:eastAsia="Times New Roman" w:hAnsi="Helvetica" w:cs="Arial"/>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AD0AEA"/>
    <w:pPr>
      <w:jc w:val="left"/>
    </w:p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n Char,ft Char,C"/>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ASI Footer,ftref,BVI fnr,16 Point,Superscript 6 Point,Fußnotenzeichen DISS,fr,(NECG) Footnote Reference,footnote ref,Char Char Char Char Car Char"/>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3323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865409">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294946027">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csrm.uq.edu.au/publications/responsible-mining-in-mongolia-enhancing-positive-engagement" TargetMode="External"/><Relationship Id="rId2" Type="http://schemas.openxmlformats.org/officeDocument/2006/relationships/hyperlink" Target="https://public.tableau.com/views/AidAtAGlance_Recipients/Recipients?:embed=n&amp;:showTabs=y&amp;:display_count=no?&amp;:showVizHome=no" TargetMode="External"/><Relationship Id="rId1" Type="http://schemas.openxmlformats.org/officeDocument/2006/relationships/hyperlink" Target="http://www.infomongolia.com/ct/ci/946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CEB45D-8B31-4973-BE62-69143D94848A}"/>
</file>

<file path=customXml/itemProps2.xml><?xml version="1.0" encoding="utf-8"?>
<ds:datastoreItem xmlns:ds="http://schemas.openxmlformats.org/officeDocument/2006/customXml" ds:itemID="{6BD05742-9A44-40C4-8182-9439031ECA8B}"/>
</file>

<file path=customXml/itemProps3.xml><?xml version="1.0" encoding="utf-8"?>
<ds:datastoreItem xmlns:ds="http://schemas.openxmlformats.org/officeDocument/2006/customXml" ds:itemID="{83A361C0-8669-4ABE-9304-C20B45C31790}"/>
</file>

<file path=customXml/itemProps4.xml><?xml version="1.0" encoding="utf-8"?>
<ds:datastoreItem xmlns:ds="http://schemas.openxmlformats.org/officeDocument/2006/customXml" ds:itemID="{44D5933F-4009-4E1A-8A04-F5C5065BB731}"/>
</file>

<file path=docProps/app.xml><?xml version="1.0" encoding="utf-8"?>
<Properties xmlns="http://schemas.openxmlformats.org/officeDocument/2006/extended-properties" xmlns:vt="http://schemas.openxmlformats.org/officeDocument/2006/docPropsVTypes">
  <Template>A9FD573</Template>
  <TotalTime>0</TotalTime>
  <Pages>13</Pages>
  <Words>5652</Words>
  <Characters>32728</Characters>
  <Application>Microsoft Office Word</Application>
  <DocSecurity>0</DocSecurity>
  <Lines>617</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2015-09-11T00:47:00Z</dcterms:created>
  <dcterms:modified xsi:type="dcterms:W3CDTF">2015-09-11T00:47:00Z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966800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