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3C6BD" w14:textId="21D7157C" w:rsidR="009E039A" w:rsidRPr="00070065" w:rsidRDefault="00CD23D4" w:rsidP="00CD23D4">
      <w:pPr>
        <w:pStyle w:val="Heading1"/>
        <w:spacing w:after="300"/>
        <w:jc w:val="center"/>
        <w:rPr>
          <w:color w:val="000000" w:themeColor="text1"/>
          <w:sz w:val="28"/>
        </w:rPr>
      </w:pPr>
      <w:r>
        <w:rPr>
          <w:color w:val="000000" w:themeColor="text1"/>
          <w:sz w:val="28"/>
        </w:rPr>
        <w:t>A</w:t>
      </w:r>
      <w:r w:rsidR="009E039A" w:rsidRPr="00070065">
        <w:rPr>
          <w:color w:val="000000" w:themeColor="text1"/>
          <w:sz w:val="28"/>
        </w:rPr>
        <w:t>ustralia INdonesia Partnership for Justice 2 (AIPJ2)</w:t>
      </w:r>
    </w:p>
    <w:p w14:paraId="628C1C25" w14:textId="77777777" w:rsidR="004F7592" w:rsidRPr="00070065" w:rsidRDefault="004F7592" w:rsidP="001A564D">
      <w:pPr>
        <w:pStyle w:val="Heading1"/>
        <w:spacing w:after="300"/>
        <w:jc w:val="center"/>
        <w:rPr>
          <w:color w:val="000000" w:themeColor="text1"/>
          <w:sz w:val="28"/>
        </w:rPr>
      </w:pPr>
      <w:r w:rsidRPr="00070065">
        <w:rPr>
          <w:color w:val="000000" w:themeColor="text1"/>
          <w:sz w:val="28"/>
        </w:rPr>
        <w:t xml:space="preserve">Management Response </w:t>
      </w:r>
      <w:r w:rsidR="00482A94" w:rsidRPr="00070065">
        <w:rPr>
          <w:color w:val="000000" w:themeColor="text1"/>
          <w:sz w:val="28"/>
        </w:rPr>
        <w:t>to the mid-term review (july</w:t>
      </w:r>
      <w:r w:rsidR="00A006D1" w:rsidRPr="00070065">
        <w:rPr>
          <w:color w:val="000000" w:themeColor="text1"/>
          <w:sz w:val="28"/>
        </w:rPr>
        <w:t>-October</w:t>
      </w:r>
      <w:r w:rsidR="00482A94" w:rsidRPr="00070065">
        <w:rPr>
          <w:color w:val="000000" w:themeColor="text1"/>
          <w:sz w:val="28"/>
        </w:rPr>
        <w:t xml:space="preserve"> 20</w:t>
      </w:r>
      <w:bookmarkStart w:id="0" w:name="_GoBack"/>
      <w:bookmarkEnd w:id="0"/>
      <w:r w:rsidR="00482A94" w:rsidRPr="00070065">
        <w:rPr>
          <w:color w:val="000000" w:themeColor="text1"/>
          <w:sz w:val="28"/>
        </w:rPr>
        <w:t>19)</w:t>
      </w:r>
    </w:p>
    <w:p w14:paraId="28C4F6D1" w14:textId="4C9A7F4B" w:rsidR="00070065" w:rsidRPr="00070065" w:rsidRDefault="00651DEA" w:rsidP="00651DEA">
      <w:pPr>
        <w:pStyle w:val="BodyText"/>
        <w:rPr>
          <w:rFonts w:asciiTheme="majorHAnsi" w:hAnsiTheme="majorHAnsi"/>
          <w:b/>
          <w:color w:val="000000" w:themeColor="text1"/>
        </w:rPr>
      </w:pPr>
      <w:r w:rsidRPr="00070065">
        <w:rPr>
          <w:rFonts w:asciiTheme="majorHAnsi" w:hAnsiTheme="majorHAnsi"/>
          <w:b/>
          <w:color w:val="000000" w:themeColor="text1"/>
        </w:rPr>
        <w:t>Management response to recommendations</w:t>
      </w:r>
      <w:r w:rsidR="00EC5BA9">
        <w:rPr>
          <w:rFonts w:asciiTheme="majorHAnsi" w:hAnsiTheme="majorHAnsi"/>
          <w:b/>
          <w:color w:val="000000" w:themeColor="text1"/>
        </w:rPr>
        <w:br/>
      </w:r>
    </w:p>
    <w:tbl>
      <w:tblPr>
        <w:tblStyle w:val="TableGrid"/>
        <w:tblpPr w:leftFromText="180" w:rightFromText="180" w:vertAnchor="text" w:tblpY="1"/>
        <w:tblOverlap w:val="never"/>
        <w:tblW w:w="0" w:type="auto"/>
        <w:tblLook w:val="04A0" w:firstRow="1" w:lastRow="0" w:firstColumn="1" w:lastColumn="0" w:noHBand="0" w:noVBand="1"/>
      </w:tblPr>
      <w:tblGrid>
        <w:gridCol w:w="2689"/>
        <w:gridCol w:w="1270"/>
        <w:gridCol w:w="4242"/>
        <w:gridCol w:w="4382"/>
        <w:gridCol w:w="1365"/>
      </w:tblGrid>
      <w:tr w:rsidR="00070065" w:rsidRPr="00070065" w14:paraId="46FBCEA9" w14:textId="77777777" w:rsidTr="009D1463">
        <w:tc>
          <w:tcPr>
            <w:tcW w:w="2689" w:type="dxa"/>
            <w:tcBorders>
              <w:bottom w:val="single" w:sz="4" w:space="0" w:color="auto"/>
            </w:tcBorders>
            <w:shd w:val="clear" w:color="auto" w:fill="6699FF"/>
          </w:tcPr>
          <w:p w14:paraId="3854064E" w14:textId="7E084A54" w:rsidR="00651DEA" w:rsidRPr="00070065" w:rsidRDefault="00651DEA" w:rsidP="00070065">
            <w:pPr>
              <w:pStyle w:val="BodyText"/>
              <w:rPr>
                <w:b/>
                <w:color w:val="FFFFFF" w:themeColor="background1"/>
              </w:rPr>
            </w:pPr>
            <w:r w:rsidRPr="00070065">
              <w:rPr>
                <w:b/>
                <w:color w:val="FFFFFF" w:themeColor="background1"/>
              </w:rPr>
              <w:t>Recommendation</w:t>
            </w:r>
          </w:p>
        </w:tc>
        <w:tc>
          <w:tcPr>
            <w:tcW w:w="1270" w:type="dxa"/>
            <w:shd w:val="clear" w:color="auto" w:fill="6699FF"/>
          </w:tcPr>
          <w:p w14:paraId="0A82BA0D" w14:textId="78D4463B" w:rsidR="00651DEA" w:rsidRPr="00070065" w:rsidRDefault="00651DEA" w:rsidP="00070065">
            <w:pPr>
              <w:pStyle w:val="BodyText"/>
              <w:rPr>
                <w:b/>
                <w:color w:val="FFFFFF" w:themeColor="background1"/>
              </w:rPr>
            </w:pPr>
            <w:r w:rsidRPr="00070065">
              <w:rPr>
                <w:b/>
                <w:color w:val="FFFFFF" w:themeColor="background1"/>
              </w:rPr>
              <w:t>Response</w:t>
            </w:r>
          </w:p>
        </w:tc>
        <w:tc>
          <w:tcPr>
            <w:tcW w:w="4242" w:type="dxa"/>
            <w:tcBorders>
              <w:bottom w:val="single" w:sz="4" w:space="0" w:color="auto"/>
            </w:tcBorders>
            <w:shd w:val="clear" w:color="auto" w:fill="6699FF"/>
          </w:tcPr>
          <w:p w14:paraId="542844C9" w14:textId="492A3623" w:rsidR="00651DEA" w:rsidRPr="00070065" w:rsidRDefault="00651DEA" w:rsidP="00070065">
            <w:pPr>
              <w:pStyle w:val="BodyText"/>
              <w:rPr>
                <w:b/>
                <w:color w:val="FFFFFF" w:themeColor="background1"/>
              </w:rPr>
            </w:pPr>
            <w:r w:rsidRPr="00070065">
              <w:rPr>
                <w:b/>
                <w:color w:val="FFFFFF" w:themeColor="background1"/>
              </w:rPr>
              <w:t>Explanation</w:t>
            </w:r>
          </w:p>
        </w:tc>
        <w:tc>
          <w:tcPr>
            <w:tcW w:w="4382" w:type="dxa"/>
            <w:tcBorders>
              <w:bottom w:val="single" w:sz="4" w:space="0" w:color="auto"/>
            </w:tcBorders>
            <w:shd w:val="clear" w:color="auto" w:fill="6699FF"/>
          </w:tcPr>
          <w:p w14:paraId="27E3B879" w14:textId="6FEA59B7" w:rsidR="00651DEA" w:rsidRPr="00070065" w:rsidRDefault="00651DEA" w:rsidP="00070065">
            <w:pPr>
              <w:pStyle w:val="BodyText"/>
              <w:rPr>
                <w:b/>
                <w:color w:val="FFFFFF" w:themeColor="background1"/>
              </w:rPr>
            </w:pPr>
            <w:r w:rsidRPr="00070065">
              <w:rPr>
                <w:b/>
                <w:color w:val="FFFFFF" w:themeColor="background1"/>
              </w:rPr>
              <w:t>Action Plan</w:t>
            </w:r>
          </w:p>
        </w:tc>
        <w:tc>
          <w:tcPr>
            <w:tcW w:w="1365" w:type="dxa"/>
            <w:tcBorders>
              <w:bottom w:val="single" w:sz="4" w:space="0" w:color="auto"/>
            </w:tcBorders>
            <w:shd w:val="clear" w:color="auto" w:fill="6699FF"/>
          </w:tcPr>
          <w:p w14:paraId="6628D18C" w14:textId="3ACC92E1" w:rsidR="00651DEA" w:rsidRPr="00070065" w:rsidRDefault="00651DEA" w:rsidP="00070065">
            <w:pPr>
              <w:pStyle w:val="BodyText"/>
              <w:rPr>
                <w:b/>
                <w:color w:val="FFFFFF" w:themeColor="background1"/>
              </w:rPr>
            </w:pPr>
            <w:r w:rsidRPr="00070065">
              <w:rPr>
                <w:b/>
                <w:color w:val="FFFFFF" w:themeColor="background1"/>
              </w:rPr>
              <w:t>Timeframe</w:t>
            </w:r>
          </w:p>
        </w:tc>
      </w:tr>
      <w:tr w:rsidR="00070065" w:rsidRPr="00070065" w14:paraId="0915A757" w14:textId="77777777" w:rsidTr="006138AE">
        <w:tc>
          <w:tcPr>
            <w:tcW w:w="2689" w:type="dxa"/>
            <w:shd w:val="clear" w:color="auto" w:fill="BDD6EE" w:themeFill="accent1" w:themeFillTint="66"/>
          </w:tcPr>
          <w:p w14:paraId="7065AF69" w14:textId="77777777" w:rsidR="00070065" w:rsidRPr="00070065" w:rsidRDefault="00070065" w:rsidP="00D22629">
            <w:pPr>
              <w:pStyle w:val="Heading3"/>
              <w:spacing w:before="0" w:after="0" w:line="240" w:lineRule="auto"/>
              <w:outlineLvl w:val="2"/>
              <w:rPr>
                <w:rFonts w:asciiTheme="minorHAnsi" w:hAnsiTheme="minorHAnsi" w:cstheme="minorHAnsi"/>
                <w:b/>
                <w:color w:val="000000" w:themeColor="text1"/>
                <w:sz w:val="22"/>
                <w:szCs w:val="22"/>
              </w:rPr>
            </w:pPr>
            <w:r w:rsidRPr="00070065">
              <w:rPr>
                <w:rFonts w:asciiTheme="minorHAnsi" w:hAnsiTheme="minorHAnsi" w:cstheme="minorHAnsi"/>
                <w:b/>
                <w:color w:val="000000" w:themeColor="text1"/>
                <w:sz w:val="22"/>
                <w:szCs w:val="22"/>
              </w:rPr>
              <w:t>Recommendation 1</w:t>
            </w:r>
          </w:p>
          <w:p w14:paraId="45340B53" w14:textId="0807392C" w:rsidR="00651DEA" w:rsidRPr="00070065" w:rsidRDefault="00070065" w:rsidP="00D22629">
            <w:pPr>
              <w:pStyle w:val="BodyText"/>
              <w:spacing w:before="0" w:after="0" w:line="240" w:lineRule="auto"/>
              <w:rPr>
                <w:b/>
                <w:color w:val="000000" w:themeColor="text1"/>
              </w:rPr>
            </w:pPr>
            <w:r w:rsidRPr="00070065">
              <w:rPr>
                <w:rFonts w:cstheme="majorHAnsi"/>
                <w:bCs/>
                <w:color w:val="000000" w:themeColor="text1"/>
              </w:rPr>
              <w:t xml:space="preserve">AIPJ2 should undertake a stocktake exercise in discussion with DFAT and </w:t>
            </w:r>
            <w:proofErr w:type="spellStart"/>
            <w:r w:rsidRPr="00070065">
              <w:rPr>
                <w:rFonts w:cstheme="majorHAnsi"/>
                <w:bCs/>
                <w:color w:val="000000" w:themeColor="text1"/>
              </w:rPr>
              <w:t>Bappenas</w:t>
            </w:r>
            <w:proofErr w:type="spellEnd"/>
            <w:r w:rsidRPr="00070065">
              <w:rPr>
                <w:rFonts w:cstheme="majorHAnsi"/>
                <w:bCs/>
                <w:color w:val="000000" w:themeColor="text1"/>
              </w:rPr>
              <w:t>, to limit the spread of activities and increase coherence</w:t>
            </w:r>
          </w:p>
        </w:tc>
        <w:tc>
          <w:tcPr>
            <w:tcW w:w="1270" w:type="dxa"/>
            <w:tcBorders>
              <w:bottom w:val="single" w:sz="4" w:space="0" w:color="auto"/>
            </w:tcBorders>
            <w:shd w:val="clear" w:color="auto" w:fill="92D050"/>
          </w:tcPr>
          <w:p w14:paraId="78A35880" w14:textId="28CEAA9D" w:rsidR="00651DEA" w:rsidRPr="00070065" w:rsidRDefault="00070065" w:rsidP="00D22629">
            <w:pPr>
              <w:pStyle w:val="BodyText"/>
              <w:spacing w:before="0" w:after="0" w:line="240" w:lineRule="auto"/>
              <w:rPr>
                <w:b/>
                <w:color w:val="000000" w:themeColor="text1"/>
              </w:rPr>
            </w:pPr>
            <w:r w:rsidRPr="00070065">
              <w:rPr>
                <w:b/>
                <w:color w:val="000000" w:themeColor="text1"/>
              </w:rPr>
              <w:t>Agree</w:t>
            </w:r>
          </w:p>
        </w:tc>
        <w:tc>
          <w:tcPr>
            <w:tcW w:w="4242" w:type="dxa"/>
            <w:shd w:val="clear" w:color="auto" w:fill="BDD6EE" w:themeFill="accent1" w:themeFillTint="66"/>
          </w:tcPr>
          <w:p w14:paraId="2D870F2D" w14:textId="58F4E049" w:rsidR="00651DEA" w:rsidRPr="00070065" w:rsidRDefault="00070065" w:rsidP="00D22629">
            <w:pPr>
              <w:pStyle w:val="BodyText"/>
              <w:spacing w:before="0" w:after="0" w:line="240" w:lineRule="auto"/>
              <w:rPr>
                <w:b/>
                <w:color w:val="000000" w:themeColor="text1"/>
              </w:rPr>
            </w:pPr>
            <w:r w:rsidRPr="00070065">
              <w:rPr>
                <w:color w:val="000000" w:themeColor="text1"/>
              </w:rPr>
              <w:t xml:space="preserve">DFAT agreed that AIPJ2 needed to take a more problem-oriented approach to prioritisation and identification of activities, particularly relating to PVE and criminal justice reform initiatives. This would enable a more targeted approach to activity selection for the remainder of the program. The stocktake exercise should be informal and focus on the law and justice challenges that AIPJ2 is best-placed to help to address. However, AIPJ2 needed to remain flexible and able to respond to appropriate new or emerging priorities and opportunities identified with </w:t>
            </w:r>
            <w:proofErr w:type="spellStart"/>
            <w:r w:rsidRPr="00070065">
              <w:rPr>
                <w:color w:val="000000" w:themeColor="text1"/>
              </w:rPr>
              <w:t>GoI</w:t>
            </w:r>
            <w:proofErr w:type="spellEnd"/>
            <w:r w:rsidRPr="00070065">
              <w:rPr>
                <w:color w:val="000000" w:themeColor="text1"/>
              </w:rPr>
              <w:t xml:space="preserve"> counterparts.</w:t>
            </w:r>
          </w:p>
        </w:tc>
        <w:tc>
          <w:tcPr>
            <w:tcW w:w="4382" w:type="dxa"/>
            <w:shd w:val="clear" w:color="auto" w:fill="BDD6EE" w:themeFill="accent1" w:themeFillTint="66"/>
          </w:tcPr>
          <w:p w14:paraId="315E01BF" w14:textId="19B5E81B" w:rsidR="00651DEA" w:rsidRPr="00070065" w:rsidRDefault="00070065" w:rsidP="00D22629">
            <w:pPr>
              <w:pStyle w:val="BodyText"/>
              <w:spacing w:before="0" w:after="0" w:line="240" w:lineRule="auto"/>
              <w:rPr>
                <w:b/>
                <w:color w:val="000000" w:themeColor="text1"/>
              </w:rPr>
            </w:pPr>
            <w:r w:rsidRPr="00070065">
              <w:rPr>
                <w:color w:val="000000" w:themeColor="text1"/>
              </w:rPr>
              <w:t xml:space="preserve">DFAT and AIPJ2 have held several strategic discussions to review and refine AIPJ2 priorities and value-add, drawing on discussions with </w:t>
            </w:r>
            <w:proofErr w:type="spellStart"/>
            <w:r w:rsidRPr="00070065">
              <w:rPr>
                <w:color w:val="000000" w:themeColor="text1"/>
              </w:rPr>
              <w:t>GoI</w:t>
            </w:r>
            <w:proofErr w:type="spellEnd"/>
            <w:r w:rsidRPr="00070065">
              <w:rPr>
                <w:color w:val="000000" w:themeColor="text1"/>
              </w:rPr>
              <w:t xml:space="preserve"> counterparts and implementing partners. This has led to the development of new AIPJ2 implementation strategies for court reform; criminal justice reform; preventing violent extremism; access to justice for women; and access to justice for people with disabilities, as well as the new Annual Work Plan for 2020. These documents are expected to be finalised and agreed with the </w:t>
            </w:r>
            <w:proofErr w:type="spellStart"/>
            <w:r w:rsidRPr="00070065">
              <w:rPr>
                <w:color w:val="000000" w:themeColor="text1"/>
              </w:rPr>
              <w:t>GoI</w:t>
            </w:r>
            <w:proofErr w:type="spellEnd"/>
            <w:r w:rsidRPr="00070065">
              <w:rPr>
                <w:color w:val="000000" w:themeColor="text1"/>
              </w:rPr>
              <w:t xml:space="preserve"> at the next AIPJ2 Partnership Board Meeting in early 2020.</w:t>
            </w:r>
          </w:p>
        </w:tc>
        <w:tc>
          <w:tcPr>
            <w:tcW w:w="1365" w:type="dxa"/>
            <w:shd w:val="clear" w:color="auto" w:fill="BDD6EE" w:themeFill="accent1" w:themeFillTint="66"/>
          </w:tcPr>
          <w:p w14:paraId="7E75D267" w14:textId="030E13BF" w:rsidR="00651DEA" w:rsidRPr="00070065" w:rsidRDefault="00070065" w:rsidP="00D22629">
            <w:pPr>
              <w:pStyle w:val="BodyText"/>
              <w:spacing w:before="0" w:after="0" w:line="240" w:lineRule="auto"/>
              <w:rPr>
                <w:b/>
                <w:color w:val="000000" w:themeColor="text1"/>
              </w:rPr>
            </w:pPr>
            <w:r w:rsidRPr="00070065">
              <w:rPr>
                <w:color w:val="000000" w:themeColor="text1"/>
              </w:rPr>
              <w:t>Oct 2019 – Feb 2020</w:t>
            </w:r>
          </w:p>
        </w:tc>
      </w:tr>
      <w:tr w:rsidR="00070065" w:rsidRPr="00070065" w14:paraId="4043DFE2" w14:textId="77777777" w:rsidTr="00224CA0">
        <w:tc>
          <w:tcPr>
            <w:tcW w:w="2689" w:type="dxa"/>
            <w:shd w:val="clear" w:color="auto" w:fill="BDD6EE" w:themeFill="accent1" w:themeFillTint="66"/>
          </w:tcPr>
          <w:p w14:paraId="791E78F5" w14:textId="77777777" w:rsidR="00070065" w:rsidRPr="00070065" w:rsidRDefault="00070065" w:rsidP="00D22629">
            <w:pPr>
              <w:pStyle w:val="Heading3"/>
              <w:spacing w:before="0" w:after="0" w:line="240" w:lineRule="auto"/>
              <w:outlineLvl w:val="2"/>
              <w:rPr>
                <w:rFonts w:asciiTheme="minorHAnsi" w:hAnsiTheme="minorHAnsi"/>
                <w:b/>
                <w:color w:val="000000" w:themeColor="text1"/>
                <w:sz w:val="22"/>
                <w:szCs w:val="22"/>
              </w:rPr>
            </w:pPr>
            <w:r w:rsidRPr="00070065">
              <w:rPr>
                <w:rFonts w:asciiTheme="minorHAnsi" w:hAnsiTheme="minorHAnsi"/>
                <w:b/>
                <w:color w:val="000000" w:themeColor="text1"/>
                <w:sz w:val="22"/>
                <w:szCs w:val="22"/>
              </w:rPr>
              <w:t>Recommendation 2</w:t>
            </w:r>
          </w:p>
          <w:p w14:paraId="1EC17A11" w14:textId="5855536E" w:rsidR="00651DEA" w:rsidRPr="00070065" w:rsidRDefault="00070065" w:rsidP="00D22629">
            <w:pPr>
              <w:pStyle w:val="BodyText"/>
              <w:spacing w:before="0" w:after="0" w:line="240" w:lineRule="auto"/>
              <w:rPr>
                <w:b/>
                <w:color w:val="000000" w:themeColor="text1"/>
              </w:rPr>
            </w:pPr>
            <w:r w:rsidRPr="00070065">
              <w:rPr>
                <w:color w:val="000000" w:themeColor="text1"/>
              </w:rPr>
              <w:t xml:space="preserve">To strengthen governance arrangements, AIPJ2 should explore in discussion with DFAT and </w:t>
            </w:r>
            <w:proofErr w:type="spellStart"/>
            <w:r w:rsidRPr="00070065">
              <w:rPr>
                <w:color w:val="000000" w:themeColor="text1"/>
              </w:rPr>
              <w:t>Bappenas</w:t>
            </w:r>
            <w:proofErr w:type="spellEnd"/>
            <w:r w:rsidRPr="00070065">
              <w:rPr>
                <w:color w:val="000000" w:themeColor="text1"/>
              </w:rPr>
              <w:t xml:space="preserve"> effective means of fostering more substantive discussion of strategy at Partnership Board meetings.</w:t>
            </w:r>
          </w:p>
        </w:tc>
        <w:tc>
          <w:tcPr>
            <w:tcW w:w="1270" w:type="dxa"/>
            <w:shd w:val="clear" w:color="auto" w:fill="ED7D31" w:themeFill="accent2"/>
          </w:tcPr>
          <w:p w14:paraId="7F74A042" w14:textId="62DB3A9D" w:rsidR="00651DEA" w:rsidRPr="00070065" w:rsidRDefault="00070065" w:rsidP="002D075B">
            <w:pPr>
              <w:pStyle w:val="BodyText"/>
              <w:spacing w:before="0" w:after="0" w:line="240" w:lineRule="auto"/>
              <w:rPr>
                <w:b/>
                <w:color w:val="000000" w:themeColor="text1"/>
              </w:rPr>
            </w:pPr>
            <w:r w:rsidRPr="00070065">
              <w:rPr>
                <w:b/>
                <w:color w:val="000000" w:themeColor="text1"/>
              </w:rPr>
              <w:t xml:space="preserve">Agree </w:t>
            </w:r>
            <w:r w:rsidR="00224CA0">
              <w:rPr>
                <w:b/>
                <w:color w:val="000000" w:themeColor="text1"/>
              </w:rPr>
              <w:t>in part</w:t>
            </w:r>
          </w:p>
        </w:tc>
        <w:tc>
          <w:tcPr>
            <w:tcW w:w="4242" w:type="dxa"/>
            <w:shd w:val="clear" w:color="auto" w:fill="BDD6EE" w:themeFill="accent1" w:themeFillTint="66"/>
          </w:tcPr>
          <w:p w14:paraId="38350C1F" w14:textId="21032CB9" w:rsidR="00651DEA" w:rsidRPr="00070065" w:rsidRDefault="00070065" w:rsidP="00D22629">
            <w:pPr>
              <w:pStyle w:val="BodyText"/>
              <w:spacing w:before="0" w:after="0" w:line="240" w:lineRule="auto"/>
              <w:rPr>
                <w:b/>
                <w:color w:val="000000" w:themeColor="text1"/>
              </w:rPr>
            </w:pPr>
            <w:r w:rsidRPr="00070065">
              <w:rPr>
                <w:color w:val="000000" w:themeColor="text1"/>
              </w:rPr>
              <w:t xml:space="preserve">DFAT and AIPJ2 agreed there was a need for more strategic engagement at the working level, not only with </w:t>
            </w:r>
            <w:proofErr w:type="spellStart"/>
            <w:r w:rsidRPr="00070065">
              <w:rPr>
                <w:color w:val="000000" w:themeColor="text1"/>
              </w:rPr>
              <w:t>Bappenas</w:t>
            </w:r>
            <w:proofErr w:type="spellEnd"/>
            <w:r w:rsidRPr="00070065">
              <w:rPr>
                <w:color w:val="000000" w:themeColor="text1"/>
              </w:rPr>
              <w:t xml:space="preserve"> but other </w:t>
            </w:r>
            <w:proofErr w:type="spellStart"/>
            <w:r w:rsidRPr="00070065">
              <w:rPr>
                <w:color w:val="000000" w:themeColor="text1"/>
              </w:rPr>
              <w:t>GoI</w:t>
            </w:r>
            <w:proofErr w:type="spellEnd"/>
            <w:r w:rsidRPr="00070065">
              <w:rPr>
                <w:color w:val="000000" w:themeColor="text1"/>
              </w:rPr>
              <w:t xml:space="preserve"> counterparts and implementing partners on thematic issues, particularly PVE and criminal justice reform. But it was also agreed that introducing an additional, formal cooperation mechanism would be unnecessarily burdensome.</w:t>
            </w:r>
          </w:p>
        </w:tc>
        <w:tc>
          <w:tcPr>
            <w:tcW w:w="4382" w:type="dxa"/>
            <w:shd w:val="clear" w:color="auto" w:fill="BDD6EE" w:themeFill="accent1" w:themeFillTint="66"/>
          </w:tcPr>
          <w:p w14:paraId="661EDCBF" w14:textId="461D3785" w:rsidR="00651DEA" w:rsidRPr="00070065" w:rsidRDefault="00070065" w:rsidP="00D22629">
            <w:pPr>
              <w:pStyle w:val="BodyText"/>
              <w:spacing w:before="0" w:after="0" w:line="240" w:lineRule="auto"/>
              <w:rPr>
                <w:b/>
                <w:color w:val="000000" w:themeColor="text1"/>
              </w:rPr>
            </w:pPr>
            <w:r w:rsidRPr="00070065">
              <w:rPr>
                <w:color w:val="000000" w:themeColor="text1"/>
              </w:rPr>
              <w:t xml:space="preserve">DFAT and AIPJ2 agreed there was a need for more strategic engagement at the working level, not only with </w:t>
            </w:r>
            <w:proofErr w:type="spellStart"/>
            <w:r w:rsidRPr="00070065">
              <w:rPr>
                <w:color w:val="000000" w:themeColor="text1"/>
              </w:rPr>
              <w:t>Bappenas</w:t>
            </w:r>
            <w:proofErr w:type="spellEnd"/>
            <w:r w:rsidRPr="00070065">
              <w:rPr>
                <w:color w:val="000000" w:themeColor="text1"/>
              </w:rPr>
              <w:t xml:space="preserve"> but other </w:t>
            </w:r>
            <w:proofErr w:type="spellStart"/>
            <w:r w:rsidRPr="00070065">
              <w:rPr>
                <w:color w:val="000000" w:themeColor="text1"/>
              </w:rPr>
              <w:t>GoI</w:t>
            </w:r>
            <w:proofErr w:type="spellEnd"/>
            <w:r w:rsidRPr="00070065">
              <w:rPr>
                <w:color w:val="000000" w:themeColor="text1"/>
              </w:rPr>
              <w:t xml:space="preserve"> counterparts and implementing partners on thematic issues, particularly PVE and criminal justice reform. But it was also agreed that introducing an additional, formal cooperation mechanism would be unnecessarily burdensome.  </w:t>
            </w:r>
          </w:p>
        </w:tc>
        <w:tc>
          <w:tcPr>
            <w:tcW w:w="1365" w:type="dxa"/>
            <w:shd w:val="clear" w:color="auto" w:fill="BDD6EE" w:themeFill="accent1" w:themeFillTint="66"/>
          </w:tcPr>
          <w:p w14:paraId="49078346" w14:textId="1C78181D" w:rsidR="00651DEA" w:rsidRPr="00070065" w:rsidRDefault="00070065" w:rsidP="00D22629">
            <w:pPr>
              <w:pStyle w:val="BodyText"/>
              <w:spacing w:before="0" w:after="0" w:line="240" w:lineRule="auto"/>
              <w:rPr>
                <w:color w:val="000000" w:themeColor="text1"/>
              </w:rPr>
            </w:pPr>
            <w:r w:rsidRPr="00070065">
              <w:rPr>
                <w:color w:val="000000" w:themeColor="text1"/>
              </w:rPr>
              <w:t>Ongoing</w:t>
            </w:r>
          </w:p>
        </w:tc>
      </w:tr>
      <w:tr w:rsidR="00070065" w:rsidRPr="00070065" w14:paraId="1A563F55" w14:textId="77777777" w:rsidTr="006138AE">
        <w:tc>
          <w:tcPr>
            <w:tcW w:w="2689" w:type="dxa"/>
            <w:shd w:val="clear" w:color="auto" w:fill="BDD6EE" w:themeFill="accent1" w:themeFillTint="66"/>
          </w:tcPr>
          <w:p w14:paraId="352051DB" w14:textId="77777777" w:rsidR="00070065" w:rsidRPr="00070065" w:rsidRDefault="00070065" w:rsidP="00D22629">
            <w:pPr>
              <w:pStyle w:val="Heading3"/>
              <w:spacing w:before="0" w:after="0" w:line="240" w:lineRule="auto"/>
              <w:outlineLvl w:val="2"/>
              <w:rPr>
                <w:rFonts w:asciiTheme="minorHAnsi" w:hAnsiTheme="minorHAnsi"/>
                <w:b/>
                <w:color w:val="000000" w:themeColor="text1"/>
                <w:sz w:val="22"/>
                <w:szCs w:val="22"/>
              </w:rPr>
            </w:pPr>
            <w:r w:rsidRPr="00070065">
              <w:rPr>
                <w:rFonts w:asciiTheme="minorHAnsi" w:hAnsiTheme="minorHAnsi"/>
                <w:b/>
                <w:color w:val="000000" w:themeColor="text1"/>
                <w:sz w:val="22"/>
                <w:szCs w:val="22"/>
              </w:rPr>
              <w:t>Recommendation 3</w:t>
            </w:r>
          </w:p>
          <w:p w14:paraId="06F0B793" w14:textId="210C2021" w:rsidR="00651DEA" w:rsidRPr="00070065" w:rsidRDefault="00070065" w:rsidP="00D22629">
            <w:pPr>
              <w:pStyle w:val="BodyText"/>
              <w:spacing w:before="0" w:after="0" w:line="240" w:lineRule="auto"/>
              <w:rPr>
                <w:b/>
                <w:color w:val="000000" w:themeColor="text1"/>
              </w:rPr>
            </w:pPr>
            <w:r w:rsidRPr="00070065">
              <w:rPr>
                <w:color w:val="000000" w:themeColor="text1"/>
              </w:rPr>
              <w:t xml:space="preserve">AIPJ2 should establish clear strategies for all main </w:t>
            </w:r>
            <w:r w:rsidRPr="00070065">
              <w:rPr>
                <w:color w:val="000000" w:themeColor="text1"/>
              </w:rPr>
              <w:lastRenderedPageBreak/>
              <w:t>areas/strands of the Partnership’s work that set out clearly the objective(s) being pursued, the assumptions about how change will occur and AIPJ2’s role in that process.</w:t>
            </w:r>
          </w:p>
        </w:tc>
        <w:tc>
          <w:tcPr>
            <w:tcW w:w="1270" w:type="dxa"/>
            <w:shd w:val="clear" w:color="auto" w:fill="92D050"/>
          </w:tcPr>
          <w:p w14:paraId="5BBF270A" w14:textId="10422B44" w:rsidR="00651DEA" w:rsidRPr="00070065" w:rsidRDefault="00D22629" w:rsidP="00D22629">
            <w:pPr>
              <w:pStyle w:val="BodyText"/>
              <w:spacing w:before="0" w:after="0" w:line="240" w:lineRule="auto"/>
              <w:rPr>
                <w:b/>
                <w:color w:val="000000" w:themeColor="text1"/>
              </w:rPr>
            </w:pPr>
            <w:r>
              <w:rPr>
                <w:b/>
                <w:color w:val="000000" w:themeColor="text1"/>
              </w:rPr>
              <w:lastRenderedPageBreak/>
              <w:t>Agree</w:t>
            </w:r>
          </w:p>
        </w:tc>
        <w:tc>
          <w:tcPr>
            <w:tcW w:w="4242" w:type="dxa"/>
            <w:shd w:val="clear" w:color="auto" w:fill="BDD6EE" w:themeFill="accent1" w:themeFillTint="66"/>
          </w:tcPr>
          <w:p w14:paraId="4F49A404" w14:textId="79833584" w:rsidR="00651DEA" w:rsidRPr="00070065" w:rsidRDefault="00070065" w:rsidP="00D22629">
            <w:pPr>
              <w:pStyle w:val="BodyText"/>
              <w:spacing w:before="0" w:after="0" w:line="240" w:lineRule="auto"/>
              <w:rPr>
                <w:b/>
                <w:color w:val="000000" w:themeColor="text1"/>
              </w:rPr>
            </w:pPr>
            <w:r w:rsidRPr="00070065">
              <w:rPr>
                <w:color w:val="000000" w:themeColor="text1"/>
              </w:rPr>
              <w:t xml:space="preserve">DFAT and AIPJ2 agreed that this would be a helpful process to better focus and </w:t>
            </w:r>
            <w:r w:rsidRPr="00070065">
              <w:rPr>
                <w:color w:val="000000" w:themeColor="text1"/>
              </w:rPr>
              <w:lastRenderedPageBreak/>
              <w:t>streamline priorities and activities for the remainder of the program.</w:t>
            </w:r>
          </w:p>
        </w:tc>
        <w:tc>
          <w:tcPr>
            <w:tcW w:w="4382" w:type="dxa"/>
            <w:shd w:val="clear" w:color="auto" w:fill="BDD6EE" w:themeFill="accent1" w:themeFillTint="66"/>
          </w:tcPr>
          <w:p w14:paraId="5726112E" w14:textId="39C196C6" w:rsidR="00651DEA" w:rsidRPr="00070065" w:rsidRDefault="00070065" w:rsidP="00D22629">
            <w:pPr>
              <w:pStyle w:val="BodyText"/>
              <w:spacing w:before="0" w:after="0" w:line="240" w:lineRule="auto"/>
              <w:rPr>
                <w:b/>
                <w:color w:val="000000" w:themeColor="text1"/>
              </w:rPr>
            </w:pPr>
            <w:r w:rsidRPr="00070065">
              <w:rPr>
                <w:color w:val="000000" w:themeColor="text1"/>
              </w:rPr>
              <w:lastRenderedPageBreak/>
              <w:t xml:space="preserve">AIPJ2, in consultation with DFAT, has prepared new draft implementation strategies for the remainder of the program on court reform; </w:t>
            </w:r>
            <w:r w:rsidRPr="00070065">
              <w:rPr>
                <w:color w:val="000000" w:themeColor="text1"/>
              </w:rPr>
              <w:lastRenderedPageBreak/>
              <w:t xml:space="preserve">criminal justice reform; preventing violent extremism; access to justice for women; and access to justice for people with disabilities.  </w:t>
            </w:r>
          </w:p>
        </w:tc>
        <w:tc>
          <w:tcPr>
            <w:tcW w:w="1365" w:type="dxa"/>
            <w:shd w:val="clear" w:color="auto" w:fill="BDD6EE" w:themeFill="accent1" w:themeFillTint="66"/>
          </w:tcPr>
          <w:p w14:paraId="6A6E08D8" w14:textId="450479C5" w:rsidR="00651DEA" w:rsidRPr="00070065" w:rsidRDefault="00070065" w:rsidP="00D22629">
            <w:pPr>
              <w:pStyle w:val="BodyText"/>
              <w:spacing w:before="0" w:after="0" w:line="240" w:lineRule="auto"/>
              <w:rPr>
                <w:b/>
                <w:color w:val="000000" w:themeColor="text1"/>
              </w:rPr>
            </w:pPr>
            <w:r w:rsidRPr="00070065">
              <w:rPr>
                <w:color w:val="000000" w:themeColor="text1"/>
              </w:rPr>
              <w:lastRenderedPageBreak/>
              <w:t>Oct 2019 – Feb 2020</w:t>
            </w:r>
          </w:p>
        </w:tc>
      </w:tr>
      <w:tr w:rsidR="00D22629" w:rsidRPr="00070065" w14:paraId="0462701D" w14:textId="77777777" w:rsidTr="006138AE">
        <w:tc>
          <w:tcPr>
            <w:tcW w:w="2689" w:type="dxa"/>
            <w:shd w:val="clear" w:color="auto" w:fill="BDD6EE" w:themeFill="accent1" w:themeFillTint="66"/>
          </w:tcPr>
          <w:p w14:paraId="41D2F38B" w14:textId="77777777" w:rsidR="00D22629" w:rsidRPr="00070065" w:rsidRDefault="00D22629" w:rsidP="00D22629">
            <w:pPr>
              <w:pStyle w:val="Heading3"/>
              <w:spacing w:before="0" w:after="0" w:line="240" w:lineRule="auto"/>
              <w:outlineLvl w:val="2"/>
              <w:rPr>
                <w:rFonts w:ascii="Calibri" w:hAnsi="Calibri"/>
                <w:b/>
                <w:color w:val="000000" w:themeColor="text1"/>
                <w:sz w:val="22"/>
                <w:szCs w:val="22"/>
              </w:rPr>
            </w:pPr>
            <w:r w:rsidRPr="00070065">
              <w:rPr>
                <w:rFonts w:ascii="Calibri" w:hAnsi="Calibri"/>
                <w:b/>
                <w:color w:val="000000" w:themeColor="text1"/>
                <w:sz w:val="22"/>
                <w:szCs w:val="22"/>
              </w:rPr>
              <w:t>Recommendation 4</w:t>
            </w:r>
          </w:p>
          <w:p w14:paraId="79C852D4" w14:textId="1F741416" w:rsidR="00D22629" w:rsidRPr="00070065" w:rsidRDefault="00D22629" w:rsidP="00D22629">
            <w:pPr>
              <w:pStyle w:val="BodyText"/>
              <w:spacing w:before="0" w:after="0" w:line="240" w:lineRule="auto"/>
              <w:rPr>
                <w:b/>
                <w:color w:val="000000" w:themeColor="text1"/>
              </w:rPr>
            </w:pPr>
            <w:r w:rsidRPr="00070065">
              <w:rPr>
                <w:color w:val="000000" w:themeColor="text1"/>
              </w:rPr>
              <w:t>To strengthen monitoring and evaluation, and facilitate the setting of meaningful objectives, DFAT and AIPJ2 need to agree the distinction between what AIPJ2 is trying to achieve and what AIPJ2 is accountable for.</w:t>
            </w:r>
          </w:p>
        </w:tc>
        <w:tc>
          <w:tcPr>
            <w:tcW w:w="1270" w:type="dxa"/>
            <w:shd w:val="clear" w:color="auto" w:fill="92D050"/>
          </w:tcPr>
          <w:p w14:paraId="151E7CA3" w14:textId="0B726F04" w:rsidR="00D22629" w:rsidRPr="00070065" w:rsidRDefault="00D22629" w:rsidP="00D22629">
            <w:pPr>
              <w:pStyle w:val="BodyText"/>
              <w:spacing w:before="0" w:after="0" w:line="240" w:lineRule="auto"/>
              <w:rPr>
                <w:b/>
                <w:color w:val="000000" w:themeColor="text1"/>
              </w:rPr>
            </w:pPr>
            <w:r>
              <w:rPr>
                <w:b/>
                <w:color w:val="000000" w:themeColor="text1"/>
              </w:rPr>
              <w:t>Agree</w:t>
            </w:r>
          </w:p>
        </w:tc>
        <w:tc>
          <w:tcPr>
            <w:tcW w:w="4242" w:type="dxa"/>
            <w:shd w:val="clear" w:color="auto" w:fill="BDD6EE" w:themeFill="accent1" w:themeFillTint="66"/>
          </w:tcPr>
          <w:p w14:paraId="4DA0492A" w14:textId="0BA66C5E" w:rsidR="00D22629" w:rsidRPr="00070065" w:rsidRDefault="00D22629" w:rsidP="00D22629">
            <w:pPr>
              <w:pStyle w:val="BodyText"/>
              <w:spacing w:before="0" w:after="0" w:line="240" w:lineRule="auto"/>
              <w:rPr>
                <w:b/>
                <w:color w:val="000000" w:themeColor="text1"/>
              </w:rPr>
            </w:pPr>
            <w:r w:rsidRPr="00070065">
              <w:rPr>
                <w:color w:val="000000" w:themeColor="text1"/>
              </w:rPr>
              <w:t>The nature of AIPJ2 activities and the program’s focus on policy reform and capacity building means outcomes are difficult to measure and directly attribute to program interventions. As AIPJ2 enters the second half of its term, DFAT and the AIPJ2 team need to focus more on how end of program outcomes and lessons learned will be measured.</w:t>
            </w:r>
          </w:p>
        </w:tc>
        <w:tc>
          <w:tcPr>
            <w:tcW w:w="4382" w:type="dxa"/>
            <w:shd w:val="clear" w:color="auto" w:fill="BDD6EE" w:themeFill="accent1" w:themeFillTint="66"/>
          </w:tcPr>
          <w:p w14:paraId="1923A2D5" w14:textId="5E829896" w:rsidR="00D22629" w:rsidRPr="00070065" w:rsidRDefault="00D22629" w:rsidP="00D22629">
            <w:pPr>
              <w:pStyle w:val="BodyText"/>
              <w:spacing w:before="0" w:after="0" w:line="240" w:lineRule="auto"/>
              <w:rPr>
                <w:b/>
                <w:color w:val="000000" w:themeColor="text1"/>
              </w:rPr>
            </w:pPr>
            <w:r w:rsidRPr="00070065">
              <w:rPr>
                <w:color w:val="000000" w:themeColor="text1"/>
              </w:rPr>
              <w:t>Discussions between DFAT and AIPJ2 are ongoing to review the end of program outcomes and improve progress reporting and other M&amp;E processes. Improvements have already been made over the past 12 months, with AIPJ2 now reporting to DFAT in monthly ‘Dashboard’ reports, the significance of monthly activities and how they are contributing towards longer-term program objectives and anticipated outcomes.</w:t>
            </w:r>
          </w:p>
        </w:tc>
        <w:tc>
          <w:tcPr>
            <w:tcW w:w="1365" w:type="dxa"/>
            <w:shd w:val="clear" w:color="auto" w:fill="BDD6EE" w:themeFill="accent1" w:themeFillTint="66"/>
          </w:tcPr>
          <w:p w14:paraId="072A7F4D" w14:textId="5CFF7EE6" w:rsidR="00D22629" w:rsidRPr="00D22629" w:rsidRDefault="00D22629" w:rsidP="00D22629">
            <w:pPr>
              <w:pStyle w:val="BodyText"/>
              <w:spacing w:before="0" w:after="0" w:line="240" w:lineRule="auto"/>
              <w:rPr>
                <w:color w:val="000000" w:themeColor="text1"/>
              </w:rPr>
            </w:pPr>
            <w:r w:rsidRPr="00D22629">
              <w:rPr>
                <w:color w:val="000000" w:themeColor="text1"/>
              </w:rPr>
              <w:t>Ongoing</w:t>
            </w:r>
          </w:p>
        </w:tc>
      </w:tr>
      <w:tr w:rsidR="00D22629" w:rsidRPr="00070065" w14:paraId="437BC3C2" w14:textId="77777777" w:rsidTr="006138AE">
        <w:tc>
          <w:tcPr>
            <w:tcW w:w="2689" w:type="dxa"/>
            <w:shd w:val="clear" w:color="auto" w:fill="BDD6EE" w:themeFill="accent1" w:themeFillTint="66"/>
          </w:tcPr>
          <w:p w14:paraId="28B0E0B4" w14:textId="77777777" w:rsidR="00D22629" w:rsidRPr="00070065" w:rsidRDefault="00D22629" w:rsidP="00D22629">
            <w:pPr>
              <w:pStyle w:val="Heading3"/>
              <w:spacing w:before="0" w:after="0" w:line="240" w:lineRule="auto"/>
              <w:outlineLvl w:val="2"/>
              <w:rPr>
                <w:rFonts w:ascii="Calibri" w:hAnsi="Calibri"/>
                <w:b/>
                <w:color w:val="000000" w:themeColor="text1"/>
                <w:sz w:val="22"/>
                <w:szCs w:val="22"/>
              </w:rPr>
            </w:pPr>
            <w:r w:rsidRPr="00070065">
              <w:rPr>
                <w:rFonts w:ascii="Calibri" w:hAnsi="Calibri"/>
                <w:b/>
                <w:color w:val="000000" w:themeColor="text1"/>
                <w:sz w:val="22"/>
                <w:szCs w:val="22"/>
              </w:rPr>
              <w:t>Recommendation 5</w:t>
            </w:r>
          </w:p>
          <w:p w14:paraId="24A92811" w14:textId="77777777" w:rsidR="00D22629" w:rsidRPr="00070065" w:rsidRDefault="00D22629" w:rsidP="00D22629">
            <w:pPr>
              <w:pStyle w:val="BodyText"/>
              <w:spacing w:before="0" w:after="0" w:line="240" w:lineRule="auto"/>
              <w:rPr>
                <w:color w:val="000000" w:themeColor="text1"/>
              </w:rPr>
            </w:pPr>
            <w:r w:rsidRPr="00070065">
              <w:rPr>
                <w:color w:val="000000" w:themeColor="text1"/>
              </w:rPr>
              <w:t>AIPJ2 should introduce its own internal reflection process at the facility level, equivalent to a partner’s quarterly reflection exercise but conducted at the level of its strategies.</w:t>
            </w:r>
          </w:p>
          <w:p w14:paraId="4F73B26B" w14:textId="77777777" w:rsidR="00D22629" w:rsidRPr="00070065" w:rsidRDefault="00D22629" w:rsidP="00D22629">
            <w:pPr>
              <w:pStyle w:val="BodyText"/>
              <w:spacing w:before="0" w:after="0" w:line="240" w:lineRule="auto"/>
              <w:rPr>
                <w:b/>
                <w:color w:val="000000" w:themeColor="text1"/>
              </w:rPr>
            </w:pPr>
          </w:p>
        </w:tc>
        <w:tc>
          <w:tcPr>
            <w:tcW w:w="1270" w:type="dxa"/>
            <w:shd w:val="clear" w:color="auto" w:fill="92D050"/>
          </w:tcPr>
          <w:p w14:paraId="2490A151" w14:textId="3934C591" w:rsidR="00D22629" w:rsidRPr="00070065" w:rsidRDefault="00D22629" w:rsidP="00D22629">
            <w:pPr>
              <w:pStyle w:val="BodyText"/>
              <w:spacing w:before="0" w:after="0" w:line="240" w:lineRule="auto"/>
              <w:rPr>
                <w:b/>
                <w:color w:val="000000" w:themeColor="text1"/>
              </w:rPr>
            </w:pPr>
            <w:r>
              <w:rPr>
                <w:b/>
                <w:color w:val="000000" w:themeColor="text1"/>
              </w:rPr>
              <w:t>Agree</w:t>
            </w:r>
          </w:p>
        </w:tc>
        <w:tc>
          <w:tcPr>
            <w:tcW w:w="4242" w:type="dxa"/>
            <w:shd w:val="clear" w:color="auto" w:fill="BDD6EE" w:themeFill="accent1" w:themeFillTint="66"/>
          </w:tcPr>
          <w:p w14:paraId="5B897039" w14:textId="1C26196C" w:rsidR="00D22629" w:rsidRPr="00070065" w:rsidRDefault="00D22629" w:rsidP="00D22629">
            <w:pPr>
              <w:pStyle w:val="BodyText"/>
              <w:spacing w:before="0" w:after="0" w:line="240" w:lineRule="auto"/>
              <w:rPr>
                <w:b/>
                <w:color w:val="000000" w:themeColor="text1"/>
              </w:rPr>
            </w:pPr>
            <w:r w:rsidRPr="00070065">
              <w:rPr>
                <w:color w:val="000000" w:themeColor="text1"/>
              </w:rPr>
              <w:t>AIPJ2’s q</w:t>
            </w:r>
            <w:r>
              <w:rPr>
                <w:color w:val="000000" w:themeColor="text1"/>
              </w:rPr>
              <w:t>uarterly</w:t>
            </w:r>
            <w:r w:rsidRPr="00070065">
              <w:rPr>
                <w:color w:val="000000" w:themeColor="text1"/>
              </w:rPr>
              <w:t xml:space="preserve"> reflection sessions with implementing partners (which will become six-monthly sessions from 2020) have proven beneficial to the program’s six monthly reporting requirements. This recommended internal reflection process should be led by AIPJ2 M&amp;E experts and include DFAT. It should focus on whether the existing theory of change and end of program outcomes remain appropriate, and how well we are able to track program progress against them.</w:t>
            </w:r>
          </w:p>
        </w:tc>
        <w:tc>
          <w:tcPr>
            <w:tcW w:w="4382" w:type="dxa"/>
            <w:shd w:val="clear" w:color="auto" w:fill="BDD6EE" w:themeFill="accent1" w:themeFillTint="66"/>
          </w:tcPr>
          <w:p w14:paraId="42A325B4" w14:textId="6310B229" w:rsidR="00D22629" w:rsidRPr="00070065" w:rsidRDefault="00D22629" w:rsidP="00D22629">
            <w:pPr>
              <w:pStyle w:val="BodyText"/>
              <w:spacing w:before="0" w:after="0" w:line="240" w:lineRule="auto"/>
              <w:rPr>
                <w:b/>
                <w:color w:val="000000" w:themeColor="text1"/>
              </w:rPr>
            </w:pPr>
            <w:r w:rsidRPr="00070065">
              <w:rPr>
                <w:color w:val="000000" w:themeColor="text1"/>
              </w:rPr>
              <w:t>DFAT and AIPJ2 will plan the first of these sessions in the first quarter of 2020. It may be particularly useful to hold this session in advance of DFAT’s preparation of the next Aid Quality Check for AIPJ2.</w:t>
            </w:r>
          </w:p>
        </w:tc>
        <w:tc>
          <w:tcPr>
            <w:tcW w:w="1365" w:type="dxa"/>
            <w:shd w:val="clear" w:color="auto" w:fill="BDD6EE" w:themeFill="accent1" w:themeFillTint="66"/>
          </w:tcPr>
          <w:p w14:paraId="07EA52EB" w14:textId="0C8A379E" w:rsidR="00D22629" w:rsidRPr="00D22629" w:rsidRDefault="00D22629" w:rsidP="00D22629">
            <w:pPr>
              <w:pStyle w:val="BodyText"/>
              <w:spacing w:before="0" w:after="0" w:line="240" w:lineRule="auto"/>
              <w:rPr>
                <w:color w:val="000000" w:themeColor="text1"/>
              </w:rPr>
            </w:pPr>
            <w:r w:rsidRPr="00D22629">
              <w:rPr>
                <w:color w:val="000000" w:themeColor="text1"/>
              </w:rPr>
              <w:t>First quarter of 2020</w:t>
            </w:r>
          </w:p>
        </w:tc>
      </w:tr>
      <w:tr w:rsidR="00D22629" w:rsidRPr="00070065" w14:paraId="53B6602C" w14:textId="77777777" w:rsidTr="006138AE">
        <w:tc>
          <w:tcPr>
            <w:tcW w:w="2689" w:type="dxa"/>
            <w:shd w:val="clear" w:color="auto" w:fill="BDD6EE" w:themeFill="accent1" w:themeFillTint="66"/>
          </w:tcPr>
          <w:p w14:paraId="137D6F3A" w14:textId="77777777" w:rsidR="00D22629" w:rsidRPr="00070065" w:rsidRDefault="00D22629" w:rsidP="00D22629">
            <w:pPr>
              <w:pStyle w:val="Heading3"/>
              <w:spacing w:before="0" w:after="0" w:line="240" w:lineRule="auto"/>
              <w:outlineLvl w:val="2"/>
              <w:rPr>
                <w:rFonts w:asciiTheme="minorHAnsi" w:hAnsiTheme="minorHAnsi"/>
                <w:b/>
                <w:color w:val="000000" w:themeColor="text1"/>
                <w:sz w:val="22"/>
                <w:szCs w:val="22"/>
              </w:rPr>
            </w:pPr>
            <w:r w:rsidRPr="00070065">
              <w:rPr>
                <w:rFonts w:asciiTheme="minorHAnsi" w:hAnsiTheme="minorHAnsi"/>
                <w:b/>
                <w:color w:val="000000" w:themeColor="text1"/>
                <w:sz w:val="22"/>
                <w:szCs w:val="22"/>
              </w:rPr>
              <w:t>Recommendation 6</w:t>
            </w:r>
          </w:p>
          <w:p w14:paraId="7E11C0C4" w14:textId="0D9CB1AC" w:rsidR="00D22629" w:rsidRPr="00070065" w:rsidRDefault="00D22629" w:rsidP="00D22629">
            <w:pPr>
              <w:pStyle w:val="BodyText"/>
              <w:spacing w:before="0" w:after="0" w:line="240" w:lineRule="auto"/>
              <w:rPr>
                <w:b/>
                <w:color w:val="000000" w:themeColor="text1"/>
              </w:rPr>
            </w:pPr>
            <w:r w:rsidRPr="00070065">
              <w:rPr>
                <w:color w:val="000000" w:themeColor="text1"/>
              </w:rPr>
              <w:t xml:space="preserve">AIPJ2 and Australian Government agencies should continue ongoing efforts to improve the quality of M&amp;E reporting including: revising the </w:t>
            </w:r>
            <w:r w:rsidRPr="00070065">
              <w:rPr>
                <w:color w:val="000000" w:themeColor="text1"/>
              </w:rPr>
              <w:lastRenderedPageBreak/>
              <w:t>template for routine reporting along the lines of that developed by PROSPERA; and instituting a program of short case studies – at least one per funding agreement – to provide the basis for deeper insights about the effectiveness of support.</w:t>
            </w:r>
          </w:p>
        </w:tc>
        <w:tc>
          <w:tcPr>
            <w:tcW w:w="1270" w:type="dxa"/>
            <w:shd w:val="clear" w:color="auto" w:fill="92D050"/>
          </w:tcPr>
          <w:p w14:paraId="0A1D1080" w14:textId="37627911" w:rsidR="00D22629" w:rsidRPr="00070065" w:rsidRDefault="00D22629" w:rsidP="00D22629">
            <w:pPr>
              <w:pStyle w:val="BodyText"/>
              <w:spacing w:before="0" w:after="0" w:line="240" w:lineRule="auto"/>
              <w:rPr>
                <w:b/>
                <w:color w:val="000000" w:themeColor="text1"/>
              </w:rPr>
            </w:pPr>
            <w:r>
              <w:rPr>
                <w:b/>
                <w:color w:val="000000" w:themeColor="text1"/>
              </w:rPr>
              <w:lastRenderedPageBreak/>
              <w:t>Agree</w:t>
            </w:r>
          </w:p>
        </w:tc>
        <w:tc>
          <w:tcPr>
            <w:tcW w:w="4242" w:type="dxa"/>
            <w:shd w:val="clear" w:color="auto" w:fill="BDD6EE" w:themeFill="accent1" w:themeFillTint="66"/>
          </w:tcPr>
          <w:p w14:paraId="180EA431" w14:textId="0AF66471" w:rsidR="00D22629" w:rsidRPr="00070065" w:rsidRDefault="00D22629" w:rsidP="00D22629">
            <w:pPr>
              <w:pStyle w:val="BodyText"/>
              <w:spacing w:before="0" w:after="0" w:line="240" w:lineRule="auto"/>
              <w:rPr>
                <w:b/>
                <w:color w:val="000000" w:themeColor="text1"/>
              </w:rPr>
            </w:pPr>
            <w:r w:rsidRPr="00070065">
              <w:rPr>
                <w:color w:val="000000" w:themeColor="text1"/>
              </w:rPr>
              <w:t xml:space="preserve">This recommendation should be explored. It could help to improve M&amp;E processes for </w:t>
            </w:r>
            <w:proofErr w:type="spellStart"/>
            <w:r w:rsidRPr="00070065">
              <w:rPr>
                <w:color w:val="000000" w:themeColor="text1"/>
              </w:rPr>
              <w:t>GoA</w:t>
            </w:r>
            <w:proofErr w:type="spellEnd"/>
            <w:r w:rsidRPr="00070065">
              <w:rPr>
                <w:color w:val="000000" w:themeColor="text1"/>
              </w:rPr>
              <w:t xml:space="preserve"> activities and better enable DFAT and AIPJ2 to measure and report on the outcomes that </w:t>
            </w:r>
            <w:proofErr w:type="spellStart"/>
            <w:r w:rsidRPr="00070065">
              <w:rPr>
                <w:color w:val="000000" w:themeColor="text1"/>
              </w:rPr>
              <w:t>GoA</w:t>
            </w:r>
            <w:proofErr w:type="spellEnd"/>
            <w:r w:rsidRPr="00070065">
              <w:rPr>
                <w:color w:val="000000" w:themeColor="text1"/>
              </w:rPr>
              <w:t xml:space="preserve"> initiatives have achieved. It could also better enable DFAT and AIPJ2 to identify synergies with, and </w:t>
            </w:r>
            <w:r w:rsidRPr="00070065">
              <w:rPr>
                <w:color w:val="000000" w:themeColor="text1"/>
              </w:rPr>
              <w:lastRenderedPageBreak/>
              <w:t xml:space="preserve">integrate </w:t>
            </w:r>
            <w:proofErr w:type="spellStart"/>
            <w:r w:rsidRPr="00070065">
              <w:rPr>
                <w:color w:val="000000" w:themeColor="text1"/>
              </w:rPr>
              <w:t>GoA</w:t>
            </w:r>
            <w:proofErr w:type="spellEnd"/>
            <w:r w:rsidRPr="00070065">
              <w:rPr>
                <w:color w:val="000000" w:themeColor="text1"/>
              </w:rPr>
              <w:t xml:space="preserve"> activities into, other AIPJ2 program priorities.</w:t>
            </w:r>
          </w:p>
        </w:tc>
        <w:tc>
          <w:tcPr>
            <w:tcW w:w="4382" w:type="dxa"/>
            <w:shd w:val="clear" w:color="auto" w:fill="BDD6EE" w:themeFill="accent1" w:themeFillTint="66"/>
          </w:tcPr>
          <w:p w14:paraId="04BDAD4B" w14:textId="3EA2CEA6" w:rsidR="00D22629" w:rsidRPr="00070065" w:rsidRDefault="00D22629" w:rsidP="00D22629">
            <w:pPr>
              <w:pStyle w:val="BodyText"/>
              <w:spacing w:before="0" w:after="0" w:line="240" w:lineRule="auto"/>
              <w:rPr>
                <w:b/>
                <w:color w:val="000000" w:themeColor="text1"/>
              </w:rPr>
            </w:pPr>
            <w:r w:rsidRPr="00070065">
              <w:rPr>
                <w:color w:val="000000" w:themeColor="text1"/>
              </w:rPr>
              <w:lastRenderedPageBreak/>
              <w:t xml:space="preserve">DFAT will pursue this recommendation in the first quarter of 2020, working closely with AIPJ2 and </w:t>
            </w:r>
            <w:proofErr w:type="spellStart"/>
            <w:r w:rsidRPr="00070065">
              <w:rPr>
                <w:color w:val="000000" w:themeColor="text1"/>
              </w:rPr>
              <w:t>GoA</w:t>
            </w:r>
            <w:proofErr w:type="spellEnd"/>
            <w:r w:rsidRPr="00070065">
              <w:rPr>
                <w:color w:val="000000" w:themeColor="text1"/>
              </w:rPr>
              <w:t xml:space="preserve"> partners.</w:t>
            </w:r>
          </w:p>
        </w:tc>
        <w:tc>
          <w:tcPr>
            <w:tcW w:w="1365" w:type="dxa"/>
            <w:shd w:val="clear" w:color="auto" w:fill="BDD6EE" w:themeFill="accent1" w:themeFillTint="66"/>
          </w:tcPr>
          <w:p w14:paraId="7BADC047" w14:textId="4FACDA71" w:rsidR="00D22629" w:rsidRPr="00070065" w:rsidRDefault="00D22629" w:rsidP="00D22629">
            <w:pPr>
              <w:pStyle w:val="BodyText"/>
              <w:spacing w:before="0" w:after="0" w:line="240" w:lineRule="auto"/>
              <w:rPr>
                <w:b/>
                <w:color w:val="000000" w:themeColor="text1"/>
              </w:rPr>
            </w:pPr>
            <w:r w:rsidRPr="00070065">
              <w:rPr>
                <w:color w:val="000000" w:themeColor="text1"/>
              </w:rPr>
              <w:t>Ongoing, commencing in 2020</w:t>
            </w:r>
          </w:p>
        </w:tc>
      </w:tr>
      <w:tr w:rsidR="00D22629" w:rsidRPr="00070065" w14:paraId="2C3AB459" w14:textId="77777777" w:rsidTr="006138AE">
        <w:tc>
          <w:tcPr>
            <w:tcW w:w="2689" w:type="dxa"/>
            <w:shd w:val="clear" w:color="auto" w:fill="BDD6EE" w:themeFill="accent1" w:themeFillTint="66"/>
          </w:tcPr>
          <w:p w14:paraId="3D0D4700" w14:textId="77777777" w:rsidR="00D22629" w:rsidRPr="00070065" w:rsidRDefault="00D22629" w:rsidP="00D22629">
            <w:pPr>
              <w:pStyle w:val="Heading3"/>
              <w:spacing w:before="0" w:after="0" w:line="240" w:lineRule="auto"/>
              <w:outlineLvl w:val="2"/>
              <w:rPr>
                <w:rFonts w:ascii="Calibri" w:hAnsi="Calibri"/>
                <w:b/>
                <w:color w:val="000000" w:themeColor="text1"/>
                <w:sz w:val="22"/>
                <w:szCs w:val="22"/>
              </w:rPr>
            </w:pPr>
            <w:r w:rsidRPr="00070065">
              <w:rPr>
                <w:rFonts w:ascii="Calibri" w:hAnsi="Calibri"/>
                <w:b/>
                <w:color w:val="000000" w:themeColor="text1"/>
                <w:sz w:val="22"/>
                <w:szCs w:val="22"/>
              </w:rPr>
              <w:t>Recommendation 7</w:t>
            </w:r>
          </w:p>
          <w:p w14:paraId="169465E8" w14:textId="41699148" w:rsidR="00D22629" w:rsidRPr="00070065" w:rsidRDefault="00D22629" w:rsidP="00D22629">
            <w:pPr>
              <w:pStyle w:val="BodyText"/>
              <w:spacing w:before="0" w:after="0" w:line="240" w:lineRule="auto"/>
              <w:rPr>
                <w:b/>
                <w:color w:val="000000" w:themeColor="text1"/>
              </w:rPr>
            </w:pPr>
            <w:r w:rsidRPr="00070065">
              <w:rPr>
                <w:color w:val="000000" w:themeColor="text1"/>
              </w:rPr>
              <w:t>AIPJ2 should strengthen M&amp;E arrangements for its support for the prevention of violent extremism.</w:t>
            </w:r>
          </w:p>
        </w:tc>
        <w:tc>
          <w:tcPr>
            <w:tcW w:w="1270" w:type="dxa"/>
            <w:tcBorders>
              <w:bottom w:val="single" w:sz="4" w:space="0" w:color="auto"/>
            </w:tcBorders>
            <w:shd w:val="clear" w:color="auto" w:fill="92D050"/>
          </w:tcPr>
          <w:p w14:paraId="56163AAA" w14:textId="7A23BB6E" w:rsidR="00D22629" w:rsidRPr="00070065" w:rsidRDefault="00D22629" w:rsidP="00D22629">
            <w:pPr>
              <w:pStyle w:val="BodyText"/>
              <w:spacing w:before="0" w:after="0" w:line="240" w:lineRule="auto"/>
              <w:rPr>
                <w:b/>
                <w:color w:val="000000" w:themeColor="text1"/>
              </w:rPr>
            </w:pPr>
            <w:r>
              <w:rPr>
                <w:b/>
                <w:color w:val="000000" w:themeColor="text1"/>
              </w:rPr>
              <w:t>Agree</w:t>
            </w:r>
          </w:p>
        </w:tc>
        <w:tc>
          <w:tcPr>
            <w:tcW w:w="4242" w:type="dxa"/>
            <w:shd w:val="clear" w:color="auto" w:fill="BDD6EE" w:themeFill="accent1" w:themeFillTint="66"/>
          </w:tcPr>
          <w:p w14:paraId="2DD56D3E" w14:textId="7E3EAAB3" w:rsidR="00D22629" w:rsidRPr="00070065" w:rsidRDefault="00D22629" w:rsidP="00D22629">
            <w:pPr>
              <w:pStyle w:val="BodyText"/>
              <w:spacing w:before="0" w:after="0" w:line="240" w:lineRule="auto"/>
              <w:rPr>
                <w:b/>
                <w:color w:val="000000" w:themeColor="text1"/>
              </w:rPr>
            </w:pPr>
            <w:r w:rsidRPr="00070065">
              <w:rPr>
                <w:color w:val="000000" w:themeColor="text1"/>
              </w:rPr>
              <w:t>Measuring PVE activities is extremely challenging, but AIPJ2</w:t>
            </w:r>
            <w:r w:rsidR="00224CA0">
              <w:rPr>
                <w:color w:val="000000" w:themeColor="text1"/>
              </w:rPr>
              <w:t xml:space="preserve"> needs to strengthen M&amp;E around</w:t>
            </w:r>
            <w:r w:rsidRPr="00070065">
              <w:rPr>
                <w:color w:val="000000" w:themeColor="text1"/>
              </w:rPr>
              <w:t xml:space="preserve"> these activities to better capture lessons learned and early achievements that may then be shared regionally and internationally. This exercise will also assist DFAT and AIPJ2 to determine which PVE activities to prioritise going forward, and which activities should be discontinued.  </w:t>
            </w:r>
          </w:p>
        </w:tc>
        <w:tc>
          <w:tcPr>
            <w:tcW w:w="4382" w:type="dxa"/>
            <w:shd w:val="clear" w:color="auto" w:fill="BDD6EE" w:themeFill="accent1" w:themeFillTint="66"/>
          </w:tcPr>
          <w:p w14:paraId="6FCCA30F" w14:textId="6659FAD7" w:rsidR="00D22629" w:rsidRPr="00070065" w:rsidRDefault="00D22629" w:rsidP="00D22629">
            <w:pPr>
              <w:pStyle w:val="BodyText"/>
              <w:spacing w:before="0" w:after="0" w:line="240" w:lineRule="auto"/>
              <w:rPr>
                <w:b/>
                <w:color w:val="000000" w:themeColor="text1"/>
              </w:rPr>
            </w:pPr>
            <w:r w:rsidRPr="00070065">
              <w:rPr>
                <w:color w:val="000000" w:themeColor="text1"/>
              </w:rPr>
              <w:t xml:space="preserve">DFAT and AIPJ2 have agreed on the need for the second half of the program to focus more on recording lessons learned and measuring </w:t>
            </w:r>
            <w:r w:rsidR="00224CA0">
              <w:rPr>
                <w:color w:val="000000" w:themeColor="text1"/>
              </w:rPr>
              <w:t xml:space="preserve">the </w:t>
            </w:r>
            <w:r w:rsidRPr="00070065">
              <w:rPr>
                <w:color w:val="000000" w:themeColor="text1"/>
              </w:rPr>
              <w:t xml:space="preserve">achievements/impact of PVE activities so far, which can then be shared with partners and stakeholders in Indonesia, the region and internationally. This approach is expected to be discussed with </w:t>
            </w:r>
            <w:proofErr w:type="spellStart"/>
            <w:r w:rsidRPr="00070065">
              <w:rPr>
                <w:color w:val="000000" w:themeColor="text1"/>
              </w:rPr>
              <w:t>GoI</w:t>
            </w:r>
            <w:proofErr w:type="spellEnd"/>
            <w:r w:rsidRPr="00070065">
              <w:rPr>
                <w:color w:val="000000" w:themeColor="text1"/>
              </w:rPr>
              <w:t xml:space="preserve"> partners and agreed during the next Partnership Board Meeting in early 2020.</w:t>
            </w:r>
          </w:p>
        </w:tc>
        <w:tc>
          <w:tcPr>
            <w:tcW w:w="1365" w:type="dxa"/>
            <w:shd w:val="clear" w:color="auto" w:fill="BDD6EE" w:themeFill="accent1" w:themeFillTint="66"/>
          </w:tcPr>
          <w:p w14:paraId="189877DA" w14:textId="4757679C" w:rsidR="00D22629" w:rsidRPr="00070065" w:rsidRDefault="00D22629" w:rsidP="00D22629">
            <w:pPr>
              <w:pStyle w:val="BodyText"/>
              <w:spacing w:before="0" w:after="0" w:line="240" w:lineRule="auto"/>
              <w:rPr>
                <w:b/>
                <w:color w:val="000000" w:themeColor="text1"/>
              </w:rPr>
            </w:pPr>
            <w:r w:rsidRPr="00070065">
              <w:rPr>
                <w:color w:val="000000" w:themeColor="text1"/>
              </w:rPr>
              <w:t>Starting early 2020 and then ongoing</w:t>
            </w:r>
          </w:p>
        </w:tc>
      </w:tr>
      <w:tr w:rsidR="00D22629" w:rsidRPr="00070065" w14:paraId="299F0108" w14:textId="77777777" w:rsidTr="002D075B">
        <w:tc>
          <w:tcPr>
            <w:tcW w:w="2689" w:type="dxa"/>
            <w:shd w:val="clear" w:color="auto" w:fill="BDD6EE" w:themeFill="accent1" w:themeFillTint="66"/>
          </w:tcPr>
          <w:p w14:paraId="210D9109" w14:textId="77777777" w:rsidR="00D22629" w:rsidRPr="00070065" w:rsidRDefault="00D22629" w:rsidP="00D22629">
            <w:pPr>
              <w:pStyle w:val="Heading3"/>
              <w:spacing w:before="0" w:after="0" w:line="240" w:lineRule="auto"/>
              <w:outlineLvl w:val="2"/>
              <w:rPr>
                <w:rFonts w:asciiTheme="minorHAnsi" w:hAnsiTheme="minorHAnsi"/>
                <w:b/>
                <w:color w:val="000000" w:themeColor="text1"/>
                <w:sz w:val="22"/>
                <w:szCs w:val="22"/>
              </w:rPr>
            </w:pPr>
            <w:r w:rsidRPr="00070065">
              <w:rPr>
                <w:rFonts w:asciiTheme="minorHAnsi" w:hAnsiTheme="minorHAnsi"/>
                <w:b/>
                <w:color w:val="000000" w:themeColor="text1"/>
                <w:sz w:val="22"/>
                <w:szCs w:val="22"/>
              </w:rPr>
              <w:t>Recommendation 8</w:t>
            </w:r>
          </w:p>
          <w:p w14:paraId="63257F1D" w14:textId="2081CE21" w:rsidR="00D22629" w:rsidRPr="00070065" w:rsidRDefault="00D22629" w:rsidP="00D22629">
            <w:pPr>
              <w:pStyle w:val="BodyText"/>
              <w:spacing w:before="0" w:after="0" w:line="240" w:lineRule="auto"/>
              <w:rPr>
                <w:b/>
                <w:color w:val="000000" w:themeColor="text1"/>
              </w:rPr>
            </w:pPr>
            <w:r w:rsidRPr="00070065">
              <w:rPr>
                <w:color w:val="000000" w:themeColor="text1"/>
              </w:rPr>
              <w:t>DFAT should promote and organise a more structured exchange of information between Australian Government agencies and AIPJ2.</w:t>
            </w:r>
          </w:p>
        </w:tc>
        <w:tc>
          <w:tcPr>
            <w:tcW w:w="1270" w:type="dxa"/>
            <w:shd w:val="clear" w:color="auto" w:fill="92D050"/>
          </w:tcPr>
          <w:p w14:paraId="308A7200" w14:textId="33921C1F" w:rsidR="00D22629" w:rsidRPr="00070065" w:rsidRDefault="00D22629" w:rsidP="006138AE">
            <w:pPr>
              <w:pStyle w:val="BodyText"/>
              <w:spacing w:before="0" w:after="0" w:line="240" w:lineRule="auto"/>
              <w:rPr>
                <w:b/>
                <w:color w:val="000000" w:themeColor="text1"/>
              </w:rPr>
            </w:pPr>
            <w:r>
              <w:rPr>
                <w:b/>
                <w:color w:val="000000" w:themeColor="text1"/>
              </w:rPr>
              <w:t xml:space="preserve">Agree </w:t>
            </w:r>
          </w:p>
        </w:tc>
        <w:tc>
          <w:tcPr>
            <w:tcW w:w="4242" w:type="dxa"/>
            <w:shd w:val="clear" w:color="auto" w:fill="BDD6EE" w:themeFill="accent1" w:themeFillTint="66"/>
          </w:tcPr>
          <w:p w14:paraId="4A442425" w14:textId="4FCE7BD8" w:rsidR="00D22629" w:rsidRPr="00070065" w:rsidRDefault="00D22629" w:rsidP="00D22629">
            <w:pPr>
              <w:pStyle w:val="BodyText"/>
              <w:spacing w:before="0" w:after="0" w:line="240" w:lineRule="auto"/>
              <w:rPr>
                <w:b/>
                <w:color w:val="000000" w:themeColor="text1"/>
              </w:rPr>
            </w:pPr>
            <w:r w:rsidRPr="00070065">
              <w:rPr>
                <w:color w:val="000000" w:themeColor="text1"/>
              </w:rPr>
              <w:t xml:space="preserve">This recommendation could help to improve integration of </w:t>
            </w:r>
            <w:proofErr w:type="spellStart"/>
            <w:r w:rsidRPr="00070065">
              <w:rPr>
                <w:color w:val="000000" w:themeColor="text1"/>
              </w:rPr>
              <w:t>GoA</w:t>
            </w:r>
            <w:proofErr w:type="spellEnd"/>
            <w:r w:rsidRPr="00070065">
              <w:rPr>
                <w:color w:val="000000" w:themeColor="text1"/>
              </w:rPr>
              <w:t xml:space="preserve"> activities with other AIPJ2 initiatives, and better enable DFAT and AIPJ2 to draw linkages across program activities for strategic, M&amp;E and briefing purposes. However, it will be important not to create unnecessary administrative burdens.</w:t>
            </w:r>
          </w:p>
        </w:tc>
        <w:tc>
          <w:tcPr>
            <w:tcW w:w="4382" w:type="dxa"/>
            <w:shd w:val="clear" w:color="auto" w:fill="BDD6EE" w:themeFill="accent1" w:themeFillTint="66"/>
          </w:tcPr>
          <w:p w14:paraId="332B777C" w14:textId="1B11F347" w:rsidR="00D22629" w:rsidRPr="00070065" w:rsidRDefault="00D22629" w:rsidP="00D22629">
            <w:pPr>
              <w:pStyle w:val="BodyText"/>
              <w:spacing w:before="0" w:after="0" w:line="240" w:lineRule="auto"/>
              <w:rPr>
                <w:b/>
                <w:color w:val="000000" w:themeColor="text1"/>
              </w:rPr>
            </w:pPr>
            <w:r w:rsidRPr="00070065">
              <w:rPr>
                <w:color w:val="000000" w:themeColor="text1"/>
              </w:rPr>
              <w:t xml:space="preserve">DFAT initiated a coordination forum between DFAT, AIPJ2 and </w:t>
            </w:r>
            <w:proofErr w:type="spellStart"/>
            <w:r w:rsidRPr="00070065">
              <w:rPr>
                <w:color w:val="000000" w:themeColor="text1"/>
              </w:rPr>
              <w:t>GoA</w:t>
            </w:r>
            <w:proofErr w:type="spellEnd"/>
            <w:r w:rsidRPr="00070065">
              <w:rPr>
                <w:color w:val="000000" w:themeColor="text1"/>
              </w:rPr>
              <w:t xml:space="preserve"> partners in May 2019. Attendees reported this was a useful coordination mechanism that would be beneficial if held on a quarterly basis. However, it has not since been possible to find a date for a subsequent meeting. Going forward, DFAT plans to be more proactive on AIPJ2 </w:t>
            </w:r>
            <w:proofErr w:type="spellStart"/>
            <w:r w:rsidRPr="00070065">
              <w:rPr>
                <w:color w:val="000000" w:themeColor="text1"/>
              </w:rPr>
              <w:t>GoA</w:t>
            </w:r>
            <w:proofErr w:type="spellEnd"/>
            <w:r w:rsidRPr="00070065">
              <w:rPr>
                <w:color w:val="000000" w:themeColor="text1"/>
              </w:rPr>
              <w:t xml:space="preserve"> coordination.</w:t>
            </w:r>
          </w:p>
        </w:tc>
        <w:tc>
          <w:tcPr>
            <w:tcW w:w="1365" w:type="dxa"/>
            <w:shd w:val="clear" w:color="auto" w:fill="BDD6EE" w:themeFill="accent1" w:themeFillTint="66"/>
          </w:tcPr>
          <w:p w14:paraId="259393EF" w14:textId="2405AEF7" w:rsidR="00D22629" w:rsidRPr="00D22629" w:rsidRDefault="00D22629" w:rsidP="00D22629">
            <w:pPr>
              <w:pStyle w:val="BodyText"/>
              <w:spacing w:before="0" w:after="0" w:line="240" w:lineRule="auto"/>
              <w:rPr>
                <w:color w:val="000000" w:themeColor="text1"/>
              </w:rPr>
            </w:pPr>
            <w:r w:rsidRPr="00D22629">
              <w:rPr>
                <w:color w:val="000000" w:themeColor="text1"/>
              </w:rPr>
              <w:t>Ongoing</w:t>
            </w:r>
          </w:p>
        </w:tc>
      </w:tr>
      <w:tr w:rsidR="00D22629" w:rsidRPr="00070065" w14:paraId="64093F8E" w14:textId="77777777" w:rsidTr="00224CA0">
        <w:tc>
          <w:tcPr>
            <w:tcW w:w="2689" w:type="dxa"/>
            <w:shd w:val="clear" w:color="auto" w:fill="BDD6EE" w:themeFill="accent1" w:themeFillTint="66"/>
          </w:tcPr>
          <w:p w14:paraId="3B51E502" w14:textId="77777777" w:rsidR="00D22629" w:rsidRPr="00070065" w:rsidRDefault="00D22629" w:rsidP="00D22629">
            <w:pPr>
              <w:pStyle w:val="Heading3"/>
              <w:spacing w:before="0" w:after="0" w:line="240" w:lineRule="auto"/>
              <w:outlineLvl w:val="2"/>
              <w:rPr>
                <w:rFonts w:asciiTheme="minorHAnsi" w:hAnsiTheme="minorHAnsi"/>
                <w:b/>
                <w:color w:val="000000" w:themeColor="text1"/>
                <w:sz w:val="22"/>
                <w:szCs w:val="22"/>
              </w:rPr>
            </w:pPr>
            <w:r w:rsidRPr="00070065">
              <w:rPr>
                <w:rFonts w:asciiTheme="minorHAnsi" w:hAnsiTheme="minorHAnsi"/>
                <w:b/>
                <w:color w:val="000000" w:themeColor="text1"/>
                <w:sz w:val="22"/>
                <w:szCs w:val="22"/>
              </w:rPr>
              <w:t>Recommendation 9</w:t>
            </w:r>
          </w:p>
          <w:p w14:paraId="53F75524" w14:textId="584CA778" w:rsidR="00D22629" w:rsidRPr="00070065" w:rsidRDefault="00D22629" w:rsidP="00D22629">
            <w:pPr>
              <w:pStyle w:val="BodyText"/>
              <w:spacing w:before="0" w:after="0" w:line="240" w:lineRule="auto"/>
              <w:rPr>
                <w:b/>
                <w:color w:val="000000" w:themeColor="text1"/>
              </w:rPr>
            </w:pPr>
            <w:r w:rsidRPr="00070065">
              <w:rPr>
                <w:color w:val="000000" w:themeColor="text1"/>
              </w:rPr>
              <w:t xml:space="preserve">The recent initiative by the Australian Embassy to convene a Team Leaders’ meeting, which was attended by senior Embassy staff, should be </w:t>
            </w:r>
            <w:r w:rsidRPr="00070065">
              <w:rPr>
                <w:color w:val="000000" w:themeColor="text1"/>
              </w:rPr>
              <w:lastRenderedPageBreak/>
              <w:t>formalised into a routine event.</w:t>
            </w:r>
          </w:p>
        </w:tc>
        <w:tc>
          <w:tcPr>
            <w:tcW w:w="1270" w:type="dxa"/>
            <w:shd w:val="clear" w:color="auto" w:fill="ED7D31" w:themeFill="accent2"/>
          </w:tcPr>
          <w:p w14:paraId="528A199F" w14:textId="3B47E662" w:rsidR="00D22629" w:rsidRPr="00070065" w:rsidRDefault="00D22629" w:rsidP="00D22629">
            <w:pPr>
              <w:pStyle w:val="BodyText"/>
              <w:spacing w:before="0" w:after="0" w:line="240" w:lineRule="auto"/>
              <w:rPr>
                <w:b/>
                <w:color w:val="000000" w:themeColor="text1"/>
              </w:rPr>
            </w:pPr>
            <w:r>
              <w:rPr>
                <w:b/>
                <w:color w:val="000000" w:themeColor="text1"/>
              </w:rPr>
              <w:lastRenderedPageBreak/>
              <w:t>Agree in part</w:t>
            </w:r>
          </w:p>
        </w:tc>
        <w:tc>
          <w:tcPr>
            <w:tcW w:w="4242" w:type="dxa"/>
            <w:shd w:val="clear" w:color="auto" w:fill="BDD6EE" w:themeFill="accent1" w:themeFillTint="66"/>
          </w:tcPr>
          <w:p w14:paraId="1705D6E9" w14:textId="14930278" w:rsidR="00D22629" w:rsidRPr="00070065" w:rsidRDefault="00D22629" w:rsidP="00D22629">
            <w:pPr>
              <w:pStyle w:val="BodyText"/>
              <w:spacing w:before="0" w:after="0" w:line="240" w:lineRule="auto"/>
              <w:rPr>
                <w:b/>
                <w:color w:val="000000" w:themeColor="text1"/>
              </w:rPr>
            </w:pPr>
            <w:r w:rsidRPr="00070065">
              <w:rPr>
                <w:color w:val="000000" w:themeColor="text1"/>
              </w:rPr>
              <w:t>DFAT agrees that the Team Leaders’ meeting is a useful forum for high-level, strategic coordination across Australian development investments in Indonesia. But meetings need to have a clear purpose and intended outcome.</w:t>
            </w:r>
          </w:p>
        </w:tc>
        <w:tc>
          <w:tcPr>
            <w:tcW w:w="4382" w:type="dxa"/>
            <w:shd w:val="clear" w:color="auto" w:fill="BDD6EE" w:themeFill="accent1" w:themeFillTint="66"/>
          </w:tcPr>
          <w:p w14:paraId="37FAF149" w14:textId="77777777" w:rsidR="00D22629" w:rsidRPr="00070065" w:rsidRDefault="00D22629" w:rsidP="00D22629">
            <w:pPr>
              <w:pStyle w:val="BodyText"/>
              <w:spacing w:before="0" w:after="0" w:line="240" w:lineRule="auto"/>
              <w:rPr>
                <w:color w:val="000000" w:themeColor="text1"/>
              </w:rPr>
            </w:pPr>
            <w:r w:rsidRPr="00070065">
              <w:rPr>
                <w:color w:val="000000" w:themeColor="text1"/>
              </w:rPr>
              <w:t>Recognising the benefit of this initiative, the DFAT Development Effectiveness and Sustainability Section plans to hold the next Team Leaders’ meeting in early 2020.</w:t>
            </w:r>
          </w:p>
          <w:p w14:paraId="56125C92" w14:textId="77777777" w:rsidR="00D22629" w:rsidRPr="00070065" w:rsidRDefault="00D22629" w:rsidP="00D22629">
            <w:pPr>
              <w:pStyle w:val="BodyText"/>
              <w:spacing w:before="0" w:after="0" w:line="240" w:lineRule="auto"/>
              <w:rPr>
                <w:b/>
                <w:color w:val="000000" w:themeColor="text1"/>
              </w:rPr>
            </w:pPr>
          </w:p>
        </w:tc>
        <w:tc>
          <w:tcPr>
            <w:tcW w:w="1365" w:type="dxa"/>
            <w:shd w:val="clear" w:color="auto" w:fill="BDD6EE" w:themeFill="accent1" w:themeFillTint="66"/>
          </w:tcPr>
          <w:p w14:paraId="19762229" w14:textId="66BA8228" w:rsidR="00D22629" w:rsidRPr="00D22629" w:rsidRDefault="00D22629" w:rsidP="00D22629">
            <w:pPr>
              <w:pStyle w:val="BodyText"/>
              <w:spacing w:before="0" w:after="0" w:line="240" w:lineRule="auto"/>
              <w:rPr>
                <w:color w:val="000000" w:themeColor="text1"/>
              </w:rPr>
            </w:pPr>
            <w:r w:rsidRPr="00D22629">
              <w:rPr>
                <w:color w:val="000000" w:themeColor="text1"/>
              </w:rPr>
              <w:t>Ongoing</w:t>
            </w:r>
          </w:p>
        </w:tc>
      </w:tr>
    </w:tbl>
    <w:p w14:paraId="14C67C50" w14:textId="77777777" w:rsidR="00651DEA" w:rsidRPr="00070065" w:rsidRDefault="00651DEA" w:rsidP="00D22629">
      <w:pPr>
        <w:pStyle w:val="BodyText"/>
        <w:spacing w:before="0" w:after="0" w:line="240" w:lineRule="auto"/>
        <w:rPr>
          <w:b/>
          <w:color w:val="000000" w:themeColor="text1"/>
        </w:rPr>
      </w:pPr>
    </w:p>
    <w:sectPr w:rsidR="00651DEA" w:rsidRPr="00070065" w:rsidSect="009D1463">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88599" w14:textId="77777777" w:rsidR="00A13290" w:rsidRDefault="00A13290" w:rsidP="00A13290">
      <w:pPr>
        <w:spacing w:before="0" w:after="0" w:line="240" w:lineRule="auto"/>
      </w:pPr>
      <w:r>
        <w:separator/>
      </w:r>
    </w:p>
  </w:endnote>
  <w:endnote w:type="continuationSeparator" w:id="0">
    <w:p w14:paraId="1685C281" w14:textId="77777777" w:rsidR="00A13290" w:rsidRDefault="00A13290" w:rsidP="00A132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E19E2" w14:textId="77777777" w:rsidR="00A13290" w:rsidRDefault="00A1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C0D4A" w14:textId="77777777" w:rsidR="00A13290" w:rsidRDefault="00A13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E781" w14:textId="77777777" w:rsidR="00A13290" w:rsidRDefault="00A1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5C24C" w14:textId="77777777" w:rsidR="00A13290" w:rsidRDefault="00A13290" w:rsidP="00A13290">
      <w:pPr>
        <w:spacing w:before="0" w:after="0" w:line="240" w:lineRule="auto"/>
      </w:pPr>
      <w:r>
        <w:separator/>
      </w:r>
    </w:p>
  </w:footnote>
  <w:footnote w:type="continuationSeparator" w:id="0">
    <w:p w14:paraId="24154FD1" w14:textId="77777777" w:rsidR="00A13290" w:rsidRDefault="00A13290" w:rsidP="00A132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8CDD5" w14:textId="77777777" w:rsidR="00A13290" w:rsidRDefault="00A1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4D25" w14:textId="77777777" w:rsidR="00A13290" w:rsidRDefault="00A1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8123" w14:textId="77777777" w:rsidR="00A13290" w:rsidRDefault="00A1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7A54"/>
    <w:multiLevelType w:val="hybridMultilevel"/>
    <w:tmpl w:val="5F78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6043A"/>
    <w:multiLevelType w:val="multilevel"/>
    <w:tmpl w:val="69AEB596"/>
    <w:numStyleLink w:val="BulletsList"/>
  </w:abstractNum>
  <w:abstractNum w:abstractNumId="2"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92"/>
    <w:rsid w:val="00007120"/>
    <w:rsid w:val="000112DB"/>
    <w:rsid w:val="00022E97"/>
    <w:rsid w:val="00031FE3"/>
    <w:rsid w:val="0004098C"/>
    <w:rsid w:val="00047C31"/>
    <w:rsid w:val="000549B4"/>
    <w:rsid w:val="0005658B"/>
    <w:rsid w:val="00070065"/>
    <w:rsid w:val="00086CAC"/>
    <w:rsid w:val="000953A0"/>
    <w:rsid w:val="000A3DE4"/>
    <w:rsid w:val="000A533E"/>
    <w:rsid w:val="000D3588"/>
    <w:rsid w:val="000E0456"/>
    <w:rsid w:val="000F4A00"/>
    <w:rsid w:val="0010788C"/>
    <w:rsid w:val="00112A5F"/>
    <w:rsid w:val="001364B1"/>
    <w:rsid w:val="00140897"/>
    <w:rsid w:val="00164382"/>
    <w:rsid w:val="0016580B"/>
    <w:rsid w:val="00182A79"/>
    <w:rsid w:val="001908EF"/>
    <w:rsid w:val="001A2737"/>
    <w:rsid w:val="001A564D"/>
    <w:rsid w:val="001A57E3"/>
    <w:rsid w:val="001A63E1"/>
    <w:rsid w:val="001C718E"/>
    <w:rsid w:val="001E61DA"/>
    <w:rsid w:val="001E7BC7"/>
    <w:rsid w:val="002025DC"/>
    <w:rsid w:val="00203C71"/>
    <w:rsid w:val="0020518A"/>
    <w:rsid w:val="00205CB2"/>
    <w:rsid w:val="00224CA0"/>
    <w:rsid w:val="00261A64"/>
    <w:rsid w:val="00262840"/>
    <w:rsid w:val="002838D9"/>
    <w:rsid w:val="00285195"/>
    <w:rsid w:val="002A5C42"/>
    <w:rsid w:val="002C1730"/>
    <w:rsid w:val="002C7503"/>
    <w:rsid w:val="002D075B"/>
    <w:rsid w:val="002D205E"/>
    <w:rsid w:val="002D2191"/>
    <w:rsid w:val="002D3F53"/>
    <w:rsid w:val="002D506E"/>
    <w:rsid w:val="002F0803"/>
    <w:rsid w:val="002F4911"/>
    <w:rsid w:val="00313903"/>
    <w:rsid w:val="003252D3"/>
    <w:rsid w:val="003364D7"/>
    <w:rsid w:val="00350B4C"/>
    <w:rsid w:val="003531F5"/>
    <w:rsid w:val="00353C4E"/>
    <w:rsid w:val="00357576"/>
    <w:rsid w:val="00386599"/>
    <w:rsid w:val="0038751D"/>
    <w:rsid w:val="00395933"/>
    <w:rsid w:val="003A2A40"/>
    <w:rsid w:val="003D44AF"/>
    <w:rsid w:val="003F508E"/>
    <w:rsid w:val="003F5B7C"/>
    <w:rsid w:val="00406685"/>
    <w:rsid w:val="004178E7"/>
    <w:rsid w:val="00424859"/>
    <w:rsid w:val="0045237B"/>
    <w:rsid w:val="00464C76"/>
    <w:rsid w:val="00467F35"/>
    <w:rsid w:val="00475B05"/>
    <w:rsid w:val="00482A94"/>
    <w:rsid w:val="004866BE"/>
    <w:rsid w:val="00487963"/>
    <w:rsid w:val="00487EBD"/>
    <w:rsid w:val="004A367A"/>
    <w:rsid w:val="004A48F6"/>
    <w:rsid w:val="004B225B"/>
    <w:rsid w:val="004E60B7"/>
    <w:rsid w:val="004F7592"/>
    <w:rsid w:val="00505ABD"/>
    <w:rsid w:val="00516C61"/>
    <w:rsid w:val="00526EB7"/>
    <w:rsid w:val="00533DE5"/>
    <w:rsid w:val="005348F3"/>
    <w:rsid w:val="00542266"/>
    <w:rsid w:val="00542914"/>
    <w:rsid w:val="005508BD"/>
    <w:rsid w:val="00570676"/>
    <w:rsid w:val="005724B3"/>
    <w:rsid w:val="005A6805"/>
    <w:rsid w:val="005A7FBB"/>
    <w:rsid w:val="005B1A3E"/>
    <w:rsid w:val="005B7ECF"/>
    <w:rsid w:val="005E1C2C"/>
    <w:rsid w:val="005F127C"/>
    <w:rsid w:val="005F2119"/>
    <w:rsid w:val="005F41D7"/>
    <w:rsid w:val="006027A9"/>
    <w:rsid w:val="00611FAB"/>
    <w:rsid w:val="006138AE"/>
    <w:rsid w:val="006227A3"/>
    <w:rsid w:val="0062740A"/>
    <w:rsid w:val="00631F0C"/>
    <w:rsid w:val="0063729F"/>
    <w:rsid w:val="006474DE"/>
    <w:rsid w:val="00647F33"/>
    <w:rsid w:val="006505AA"/>
    <w:rsid w:val="00651DEA"/>
    <w:rsid w:val="0065301A"/>
    <w:rsid w:val="006637B3"/>
    <w:rsid w:val="00667DFB"/>
    <w:rsid w:val="00671D9C"/>
    <w:rsid w:val="00676843"/>
    <w:rsid w:val="00686538"/>
    <w:rsid w:val="006913F8"/>
    <w:rsid w:val="006A4C94"/>
    <w:rsid w:val="006B654E"/>
    <w:rsid w:val="006B7703"/>
    <w:rsid w:val="006D290E"/>
    <w:rsid w:val="006D3233"/>
    <w:rsid w:val="006F00FD"/>
    <w:rsid w:val="006F17CE"/>
    <w:rsid w:val="006F27F8"/>
    <w:rsid w:val="006F5EFF"/>
    <w:rsid w:val="007046EF"/>
    <w:rsid w:val="00711199"/>
    <w:rsid w:val="00722175"/>
    <w:rsid w:val="00722F7C"/>
    <w:rsid w:val="007269BA"/>
    <w:rsid w:val="00762A8D"/>
    <w:rsid w:val="00770333"/>
    <w:rsid w:val="007724EB"/>
    <w:rsid w:val="0077768B"/>
    <w:rsid w:val="00780F3E"/>
    <w:rsid w:val="00786507"/>
    <w:rsid w:val="00793184"/>
    <w:rsid w:val="00795D3C"/>
    <w:rsid w:val="0079654A"/>
    <w:rsid w:val="007A32A1"/>
    <w:rsid w:val="007A48BD"/>
    <w:rsid w:val="007C6AE8"/>
    <w:rsid w:val="007C7E15"/>
    <w:rsid w:val="007E2169"/>
    <w:rsid w:val="007E6715"/>
    <w:rsid w:val="007F3DFB"/>
    <w:rsid w:val="0080679F"/>
    <w:rsid w:val="008176CB"/>
    <w:rsid w:val="00843DFC"/>
    <w:rsid w:val="008553E4"/>
    <w:rsid w:val="00866AA5"/>
    <w:rsid w:val="0086790D"/>
    <w:rsid w:val="0087107E"/>
    <w:rsid w:val="008843C8"/>
    <w:rsid w:val="00896A89"/>
    <w:rsid w:val="008A4BAE"/>
    <w:rsid w:val="008C0AD8"/>
    <w:rsid w:val="008D44B8"/>
    <w:rsid w:val="008D7986"/>
    <w:rsid w:val="008E0960"/>
    <w:rsid w:val="008F2819"/>
    <w:rsid w:val="008F2D3C"/>
    <w:rsid w:val="008F4523"/>
    <w:rsid w:val="008F5DF9"/>
    <w:rsid w:val="0092449C"/>
    <w:rsid w:val="009305EE"/>
    <w:rsid w:val="00931085"/>
    <w:rsid w:val="00931180"/>
    <w:rsid w:val="00960FF0"/>
    <w:rsid w:val="0097754E"/>
    <w:rsid w:val="009A1CB6"/>
    <w:rsid w:val="009A4EE1"/>
    <w:rsid w:val="009C24AB"/>
    <w:rsid w:val="009C324D"/>
    <w:rsid w:val="009D1463"/>
    <w:rsid w:val="009D4225"/>
    <w:rsid w:val="009D7190"/>
    <w:rsid w:val="009D74F8"/>
    <w:rsid w:val="009E039A"/>
    <w:rsid w:val="009F451F"/>
    <w:rsid w:val="00A006D1"/>
    <w:rsid w:val="00A039E3"/>
    <w:rsid w:val="00A13290"/>
    <w:rsid w:val="00A419C5"/>
    <w:rsid w:val="00A44DCD"/>
    <w:rsid w:val="00A50C16"/>
    <w:rsid w:val="00A55848"/>
    <w:rsid w:val="00A6544F"/>
    <w:rsid w:val="00A66FB6"/>
    <w:rsid w:val="00A72380"/>
    <w:rsid w:val="00A7319E"/>
    <w:rsid w:val="00A81FD5"/>
    <w:rsid w:val="00A852DB"/>
    <w:rsid w:val="00A863A2"/>
    <w:rsid w:val="00A878EC"/>
    <w:rsid w:val="00A946CD"/>
    <w:rsid w:val="00A976AD"/>
    <w:rsid w:val="00AB2450"/>
    <w:rsid w:val="00AB3B13"/>
    <w:rsid w:val="00AF2913"/>
    <w:rsid w:val="00AF3750"/>
    <w:rsid w:val="00AF55F0"/>
    <w:rsid w:val="00AF5AA0"/>
    <w:rsid w:val="00B043DD"/>
    <w:rsid w:val="00B16C85"/>
    <w:rsid w:val="00B235F4"/>
    <w:rsid w:val="00B4381F"/>
    <w:rsid w:val="00B5375E"/>
    <w:rsid w:val="00B77B9A"/>
    <w:rsid w:val="00B803C4"/>
    <w:rsid w:val="00BA1484"/>
    <w:rsid w:val="00BB7CAE"/>
    <w:rsid w:val="00BC239A"/>
    <w:rsid w:val="00BC52CA"/>
    <w:rsid w:val="00BC7E1C"/>
    <w:rsid w:val="00BE2B58"/>
    <w:rsid w:val="00BF3A5C"/>
    <w:rsid w:val="00C058D5"/>
    <w:rsid w:val="00C06777"/>
    <w:rsid w:val="00C06DA8"/>
    <w:rsid w:val="00C13FE5"/>
    <w:rsid w:val="00C41414"/>
    <w:rsid w:val="00C62290"/>
    <w:rsid w:val="00CC6A33"/>
    <w:rsid w:val="00CD151B"/>
    <w:rsid w:val="00CD23D4"/>
    <w:rsid w:val="00CE0589"/>
    <w:rsid w:val="00CE32C8"/>
    <w:rsid w:val="00CF4CB5"/>
    <w:rsid w:val="00CF6E19"/>
    <w:rsid w:val="00D10F3E"/>
    <w:rsid w:val="00D211EE"/>
    <w:rsid w:val="00D22629"/>
    <w:rsid w:val="00D33855"/>
    <w:rsid w:val="00D42B41"/>
    <w:rsid w:val="00D46A5D"/>
    <w:rsid w:val="00D52EC9"/>
    <w:rsid w:val="00D71517"/>
    <w:rsid w:val="00D72776"/>
    <w:rsid w:val="00D75997"/>
    <w:rsid w:val="00D86C7A"/>
    <w:rsid w:val="00DA1DD5"/>
    <w:rsid w:val="00DB61D7"/>
    <w:rsid w:val="00DC5F13"/>
    <w:rsid w:val="00DC64FD"/>
    <w:rsid w:val="00DD550F"/>
    <w:rsid w:val="00DF0856"/>
    <w:rsid w:val="00E0514C"/>
    <w:rsid w:val="00E156E6"/>
    <w:rsid w:val="00E209AC"/>
    <w:rsid w:val="00E363B1"/>
    <w:rsid w:val="00E61A38"/>
    <w:rsid w:val="00E63D2A"/>
    <w:rsid w:val="00E653D5"/>
    <w:rsid w:val="00E84FF9"/>
    <w:rsid w:val="00E90EBC"/>
    <w:rsid w:val="00EA4122"/>
    <w:rsid w:val="00EC1313"/>
    <w:rsid w:val="00EC27E2"/>
    <w:rsid w:val="00EC5BA9"/>
    <w:rsid w:val="00ED7C63"/>
    <w:rsid w:val="00EE6D80"/>
    <w:rsid w:val="00EE7505"/>
    <w:rsid w:val="00EF7547"/>
    <w:rsid w:val="00F135F4"/>
    <w:rsid w:val="00F21B32"/>
    <w:rsid w:val="00F232A1"/>
    <w:rsid w:val="00F24487"/>
    <w:rsid w:val="00F46B50"/>
    <w:rsid w:val="00F51F03"/>
    <w:rsid w:val="00F75B75"/>
    <w:rsid w:val="00F85724"/>
    <w:rsid w:val="00FC5964"/>
    <w:rsid w:val="00FC7672"/>
    <w:rsid w:val="00FD69E6"/>
    <w:rsid w:val="00FD758B"/>
    <w:rsid w:val="00FF5D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1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92"/>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4F7592"/>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4F7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F7592"/>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92"/>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4F759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F7592"/>
    <w:pPr>
      <w:numPr>
        <w:numId w:val="2"/>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semiHidden/>
    <w:rsid w:val="004F7592"/>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semiHidden/>
    <w:unhideWhenUsed/>
    <w:rsid w:val="00843DFC"/>
    <w:rPr>
      <w:color w:val="0000FF"/>
      <w:u w:val="single"/>
    </w:rPr>
  </w:style>
  <w:style w:type="paragraph" w:styleId="BalloonText">
    <w:name w:val="Balloon Text"/>
    <w:basedOn w:val="Normal"/>
    <w:link w:val="BalloonTextChar"/>
    <w:uiPriority w:val="99"/>
    <w:semiHidden/>
    <w:unhideWhenUsed/>
    <w:rsid w:val="007A32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2A1"/>
    <w:rPr>
      <w:rFonts w:ascii="Segoe UI" w:hAnsi="Segoe UI" w:cs="Segoe UI"/>
      <w:color w:val="44546A" w:themeColor="text2"/>
      <w:sz w:val="18"/>
      <w:szCs w:val="18"/>
      <w:lang w:val="en-GB"/>
    </w:rPr>
  </w:style>
  <w:style w:type="table" w:styleId="TableGrid">
    <w:name w:val="Table Grid"/>
    <w:basedOn w:val="TableNormal"/>
    <w:uiPriority w:val="39"/>
    <w:rsid w:val="00651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29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13290"/>
    <w:rPr>
      <w:color w:val="44546A" w:themeColor="text2"/>
      <w:lang w:val="en-GB"/>
    </w:rPr>
  </w:style>
  <w:style w:type="paragraph" w:styleId="Footer">
    <w:name w:val="footer"/>
    <w:basedOn w:val="Normal"/>
    <w:link w:val="FooterChar"/>
    <w:uiPriority w:val="99"/>
    <w:unhideWhenUsed/>
    <w:rsid w:val="00A1329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13290"/>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8A4B-0F3F-492C-BDB0-680DA8B1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2020-03-01T02:30:00Z</dcterms:created>
  <dcterms:modified xsi:type="dcterms:W3CDTF">2020-03-01T02:31:00Z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92f0b5aa-bc68-45f6-8bf4-cd0aeacf71b5</vt:lpwstr>
  </property>
  <property fmtid="{D5CDD505-2E9C-101B-9397-08002B2CF9AE}" pid="3" name="SEC">
    <vt:lpwstr>UNCLASSIFIED</vt:lpwstr>
  </property>
  <property fmtid="{D5CDD505-2E9C-101B-9397-08002B2CF9AE}" pid="4" name="DLM">
    <vt:lpwstr>No DLM</vt:lpwstr>
  </property>
</Properties>
</file>