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83593" w14:textId="77777777" w:rsidR="004C10EA" w:rsidRPr="00CD0FB3" w:rsidRDefault="004C10EA" w:rsidP="004C10EA">
      <w:pPr>
        <w:pStyle w:val="Heading2"/>
        <w:rPr>
          <w:szCs w:val="24"/>
        </w:rPr>
      </w:pPr>
      <w:bookmarkStart w:id="0" w:name="_Toc399508768"/>
      <w:bookmarkStart w:id="1" w:name="_Toc399508866"/>
      <w:bookmarkStart w:id="2" w:name="_Toc416685112"/>
      <w:bookmarkStart w:id="3" w:name="_GoBack"/>
      <w:bookmarkEnd w:id="3"/>
      <w:r w:rsidRPr="00CD0FB3">
        <w:rPr>
          <w:szCs w:val="24"/>
        </w:rPr>
        <w:t>Investment Concept Template</w:t>
      </w:r>
      <w:bookmarkEnd w:id="0"/>
      <w:bookmarkEnd w:id="1"/>
      <w:bookmarkEnd w:id="2"/>
    </w:p>
    <w:tbl>
      <w:tblPr>
        <w:tblStyle w:val="Tablewithnoheader"/>
        <w:tblW w:w="0" w:type="auto"/>
        <w:tblInd w:w="-5" w:type="dxa"/>
        <w:shd w:val="clear" w:color="auto" w:fill="E0F3EF" w:themeFill="accent1" w:themeFillTint="33"/>
        <w:tblLook w:val="04A0" w:firstRow="1" w:lastRow="0" w:firstColumn="1" w:lastColumn="0" w:noHBand="0" w:noVBand="1"/>
      </w:tblPr>
      <w:tblGrid>
        <w:gridCol w:w="9611"/>
      </w:tblGrid>
      <w:tr w:rsidR="004C10EA" w:rsidRPr="00CD0FB3" w14:paraId="5BD78185" w14:textId="77777777" w:rsidTr="00BC2063">
        <w:trPr>
          <w:cantSplit w:val="0"/>
        </w:trPr>
        <w:tc>
          <w:tcPr>
            <w:tcW w:w="9611" w:type="dxa"/>
            <w:tcBorders>
              <w:bottom w:val="single" w:sz="4" w:space="0" w:color="808080"/>
            </w:tcBorders>
            <w:shd w:val="clear" w:color="auto" w:fill="E0F3EF" w:themeFill="accent1" w:themeFillTint="33"/>
          </w:tcPr>
          <w:p w14:paraId="6E5C0923" w14:textId="77777777" w:rsidR="004C10EA" w:rsidRPr="00CD0FB3" w:rsidRDefault="004C10EA" w:rsidP="00FC2CDF">
            <w:pPr>
              <w:tabs>
                <w:tab w:val="num" w:pos="568"/>
              </w:tabs>
              <w:spacing w:line="276" w:lineRule="auto"/>
              <w:rPr>
                <w:rFonts w:asciiTheme="majorHAnsi" w:hAnsiTheme="majorHAnsi" w:cs="Arial"/>
                <w:b/>
                <w:sz w:val="22"/>
                <w:szCs w:val="22"/>
                <w:lang w:eastAsia="en-US"/>
              </w:rPr>
            </w:pPr>
            <w:r w:rsidRPr="00CD0FB3">
              <w:rPr>
                <w:rFonts w:asciiTheme="majorHAnsi" w:hAnsiTheme="majorHAnsi" w:cs="Arial"/>
                <w:b/>
                <w:sz w:val="22"/>
                <w:szCs w:val="22"/>
                <w:lang w:eastAsia="en-US"/>
              </w:rPr>
              <w:t>A:  Investment Concept Title:</w:t>
            </w:r>
            <w:r w:rsidR="00ED32D9" w:rsidRPr="00CD0FB3">
              <w:rPr>
                <w:rFonts w:asciiTheme="majorHAnsi" w:hAnsiTheme="majorHAnsi" w:cs="Arial"/>
                <w:b/>
                <w:sz w:val="22"/>
                <w:szCs w:val="22"/>
                <w:lang w:eastAsia="en-US"/>
              </w:rPr>
              <w:t xml:space="preserve"> </w:t>
            </w:r>
            <w:r w:rsidR="00FC2CDF" w:rsidRPr="00CD0FB3">
              <w:rPr>
                <w:rFonts w:asciiTheme="majorHAnsi" w:hAnsiTheme="majorHAnsi" w:cs="Arial"/>
                <w:b/>
                <w:sz w:val="22"/>
                <w:szCs w:val="22"/>
                <w:lang w:eastAsia="en-US"/>
              </w:rPr>
              <w:t xml:space="preserve">Indonesia Australia </w:t>
            </w:r>
            <w:r w:rsidR="00ED32D9" w:rsidRPr="00CD0FB3">
              <w:rPr>
                <w:rFonts w:asciiTheme="majorHAnsi" w:hAnsiTheme="majorHAnsi" w:cs="Arial"/>
                <w:b/>
                <w:sz w:val="22"/>
                <w:szCs w:val="22"/>
                <w:lang w:eastAsia="en-US"/>
              </w:rPr>
              <w:t>Disaster Risk Management</w:t>
            </w:r>
            <w:r w:rsidR="00FC2CDF" w:rsidRPr="00CD0FB3">
              <w:rPr>
                <w:rFonts w:asciiTheme="majorHAnsi" w:hAnsiTheme="majorHAnsi" w:cs="Arial"/>
                <w:b/>
                <w:sz w:val="22"/>
                <w:szCs w:val="22"/>
                <w:lang w:eastAsia="en-US"/>
              </w:rPr>
              <w:t xml:space="preserve"> </w:t>
            </w:r>
          </w:p>
        </w:tc>
      </w:tr>
      <w:tr w:rsidR="004C10EA" w:rsidRPr="00CD0FB3" w14:paraId="48FA42C1" w14:textId="77777777" w:rsidTr="00BC2063">
        <w:trPr>
          <w:cantSplit w:val="0"/>
        </w:trPr>
        <w:tc>
          <w:tcPr>
            <w:tcW w:w="9611" w:type="dxa"/>
            <w:shd w:val="clear" w:color="auto" w:fill="E0F3EF" w:themeFill="accent1" w:themeFillTint="33"/>
          </w:tcPr>
          <w:p w14:paraId="7590A441" w14:textId="4A2437F6" w:rsidR="004C10EA" w:rsidRPr="00CD0FB3" w:rsidRDefault="004C10EA" w:rsidP="00512FFA">
            <w:pPr>
              <w:tabs>
                <w:tab w:val="num" w:pos="568"/>
              </w:tabs>
              <w:spacing w:line="276" w:lineRule="auto"/>
              <w:rPr>
                <w:rFonts w:asciiTheme="majorHAnsi" w:hAnsiTheme="majorHAnsi" w:cs="Arial"/>
                <w:b/>
                <w:sz w:val="22"/>
                <w:szCs w:val="22"/>
                <w:lang w:eastAsia="en-US"/>
              </w:rPr>
            </w:pPr>
            <w:r w:rsidRPr="00CD0FB3">
              <w:rPr>
                <w:rFonts w:asciiTheme="majorHAnsi" w:hAnsiTheme="majorHAnsi" w:cs="Arial"/>
                <w:b/>
                <w:sz w:val="22"/>
                <w:szCs w:val="22"/>
                <w:lang w:eastAsia="en-US"/>
              </w:rPr>
              <w:t xml:space="preserve">Proposed </w:t>
            </w:r>
            <w:r w:rsidR="00966957" w:rsidRPr="00CD0FB3">
              <w:rPr>
                <w:rFonts w:asciiTheme="majorHAnsi" w:hAnsiTheme="majorHAnsi" w:cs="Arial"/>
                <w:b/>
                <w:sz w:val="22"/>
                <w:szCs w:val="22"/>
                <w:lang w:eastAsia="en-US"/>
              </w:rPr>
              <w:t>start date:</w:t>
            </w:r>
            <w:r w:rsidR="00CF744B" w:rsidRPr="00CD0FB3">
              <w:rPr>
                <w:rFonts w:asciiTheme="majorHAnsi" w:hAnsiTheme="majorHAnsi" w:cs="Arial"/>
                <w:b/>
                <w:sz w:val="22"/>
                <w:szCs w:val="22"/>
                <w:lang w:eastAsia="en-US"/>
              </w:rPr>
              <w:t xml:space="preserve"> </w:t>
            </w:r>
            <w:r w:rsidR="00512FFA">
              <w:rPr>
                <w:rFonts w:asciiTheme="majorHAnsi" w:hAnsiTheme="majorHAnsi" w:cs="Arial"/>
                <w:b/>
                <w:sz w:val="22"/>
                <w:szCs w:val="22"/>
                <w:lang w:eastAsia="en-US"/>
              </w:rPr>
              <w:t xml:space="preserve">January </w:t>
            </w:r>
            <w:r w:rsidR="00CF744B" w:rsidRPr="00CD0FB3">
              <w:rPr>
                <w:rFonts w:asciiTheme="majorHAnsi" w:hAnsiTheme="majorHAnsi" w:cs="Arial"/>
                <w:b/>
                <w:sz w:val="22"/>
                <w:szCs w:val="22"/>
                <w:lang w:eastAsia="en-US"/>
              </w:rPr>
              <w:t>201</w:t>
            </w:r>
            <w:r w:rsidR="00512FFA">
              <w:rPr>
                <w:rFonts w:asciiTheme="majorHAnsi" w:hAnsiTheme="majorHAnsi" w:cs="Arial"/>
                <w:b/>
                <w:sz w:val="22"/>
                <w:szCs w:val="22"/>
                <w:lang w:eastAsia="en-US"/>
              </w:rPr>
              <w:t>9</w:t>
            </w:r>
            <w:r w:rsidR="00966957" w:rsidRPr="00CD0FB3">
              <w:rPr>
                <w:rFonts w:asciiTheme="majorHAnsi" w:hAnsiTheme="majorHAnsi" w:cs="Arial"/>
                <w:b/>
                <w:sz w:val="22"/>
                <w:szCs w:val="22"/>
                <w:lang w:eastAsia="en-US"/>
              </w:rPr>
              <w:tab/>
            </w:r>
            <w:r w:rsidR="00966957" w:rsidRPr="00CD0FB3">
              <w:rPr>
                <w:rFonts w:asciiTheme="majorHAnsi" w:hAnsiTheme="majorHAnsi" w:cs="Arial"/>
                <w:b/>
                <w:sz w:val="22"/>
                <w:szCs w:val="22"/>
                <w:lang w:eastAsia="en-US"/>
              </w:rPr>
              <w:tab/>
              <w:t>End Date:</w:t>
            </w:r>
            <w:r w:rsidR="00CF744B" w:rsidRPr="00CD0FB3">
              <w:rPr>
                <w:rFonts w:asciiTheme="majorHAnsi" w:hAnsiTheme="majorHAnsi" w:cs="Arial"/>
                <w:b/>
                <w:sz w:val="22"/>
                <w:szCs w:val="22"/>
                <w:lang w:eastAsia="en-US"/>
              </w:rPr>
              <w:t xml:space="preserve"> </w:t>
            </w:r>
            <w:r w:rsidR="00512FFA">
              <w:rPr>
                <w:rFonts w:asciiTheme="majorHAnsi" w:hAnsiTheme="majorHAnsi" w:cs="Arial"/>
                <w:b/>
                <w:sz w:val="22"/>
                <w:szCs w:val="22"/>
                <w:lang w:eastAsia="en-US"/>
              </w:rPr>
              <w:t>June</w:t>
            </w:r>
            <w:r w:rsidR="00512FFA" w:rsidRPr="00CD0FB3">
              <w:rPr>
                <w:rFonts w:asciiTheme="majorHAnsi" w:hAnsiTheme="majorHAnsi" w:cs="Arial"/>
                <w:b/>
                <w:sz w:val="22"/>
                <w:szCs w:val="22"/>
                <w:lang w:eastAsia="en-US"/>
              </w:rPr>
              <w:t xml:space="preserve"> </w:t>
            </w:r>
            <w:r w:rsidR="00CF744B" w:rsidRPr="00CD0FB3">
              <w:rPr>
                <w:rFonts w:asciiTheme="majorHAnsi" w:hAnsiTheme="majorHAnsi" w:cs="Arial"/>
                <w:b/>
                <w:sz w:val="22"/>
                <w:szCs w:val="22"/>
                <w:lang w:eastAsia="en-US"/>
              </w:rPr>
              <w:t>2023</w:t>
            </w:r>
          </w:p>
        </w:tc>
      </w:tr>
      <w:tr w:rsidR="004C10EA" w:rsidRPr="00CD0FB3" w14:paraId="7B71B2B0" w14:textId="77777777" w:rsidTr="00BC2063">
        <w:trPr>
          <w:cantSplit w:val="0"/>
        </w:trPr>
        <w:tc>
          <w:tcPr>
            <w:tcW w:w="9611" w:type="dxa"/>
            <w:shd w:val="clear" w:color="auto" w:fill="E0F3EF" w:themeFill="accent1" w:themeFillTint="33"/>
          </w:tcPr>
          <w:p w14:paraId="43DFCABE" w14:textId="77777777" w:rsidR="004C10EA" w:rsidRPr="00CD0FB3" w:rsidRDefault="004C10EA" w:rsidP="00FC2CDF">
            <w:pPr>
              <w:tabs>
                <w:tab w:val="num" w:pos="568"/>
              </w:tabs>
              <w:spacing w:line="276" w:lineRule="auto"/>
              <w:rPr>
                <w:rFonts w:asciiTheme="majorHAnsi" w:hAnsiTheme="majorHAnsi" w:cs="Arial"/>
                <w:b/>
                <w:sz w:val="22"/>
                <w:szCs w:val="22"/>
                <w:lang w:eastAsia="en-US"/>
              </w:rPr>
            </w:pPr>
            <w:r w:rsidRPr="00CD0FB3">
              <w:rPr>
                <w:rFonts w:asciiTheme="majorHAnsi" w:hAnsiTheme="majorHAnsi" w:cs="Arial"/>
                <w:b/>
                <w:sz w:val="22"/>
                <w:szCs w:val="22"/>
                <w:lang w:eastAsia="en-US"/>
              </w:rPr>
              <w:t xml:space="preserve">Proposed </w:t>
            </w:r>
            <w:r w:rsidR="00966957" w:rsidRPr="00CD0FB3">
              <w:rPr>
                <w:rFonts w:asciiTheme="majorHAnsi" w:hAnsiTheme="majorHAnsi" w:cs="Arial"/>
                <w:b/>
                <w:sz w:val="22"/>
                <w:szCs w:val="22"/>
                <w:lang w:eastAsia="en-US"/>
              </w:rPr>
              <w:t xml:space="preserve">DFAT </w:t>
            </w:r>
            <w:r w:rsidRPr="00CD0FB3">
              <w:rPr>
                <w:rFonts w:asciiTheme="majorHAnsi" w:hAnsiTheme="majorHAnsi" w:cs="Arial"/>
                <w:b/>
                <w:sz w:val="22"/>
                <w:szCs w:val="22"/>
                <w:lang w:eastAsia="en-US"/>
              </w:rPr>
              <w:t>funding allocation</w:t>
            </w:r>
            <w:r w:rsidR="007B147F" w:rsidRPr="00CD0FB3">
              <w:rPr>
                <w:rFonts w:asciiTheme="majorHAnsi" w:hAnsiTheme="majorHAnsi" w:cs="Arial"/>
                <w:b/>
                <w:sz w:val="22"/>
                <w:szCs w:val="22"/>
                <w:lang w:eastAsia="en-US"/>
              </w:rPr>
              <w:t>:</w:t>
            </w:r>
            <w:r w:rsidR="00966957" w:rsidRPr="00CD0FB3">
              <w:rPr>
                <w:rFonts w:asciiTheme="majorHAnsi" w:hAnsiTheme="majorHAnsi" w:cs="Arial"/>
                <w:b/>
                <w:sz w:val="22"/>
                <w:szCs w:val="22"/>
                <w:lang w:eastAsia="en-US"/>
              </w:rPr>
              <w:t xml:space="preserve"> $ </w:t>
            </w:r>
            <w:r w:rsidR="00CF744B" w:rsidRPr="00CD0FB3">
              <w:rPr>
                <w:rFonts w:asciiTheme="majorHAnsi" w:hAnsiTheme="majorHAnsi" w:cs="Arial"/>
                <w:b/>
                <w:sz w:val="22"/>
                <w:szCs w:val="22"/>
                <w:lang w:eastAsia="en-US"/>
              </w:rPr>
              <w:t>25,000,000</w:t>
            </w:r>
            <w:r w:rsidR="00966957" w:rsidRPr="00CD0FB3">
              <w:rPr>
                <w:rFonts w:asciiTheme="majorHAnsi" w:hAnsiTheme="majorHAnsi" w:cs="Arial"/>
                <w:b/>
                <w:sz w:val="22"/>
                <w:szCs w:val="22"/>
                <w:lang w:eastAsia="en-US"/>
              </w:rPr>
              <w:t xml:space="preserve">                  Total funding from all donors: $</w:t>
            </w:r>
            <w:r w:rsidR="00CF744B" w:rsidRPr="00CD0FB3">
              <w:rPr>
                <w:rFonts w:asciiTheme="majorHAnsi" w:hAnsiTheme="majorHAnsi" w:cs="Arial"/>
                <w:b/>
                <w:sz w:val="22"/>
                <w:szCs w:val="22"/>
                <w:lang w:eastAsia="en-US"/>
              </w:rPr>
              <w:t xml:space="preserve"> </w:t>
            </w:r>
            <w:r w:rsidR="00FC2CDF" w:rsidRPr="00CD0FB3">
              <w:rPr>
                <w:rFonts w:asciiTheme="majorHAnsi" w:hAnsiTheme="majorHAnsi" w:cs="Arial"/>
                <w:b/>
                <w:sz w:val="22"/>
                <w:szCs w:val="22"/>
                <w:lang w:eastAsia="en-US"/>
              </w:rPr>
              <w:t>25,000,000</w:t>
            </w:r>
            <w:r w:rsidR="00FC2CDF" w:rsidRPr="00CD0FB3">
              <w:rPr>
                <w:rFonts w:asciiTheme="majorHAnsi" w:hAnsiTheme="majorHAnsi"/>
                <w:b/>
              </w:rPr>
              <w:t xml:space="preserve">                                 </w:t>
            </w:r>
          </w:p>
        </w:tc>
      </w:tr>
      <w:tr w:rsidR="004C10EA" w:rsidRPr="00CD0FB3" w14:paraId="788BB8A3" w14:textId="77777777" w:rsidTr="00BC2063">
        <w:trPr>
          <w:cantSplit w:val="0"/>
        </w:trPr>
        <w:tc>
          <w:tcPr>
            <w:tcW w:w="9611" w:type="dxa"/>
            <w:shd w:val="clear" w:color="auto" w:fill="E0F3EF" w:themeFill="accent1" w:themeFillTint="33"/>
          </w:tcPr>
          <w:p w14:paraId="53E0F7B5" w14:textId="77777777" w:rsidR="004C10EA" w:rsidRPr="00CD0FB3" w:rsidRDefault="004C10EA" w:rsidP="00C3716B">
            <w:pPr>
              <w:tabs>
                <w:tab w:val="num" w:pos="568"/>
              </w:tabs>
              <w:spacing w:line="276" w:lineRule="auto"/>
              <w:rPr>
                <w:rFonts w:asciiTheme="majorHAnsi" w:hAnsiTheme="majorHAnsi" w:cs="Arial"/>
                <w:b/>
                <w:sz w:val="22"/>
                <w:szCs w:val="22"/>
                <w:lang w:eastAsia="en-US"/>
              </w:rPr>
            </w:pPr>
            <w:r w:rsidRPr="00CD0FB3">
              <w:rPr>
                <w:rFonts w:asciiTheme="majorHAnsi" w:hAnsiTheme="majorHAnsi" w:cs="Arial"/>
                <w:b/>
                <w:sz w:val="22"/>
                <w:szCs w:val="22"/>
                <w:lang w:eastAsia="en-US"/>
              </w:rPr>
              <w:t xml:space="preserve">Risk and Value </w:t>
            </w:r>
            <w:r w:rsidR="00966957" w:rsidRPr="00CD0FB3">
              <w:rPr>
                <w:rFonts w:asciiTheme="majorHAnsi" w:hAnsiTheme="majorHAnsi" w:cs="Arial"/>
                <w:b/>
                <w:sz w:val="22"/>
                <w:szCs w:val="22"/>
                <w:lang w:eastAsia="en-US"/>
              </w:rPr>
              <w:t>Profile</w:t>
            </w:r>
            <w:r w:rsidRPr="00CD0FB3">
              <w:rPr>
                <w:rFonts w:asciiTheme="majorHAnsi" w:hAnsiTheme="majorHAnsi" w:cs="Arial"/>
                <w:b/>
                <w:sz w:val="22"/>
                <w:szCs w:val="22"/>
                <w:lang w:eastAsia="en-US"/>
              </w:rPr>
              <w:t>:</w:t>
            </w:r>
            <w:r w:rsidRPr="00CD0FB3">
              <w:rPr>
                <w:rFonts w:asciiTheme="majorHAnsi" w:hAnsiTheme="majorHAnsi" w:cs="Arial"/>
                <w:b/>
                <w:sz w:val="22"/>
                <w:szCs w:val="22"/>
                <w:lang w:eastAsia="en-US"/>
              </w:rPr>
              <w:tab/>
            </w:r>
            <w:r w:rsidR="00C3716B" w:rsidRPr="00CD0FB3">
              <w:rPr>
                <w:rFonts w:asciiTheme="majorHAnsi" w:hAnsiTheme="majorHAnsi" w:cs="Arial"/>
                <w:b/>
                <w:sz w:val="22"/>
                <w:szCs w:val="22"/>
                <w:lang w:eastAsia="en-US"/>
              </w:rPr>
              <w:t xml:space="preserve">Low </w:t>
            </w:r>
            <w:r w:rsidRPr="00CD0FB3">
              <w:rPr>
                <w:rFonts w:asciiTheme="majorHAnsi" w:hAnsiTheme="majorHAnsi" w:cs="Arial"/>
                <w:b/>
                <w:sz w:val="22"/>
                <w:szCs w:val="22"/>
                <w:lang w:eastAsia="en-US"/>
              </w:rPr>
              <w:t xml:space="preserve">Risk / </w:t>
            </w:r>
            <w:r w:rsidR="00C3716B" w:rsidRPr="00CD0FB3">
              <w:rPr>
                <w:rFonts w:asciiTheme="majorHAnsi" w:hAnsiTheme="majorHAnsi" w:cs="Arial"/>
                <w:b/>
                <w:sz w:val="22"/>
                <w:szCs w:val="22"/>
                <w:lang w:eastAsia="en-US"/>
              </w:rPr>
              <w:t>Low</w:t>
            </w:r>
            <w:r w:rsidRPr="00CD0FB3">
              <w:rPr>
                <w:rFonts w:asciiTheme="majorHAnsi" w:hAnsiTheme="majorHAnsi" w:cs="Arial"/>
                <w:b/>
                <w:sz w:val="22"/>
                <w:szCs w:val="22"/>
                <w:lang w:eastAsia="en-US"/>
              </w:rPr>
              <w:softHyphen/>
              <w:t xml:space="preserve"> Value</w:t>
            </w:r>
          </w:p>
        </w:tc>
      </w:tr>
      <w:tr w:rsidR="004C10EA" w:rsidRPr="00CD0FB3" w14:paraId="181BE651" w14:textId="77777777" w:rsidTr="00BC2063">
        <w:trPr>
          <w:cantSplit w:val="0"/>
        </w:trPr>
        <w:tc>
          <w:tcPr>
            <w:tcW w:w="9611" w:type="dxa"/>
            <w:shd w:val="clear" w:color="auto" w:fill="E0F3EF" w:themeFill="accent1" w:themeFillTint="33"/>
          </w:tcPr>
          <w:p w14:paraId="233735E9" w14:textId="77777777" w:rsidR="004C10EA" w:rsidRPr="00CD0FB3" w:rsidRDefault="004C10EA" w:rsidP="00C22300">
            <w:pPr>
              <w:tabs>
                <w:tab w:val="num" w:pos="568"/>
              </w:tabs>
              <w:spacing w:line="276" w:lineRule="auto"/>
              <w:rPr>
                <w:rFonts w:asciiTheme="majorHAnsi" w:hAnsiTheme="majorHAnsi" w:cs="Arial"/>
                <w:b/>
                <w:sz w:val="22"/>
                <w:szCs w:val="22"/>
                <w:lang w:eastAsia="en-US"/>
              </w:rPr>
            </w:pPr>
            <w:r w:rsidRPr="00CD0FB3">
              <w:rPr>
                <w:rFonts w:asciiTheme="majorHAnsi" w:hAnsiTheme="majorHAnsi" w:cs="Arial"/>
                <w:b/>
                <w:sz w:val="22"/>
                <w:szCs w:val="22"/>
                <w:lang w:eastAsia="en-US"/>
              </w:rPr>
              <w:t>Consultation:</w:t>
            </w:r>
            <w:r w:rsidR="00ED32D9" w:rsidRPr="00CD0FB3">
              <w:rPr>
                <w:rFonts w:asciiTheme="majorHAnsi" w:hAnsiTheme="majorHAnsi" w:cs="Arial"/>
                <w:b/>
                <w:sz w:val="22"/>
                <w:szCs w:val="22"/>
                <w:lang w:eastAsia="en-US"/>
              </w:rPr>
              <w:t xml:space="preserve"> HPD</w:t>
            </w:r>
            <w:r w:rsidR="00064D1B" w:rsidRPr="00CD0FB3">
              <w:rPr>
                <w:rFonts w:asciiTheme="majorHAnsi" w:hAnsiTheme="majorHAnsi" w:cs="Arial"/>
                <w:b/>
                <w:sz w:val="22"/>
                <w:szCs w:val="22"/>
                <w:lang w:eastAsia="en-US"/>
              </w:rPr>
              <w:t xml:space="preserve">, </w:t>
            </w:r>
            <w:r w:rsidR="00C22300" w:rsidRPr="00CD0FB3">
              <w:rPr>
                <w:rFonts w:asciiTheme="majorHAnsi" w:hAnsiTheme="majorHAnsi" w:cs="Arial"/>
                <w:b/>
                <w:sz w:val="22"/>
                <w:szCs w:val="22"/>
                <w:lang w:eastAsia="en-US"/>
              </w:rPr>
              <w:t>SED</w:t>
            </w:r>
          </w:p>
        </w:tc>
      </w:tr>
      <w:tr w:rsidR="004C10EA" w:rsidRPr="00CD0FB3" w14:paraId="44F954B8" w14:textId="77777777" w:rsidTr="00BC2063">
        <w:trPr>
          <w:cantSplit w:val="0"/>
        </w:trPr>
        <w:tc>
          <w:tcPr>
            <w:tcW w:w="9611" w:type="dxa"/>
            <w:shd w:val="clear" w:color="auto" w:fill="E0F3EF" w:themeFill="accent1" w:themeFillTint="33"/>
          </w:tcPr>
          <w:p w14:paraId="015F6D86" w14:textId="77777777" w:rsidR="004C10EA" w:rsidRPr="00CD0FB3" w:rsidRDefault="004C10EA" w:rsidP="0085445D">
            <w:pPr>
              <w:tabs>
                <w:tab w:val="num" w:pos="568"/>
              </w:tabs>
              <w:spacing w:line="276" w:lineRule="auto"/>
              <w:rPr>
                <w:rFonts w:asciiTheme="majorHAnsi" w:hAnsiTheme="majorHAnsi" w:cs="Arial"/>
                <w:b/>
                <w:sz w:val="22"/>
                <w:szCs w:val="22"/>
                <w:lang w:eastAsia="en-US"/>
              </w:rPr>
            </w:pPr>
            <w:r w:rsidRPr="00CD0FB3">
              <w:rPr>
                <w:rFonts w:asciiTheme="majorHAnsi" w:hAnsiTheme="majorHAnsi" w:cs="Arial"/>
                <w:b/>
                <w:sz w:val="22"/>
                <w:szCs w:val="22"/>
                <w:lang w:eastAsia="en-US"/>
              </w:rPr>
              <w:t xml:space="preserve">Proposed Design Pathway: </w:t>
            </w:r>
            <w:r w:rsidR="0085445D" w:rsidRPr="00CD0FB3">
              <w:rPr>
                <w:rFonts w:asciiTheme="majorHAnsi" w:hAnsiTheme="majorHAnsi" w:cs="Arial"/>
                <w:b/>
                <w:sz w:val="22"/>
                <w:szCs w:val="22"/>
                <w:lang w:eastAsia="en-US"/>
              </w:rPr>
              <w:t>DFAT-led design</w:t>
            </w:r>
          </w:p>
        </w:tc>
      </w:tr>
      <w:tr w:rsidR="00966957" w:rsidRPr="00CD0FB3" w14:paraId="5D8BBEE4" w14:textId="77777777" w:rsidTr="00BC2063">
        <w:tblPrEx>
          <w:shd w:val="clear" w:color="auto" w:fill="auto"/>
        </w:tblPrEx>
        <w:trPr>
          <w:trHeight w:val="360"/>
        </w:trPr>
        <w:tc>
          <w:tcPr>
            <w:tcW w:w="9611" w:type="dxa"/>
            <w:shd w:val="clear" w:color="auto" w:fill="E0F3EF" w:themeFill="accent1" w:themeFillTint="33"/>
          </w:tcPr>
          <w:p w14:paraId="2C33E2AD" w14:textId="5C43CB4D" w:rsidR="00966957" w:rsidRPr="00CD0FB3" w:rsidRDefault="00966957" w:rsidP="00DA30F5">
            <w:pPr>
              <w:tabs>
                <w:tab w:val="num" w:pos="568"/>
              </w:tabs>
              <w:spacing w:line="276" w:lineRule="auto"/>
              <w:rPr>
                <w:rFonts w:asciiTheme="majorHAnsi" w:hAnsiTheme="majorHAnsi" w:cs="Arial"/>
                <w:b/>
                <w:sz w:val="22"/>
                <w:szCs w:val="22"/>
                <w:lang w:eastAsia="en-US"/>
              </w:rPr>
            </w:pPr>
            <w:r w:rsidRPr="00CD0FB3">
              <w:rPr>
                <w:rFonts w:asciiTheme="majorHAnsi" w:hAnsiTheme="majorHAnsi" w:cs="Arial"/>
                <w:b/>
                <w:sz w:val="22"/>
                <w:szCs w:val="22"/>
                <w:lang w:eastAsia="en-US"/>
              </w:rPr>
              <w:t xml:space="preserve">Delegate approving concept: </w:t>
            </w:r>
            <w:r w:rsidR="00DA30F5">
              <w:rPr>
                <w:rFonts w:asciiTheme="majorHAnsi" w:hAnsiTheme="majorHAnsi" w:cs="Arial"/>
                <w:b/>
                <w:sz w:val="22"/>
                <w:szCs w:val="22"/>
                <w:lang w:eastAsia="en-US"/>
              </w:rPr>
              <w:t xml:space="preserve">Minister Counsellor </w:t>
            </w:r>
            <w:r w:rsidR="0085445D" w:rsidRPr="00CD0FB3">
              <w:rPr>
                <w:rFonts w:asciiTheme="majorHAnsi" w:hAnsiTheme="majorHAnsi" w:cs="Arial"/>
                <w:b/>
                <w:sz w:val="22"/>
                <w:szCs w:val="22"/>
                <w:lang w:eastAsia="en-US"/>
              </w:rPr>
              <w:t xml:space="preserve">(Post) and </w:t>
            </w:r>
            <w:r w:rsidR="00DA30F5">
              <w:rPr>
                <w:rFonts w:asciiTheme="majorHAnsi" w:hAnsiTheme="majorHAnsi" w:cs="Arial"/>
                <w:b/>
                <w:sz w:val="22"/>
                <w:szCs w:val="22"/>
                <w:lang w:eastAsia="en-US"/>
              </w:rPr>
              <w:t xml:space="preserve">Assistant Secretary </w:t>
            </w:r>
            <w:r w:rsidR="0085445D" w:rsidRPr="00CD0FB3">
              <w:rPr>
                <w:rFonts w:asciiTheme="majorHAnsi" w:hAnsiTheme="majorHAnsi" w:cs="Arial"/>
                <w:b/>
                <w:sz w:val="22"/>
                <w:szCs w:val="22"/>
                <w:lang w:eastAsia="en-US"/>
              </w:rPr>
              <w:t>(Desk)</w:t>
            </w:r>
          </w:p>
        </w:tc>
      </w:tr>
    </w:tbl>
    <w:p w14:paraId="55272BEF" w14:textId="77777777" w:rsidR="004C10EA" w:rsidRPr="00CD0FB3" w:rsidRDefault="004C10EA" w:rsidP="004C10EA">
      <w:pPr>
        <w:tabs>
          <w:tab w:val="num" w:pos="568"/>
        </w:tabs>
        <w:spacing w:line="276" w:lineRule="auto"/>
        <w:rPr>
          <w:rFonts w:asciiTheme="majorHAnsi" w:eastAsia="Times New Roman" w:hAnsiTheme="majorHAnsi" w:cs="Arial"/>
        </w:rPr>
      </w:pPr>
    </w:p>
    <w:tbl>
      <w:tblPr>
        <w:tblStyle w:val="Tablewithnoheader"/>
        <w:tblW w:w="0" w:type="auto"/>
        <w:tblLook w:val="04A0" w:firstRow="1" w:lastRow="0" w:firstColumn="1" w:lastColumn="0" w:noHBand="0" w:noVBand="1"/>
      </w:tblPr>
      <w:tblGrid>
        <w:gridCol w:w="9606"/>
      </w:tblGrid>
      <w:tr w:rsidR="004C10EA" w:rsidRPr="00CD0FB3" w14:paraId="1310D398" w14:textId="77777777" w:rsidTr="00DC348A">
        <w:trPr>
          <w:cantSplit w:val="0"/>
        </w:trPr>
        <w:tc>
          <w:tcPr>
            <w:tcW w:w="9606" w:type="dxa"/>
            <w:tcBorders>
              <w:bottom w:val="single" w:sz="4" w:space="0" w:color="808080"/>
            </w:tcBorders>
            <w:shd w:val="clear" w:color="auto" w:fill="E0F3EF" w:themeFill="accent1" w:themeFillTint="33"/>
          </w:tcPr>
          <w:p w14:paraId="5ACD5A5F" w14:textId="77777777" w:rsidR="004C10EA" w:rsidRPr="00CD0FB3" w:rsidRDefault="004C10EA" w:rsidP="00D80DA1">
            <w:pPr>
              <w:tabs>
                <w:tab w:val="num" w:pos="568"/>
              </w:tabs>
              <w:spacing w:line="276" w:lineRule="auto"/>
              <w:rPr>
                <w:rFonts w:asciiTheme="majorHAnsi" w:hAnsiTheme="majorHAnsi" w:cs="Arial"/>
                <w:sz w:val="22"/>
                <w:szCs w:val="22"/>
                <w:lang w:eastAsia="en-US"/>
              </w:rPr>
            </w:pPr>
            <w:r w:rsidRPr="00CD0FB3">
              <w:rPr>
                <w:rFonts w:asciiTheme="majorHAnsi" w:hAnsiTheme="majorHAnsi" w:cs="Arial"/>
                <w:b/>
                <w:sz w:val="22"/>
                <w:szCs w:val="22"/>
                <w:lang w:eastAsia="en-US"/>
              </w:rPr>
              <w:t xml:space="preserve">B: Problem/Issue definition and rationale for investment (Why)  </w:t>
            </w:r>
          </w:p>
        </w:tc>
      </w:tr>
      <w:tr w:rsidR="004C10EA" w:rsidRPr="00CD0FB3" w14:paraId="178FDF97" w14:textId="77777777" w:rsidTr="00DC348A">
        <w:trPr>
          <w:cantSplit w:val="0"/>
        </w:trPr>
        <w:tc>
          <w:tcPr>
            <w:tcW w:w="9606" w:type="dxa"/>
          </w:tcPr>
          <w:p w14:paraId="079222F9" w14:textId="77777777" w:rsidR="00C51A11" w:rsidRPr="00CD0FB3" w:rsidRDefault="00C51A11" w:rsidP="005A042F">
            <w:pPr>
              <w:suppressAutoHyphens w:val="0"/>
              <w:spacing w:after="0" w:line="276" w:lineRule="auto"/>
              <w:rPr>
                <w:rFonts w:asciiTheme="majorHAnsi" w:hAnsiTheme="majorHAnsi" w:cs="Arial"/>
              </w:rPr>
            </w:pPr>
            <w:r w:rsidRPr="00CD0FB3">
              <w:rPr>
                <w:rFonts w:asciiTheme="majorHAnsi" w:hAnsiTheme="majorHAnsi" w:cs="Arial"/>
              </w:rPr>
              <w:t xml:space="preserve">Indonesia is one of the most natural disaster-prone countries in the world due to its hazard profile and high population exposure. Natural disasters not only cause significant loss of life and social impacts, they undermine, or even reverse, economic and development gains. </w:t>
            </w:r>
            <w:r w:rsidR="000D6AD7" w:rsidRPr="00CD0FB3">
              <w:rPr>
                <w:rFonts w:asciiTheme="majorHAnsi" w:hAnsiTheme="majorHAnsi" w:cs="Arial"/>
              </w:rPr>
              <w:t>T</w:t>
            </w:r>
            <w:r w:rsidR="00A852DC" w:rsidRPr="00CD0FB3">
              <w:rPr>
                <w:rFonts w:asciiTheme="majorHAnsi" w:hAnsiTheme="majorHAnsi" w:cs="Arial"/>
              </w:rPr>
              <w:t>he economic impact of natural disasters can reach 0.3% of national GDP and up to 45% of provincial level GDP</w:t>
            </w:r>
            <w:r w:rsidR="000D6AD7" w:rsidRPr="00CD0FB3">
              <w:rPr>
                <w:rFonts w:asciiTheme="majorHAnsi" w:hAnsiTheme="majorHAnsi" w:cs="Arial"/>
              </w:rPr>
              <w:t xml:space="preserve"> - i</w:t>
            </w:r>
            <w:r w:rsidRPr="00CD0FB3">
              <w:rPr>
                <w:rFonts w:asciiTheme="majorHAnsi" w:hAnsiTheme="majorHAnsi" w:cs="Arial"/>
              </w:rPr>
              <w:t xml:space="preserve">mpacts at sub-national level </w:t>
            </w:r>
            <w:r w:rsidR="00FB6A4A" w:rsidRPr="00CD0FB3">
              <w:rPr>
                <w:rFonts w:asciiTheme="majorHAnsi" w:hAnsiTheme="majorHAnsi" w:cs="Arial"/>
              </w:rPr>
              <w:t>can be particularly acute</w:t>
            </w:r>
            <w:r w:rsidRPr="00CD0FB3">
              <w:rPr>
                <w:rFonts w:asciiTheme="majorHAnsi" w:hAnsiTheme="majorHAnsi" w:cs="Arial"/>
              </w:rPr>
              <w:t xml:space="preserve">. </w:t>
            </w:r>
          </w:p>
          <w:p w14:paraId="0C545924" w14:textId="77777777" w:rsidR="00C51A11" w:rsidRPr="00CD0FB3" w:rsidRDefault="00C51A11" w:rsidP="005A042F">
            <w:pPr>
              <w:suppressAutoHyphens w:val="0"/>
              <w:spacing w:after="0" w:line="276" w:lineRule="auto"/>
              <w:rPr>
                <w:rFonts w:asciiTheme="majorHAnsi" w:hAnsiTheme="majorHAnsi" w:cs="Arial"/>
              </w:rPr>
            </w:pPr>
            <w:r w:rsidRPr="00CD0FB3">
              <w:rPr>
                <w:rFonts w:asciiTheme="majorHAnsi" w:hAnsiTheme="majorHAnsi" w:cs="Arial"/>
              </w:rPr>
              <w:t>In recognition of this risk, disaster risk management</w:t>
            </w:r>
            <w:r w:rsidR="005A042F" w:rsidRPr="00CD0FB3">
              <w:rPr>
                <w:rFonts w:asciiTheme="majorHAnsi" w:hAnsiTheme="majorHAnsi" w:cs="Arial"/>
              </w:rPr>
              <w:t xml:space="preserve"> (DRM)</w:t>
            </w:r>
            <w:r w:rsidRPr="00CD0FB3">
              <w:rPr>
                <w:rFonts w:asciiTheme="majorHAnsi" w:hAnsiTheme="majorHAnsi" w:cs="Arial"/>
              </w:rPr>
              <w:t xml:space="preserve">, </w:t>
            </w:r>
            <w:r w:rsidR="005A042F" w:rsidRPr="00CD0FB3">
              <w:rPr>
                <w:rFonts w:asciiTheme="majorHAnsi" w:hAnsiTheme="majorHAnsi" w:cs="Arial"/>
              </w:rPr>
              <w:t xml:space="preserve">including </w:t>
            </w:r>
            <w:r w:rsidRPr="00CD0FB3">
              <w:rPr>
                <w:rFonts w:asciiTheme="majorHAnsi" w:hAnsiTheme="majorHAnsi" w:cs="Arial"/>
              </w:rPr>
              <w:t>preparedness and response</w:t>
            </w:r>
            <w:r w:rsidR="005A042F" w:rsidRPr="00CD0FB3">
              <w:rPr>
                <w:rFonts w:asciiTheme="majorHAnsi" w:hAnsiTheme="majorHAnsi" w:cs="Arial"/>
              </w:rPr>
              <w:t>,</w:t>
            </w:r>
            <w:r w:rsidRPr="00CD0FB3">
              <w:rPr>
                <w:rFonts w:asciiTheme="majorHAnsi" w:hAnsiTheme="majorHAnsi" w:cs="Arial"/>
              </w:rPr>
              <w:t xml:space="preserve"> </w:t>
            </w:r>
            <w:r w:rsidR="00DD5B94" w:rsidRPr="00CD0FB3">
              <w:rPr>
                <w:rFonts w:asciiTheme="majorHAnsi" w:hAnsiTheme="majorHAnsi" w:cs="Arial"/>
              </w:rPr>
              <w:t xml:space="preserve">is </w:t>
            </w:r>
            <w:r w:rsidRPr="00CD0FB3">
              <w:rPr>
                <w:rFonts w:asciiTheme="majorHAnsi" w:hAnsiTheme="majorHAnsi" w:cs="Arial"/>
              </w:rPr>
              <w:t>critically important for the Government of Indonesia (GOI) and the people of Indonesia</w:t>
            </w:r>
            <w:r w:rsidR="00064D1B" w:rsidRPr="00CD0FB3">
              <w:rPr>
                <w:rFonts w:asciiTheme="majorHAnsi" w:hAnsiTheme="majorHAnsi" w:cs="Arial"/>
              </w:rPr>
              <w:t xml:space="preserve">. </w:t>
            </w:r>
            <w:r w:rsidR="005A042F" w:rsidRPr="00CD0FB3">
              <w:rPr>
                <w:rFonts w:asciiTheme="majorHAnsi" w:hAnsiTheme="majorHAnsi" w:cs="Arial"/>
              </w:rPr>
              <w:t xml:space="preserve">DRM features strongly in </w:t>
            </w:r>
            <w:r w:rsidR="00694637" w:rsidRPr="00CD0FB3">
              <w:rPr>
                <w:rFonts w:asciiTheme="majorHAnsi" w:hAnsiTheme="majorHAnsi" w:cs="Arial"/>
              </w:rPr>
              <w:t xml:space="preserve">Indonesia’s </w:t>
            </w:r>
            <w:r w:rsidR="00FB6A4A" w:rsidRPr="00CD0FB3">
              <w:rPr>
                <w:rFonts w:asciiTheme="majorHAnsi" w:hAnsiTheme="majorHAnsi" w:cs="Arial"/>
              </w:rPr>
              <w:t>development plans. T</w:t>
            </w:r>
            <w:r w:rsidR="00694637" w:rsidRPr="00CD0FB3">
              <w:rPr>
                <w:rFonts w:asciiTheme="majorHAnsi" w:hAnsiTheme="majorHAnsi" w:cs="Arial"/>
              </w:rPr>
              <w:t xml:space="preserve">he </w:t>
            </w:r>
            <w:r w:rsidRPr="00CD0FB3">
              <w:rPr>
                <w:rFonts w:asciiTheme="majorHAnsi" w:hAnsiTheme="majorHAnsi" w:cs="Arial"/>
              </w:rPr>
              <w:t>National Medium-Term Development Plan</w:t>
            </w:r>
            <w:r w:rsidR="00694637" w:rsidRPr="00CD0FB3">
              <w:rPr>
                <w:rFonts w:asciiTheme="majorHAnsi" w:hAnsiTheme="majorHAnsi" w:cs="Arial"/>
              </w:rPr>
              <w:t xml:space="preserve"> (RPJMN)</w:t>
            </w:r>
            <w:r w:rsidRPr="00CD0FB3">
              <w:rPr>
                <w:rFonts w:asciiTheme="majorHAnsi" w:hAnsiTheme="majorHAnsi" w:cs="Arial"/>
              </w:rPr>
              <w:t xml:space="preserve"> 2015-2019</w:t>
            </w:r>
            <w:r w:rsidR="00FB6A4A" w:rsidRPr="00CD0FB3">
              <w:rPr>
                <w:rFonts w:asciiTheme="majorHAnsi" w:hAnsiTheme="majorHAnsi" w:cs="Arial"/>
              </w:rPr>
              <w:t xml:space="preserve"> established</w:t>
            </w:r>
            <w:r w:rsidRPr="00CD0FB3">
              <w:rPr>
                <w:rFonts w:asciiTheme="majorHAnsi" w:hAnsiTheme="majorHAnsi" w:cs="Arial"/>
              </w:rPr>
              <w:t xml:space="preserve"> clear target to reduce the disaster risk in centre</w:t>
            </w:r>
            <w:r w:rsidR="00064D1B" w:rsidRPr="00CD0FB3">
              <w:rPr>
                <w:rFonts w:asciiTheme="majorHAnsi" w:hAnsiTheme="majorHAnsi" w:cs="Arial"/>
              </w:rPr>
              <w:t>s</w:t>
            </w:r>
            <w:r w:rsidRPr="00CD0FB3">
              <w:rPr>
                <w:rFonts w:asciiTheme="majorHAnsi" w:hAnsiTheme="majorHAnsi" w:cs="Arial"/>
              </w:rPr>
              <w:t xml:space="preserve"> of economic growth. </w:t>
            </w:r>
          </w:p>
          <w:p w14:paraId="1AEC73C7" w14:textId="77777777" w:rsidR="00C51A11" w:rsidRPr="00CD0FB3" w:rsidRDefault="00C51A11" w:rsidP="005A042F">
            <w:pPr>
              <w:suppressAutoHyphens w:val="0"/>
              <w:spacing w:after="0" w:line="276" w:lineRule="auto"/>
              <w:rPr>
                <w:rFonts w:asciiTheme="majorHAnsi" w:hAnsiTheme="majorHAnsi" w:cs="Arial"/>
              </w:rPr>
            </w:pPr>
            <w:r w:rsidRPr="00CD0FB3">
              <w:rPr>
                <w:rFonts w:asciiTheme="majorHAnsi" w:hAnsiTheme="majorHAnsi" w:cs="Arial"/>
              </w:rPr>
              <w:t xml:space="preserve">Since the 2004 Indian Ocean tsunami, there </w:t>
            </w:r>
            <w:r w:rsidR="005A042F" w:rsidRPr="00CD0FB3">
              <w:rPr>
                <w:rFonts w:asciiTheme="majorHAnsi" w:hAnsiTheme="majorHAnsi" w:cs="Arial"/>
              </w:rPr>
              <w:t xml:space="preserve">have </w:t>
            </w:r>
            <w:r w:rsidRPr="00CD0FB3">
              <w:rPr>
                <w:rFonts w:asciiTheme="majorHAnsi" w:hAnsiTheme="majorHAnsi" w:cs="Arial"/>
              </w:rPr>
              <w:t xml:space="preserve">been </w:t>
            </w:r>
            <w:r w:rsidR="00DD5B94" w:rsidRPr="00CD0FB3">
              <w:rPr>
                <w:rFonts w:asciiTheme="majorHAnsi" w:hAnsiTheme="majorHAnsi" w:cs="Arial"/>
              </w:rPr>
              <w:t xml:space="preserve">major </w:t>
            </w:r>
            <w:r w:rsidRPr="00CD0FB3">
              <w:rPr>
                <w:rFonts w:asciiTheme="majorHAnsi" w:hAnsiTheme="majorHAnsi" w:cs="Arial"/>
              </w:rPr>
              <w:t xml:space="preserve">investments to build Indonesia’s DRM capacity. Significant GOI resources now support disaster response activities, and improvements have been made in disaster related regulations and response capacity at the national </w:t>
            </w:r>
            <w:r w:rsidR="00CF4DEC" w:rsidRPr="00CD0FB3">
              <w:rPr>
                <w:rFonts w:asciiTheme="majorHAnsi" w:hAnsiTheme="majorHAnsi" w:cs="Arial"/>
              </w:rPr>
              <w:t>level.</w:t>
            </w:r>
            <w:r w:rsidR="00FB6A4A" w:rsidRPr="00CD0FB3">
              <w:rPr>
                <w:rFonts w:asciiTheme="majorHAnsi" w:hAnsiTheme="majorHAnsi" w:cs="Arial"/>
              </w:rPr>
              <w:t xml:space="preserve"> Indonesian civil society</w:t>
            </w:r>
            <w:r w:rsidR="0064468B" w:rsidRPr="00CD0FB3">
              <w:rPr>
                <w:rFonts w:asciiTheme="majorHAnsi" w:hAnsiTheme="majorHAnsi" w:cs="Arial"/>
              </w:rPr>
              <w:t xml:space="preserve"> </w:t>
            </w:r>
            <w:r w:rsidR="00130904" w:rsidRPr="00CD0FB3">
              <w:rPr>
                <w:rFonts w:asciiTheme="majorHAnsi" w:hAnsiTheme="majorHAnsi" w:cs="Arial"/>
              </w:rPr>
              <w:t xml:space="preserve">has also established </w:t>
            </w:r>
            <w:r w:rsidR="00FB6A4A" w:rsidRPr="00CD0FB3">
              <w:rPr>
                <w:rFonts w:asciiTheme="majorHAnsi" w:hAnsiTheme="majorHAnsi" w:cs="Arial"/>
              </w:rPr>
              <w:t xml:space="preserve">cadre throughout Indonesia and </w:t>
            </w:r>
            <w:r w:rsidR="0064468B" w:rsidRPr="00CD0FB3">
              <w:rPr>
                <w:rFonts w:asciiTheme="majorHAnsi" w:hAnsiTheme="majorHAnsi" w:cs="Arial"/>
              </w:rPr>
              <w:t>is</w:t>
            </w:r>
            <w:r w:rsidR="00FB6A4A" w:rsidRPr="00CD0FB3">
              <w:rPr>
                <w:rFonts w:asciiTheme="majorHAnsi" w:hAnsiTheme="majorHAnsi" w:cs="Arial"/>
              </w:rPr>
              <w:t xml:space="preserve"> an important part of Indonesia’s capability.    </w:t>
            </w:r>
            <w:r w:rsidR="00CF4DEC" w:rsidRPr="00CD0FB3">
              <w:rPr>
                <w:rFonts w:asciiTheme="majorHAnsi" w:hAnsiTheme="majorHAnsi" w:cs="Arial"/>
              </w:rPr>
              <w:t xml:space="preserve"> </w:t>
            </w:r>
          </w:p>
          <w:p w14:paraId="7C224785" w14:textId="722652EE" w:rsidR="005A042F" w:rsidRPr="00CD0FB3" w:rsidRDefault="0059750B" w:rsidP="005A042F">
            <w:pPr>
              <w:suppressAutoHyphens w:val="0"/>
              <w:spacing w:after="0" w:line="276" w:lineRule="auto"/>
              <w:rPr>
                <w:rFonts w:asciiTheme="majorHAnsi" w:hAnsiTheme="majorHAnsi" w:cs="Arial"/>
              </w:rPr>
            </w:pPr>
            <w:r w:rsidRPr="00CD0FB3">
              <w:rPr>
                <w:rFonts w:asciiTheme="majorHAnsi" w:hAnsiTheme="majorHAnsi" w:cs="Arial"/>
              </w:rPr>
              <w:t>D</w:t>
            </w:r>
            <w:r w:rsidR="005A042F" w:rsidRPr="00CD0FB3">
              <w:rPr>
                <w:rFonts w:asciiTheme="majorHAnsi" w:hAnsiTheme="majorHAnsi" w:cs="Arial"/>
              </w:rPr>
              <w:t xml:space="preserve">espite </w:t>
            </w:r>
            <w:r w:rsidR="00FD4D41" w:rsidRPr="00CD0FB3">
              <w:rPr>
                <w:rFonts w:asciiTheme="majorHAnsi" w:hAnsiTheme="majorHAnsi" w:cs="Arial"/>
              </w:rPr>
              <w:t xml:space="preserve">this </w:t>
            </w:r>
            <w:r w:rsidR="005A042F" w:rsidRPr="00CD0FB3">
              <w:rPr>
                <w:rFonts w:asciiTheme="majorHAnsi" w:hAnsiTheme="majorHAnsi" w:cs="Arial"/>
              </w:rPr>
              <w:t>progress</w:t>
            </w:r>
            <w:r w:rsidR="009E766C" w:rsidRPr="00CD0FB3">
              <w:rPr>
                <w:rFonts w:asciiTheme="majorHAnsi" w:hAnsiTheme="majorHAnsi" w:cs="Arial"/>
              </w:rPr>
              <w:t>,</w:t>
            </w:r>
            <w:r w:rsidR="005A042F" w:rsidRPr="00CD0FB3">
              <w:rPr>
                <w:rFonts w:asciiTheme="majorHAnsi" w:hAnsiTheme="majorHAnsi" w:cs="Arial"/>
              </w:rPr>
              <w:t xml:space="preserve"> capability gaps still exist. </w:t>
            </w:r>
            <w:r w:rsidR="00FD4D41" w:rsidRPr="00CD0FB3">
              <w:rPr>
                <w:rFonts w:asciiTheme="majorHAnsi" w:hAnsiTheme="majorHAnsi" w:cs="Arial"/>
              </w:rPr>
              <w:t>A number of</w:t>
            </w:r>
            <w:r w:rsidR="005A042F" w:rsidRPr="00CD0FB3">
              <w:rPr>
                <w:rFonts w:asciiTheme="majorHAnsi" w:hAnsiTheme="majorHAnsi" w:cs="Arial"/>
              </w:rPr>
              <w:t xml:space="preserve"> issues </w:t>
            </w:r>
            <w:r w:rsidR="00FD4D41" w:rsidRPr="00CD0FB3">
              <w:rPr>
                <w:rFonts w:asciiTheme="majorHAnsi" w:hAnsiTheme="majorHAnsi" w:cs="Arial"/>
              </w:rPr>
              <w:t xml:space="preserve">need </w:t>
            </w:r>
            <w:r w:rsidR="005A042F" w:rsidRPr="00CD0FB3">
              <w:rPr>
                <w:rFonts w:asciiTheme="majorHAnsi" w:hAnsiTheme="majorHAnsi" w:cs="Arial"/>
              </w:rPr>
              <w:t xml:space="preserve">to be addressed for the government to get a reasonable return on its significant investment and for disaster risks to be dealt with effectively, even for small- to medium-scale disasters. </w:t>
            </w:r>
            <w:r w:rsidR="00794EB4" w:rsidRPr="00CD0FB3">
              <w:rPr>
                <w:rFonts w:asciiTheme="majorHAnsi" w:hAnsiTheme="majorHAnsi" w:cs="Arial"/>
              </w:rPr>
              <w:t>For example</w:t>
            </w:r>
            <w:r w:rsidR="0064468B" w:rsidRPr="00CD0FB3">
              <w:rPr>
                <w:rFonts w:asciiTheme="majorHAnsi" w:hAnsiTheme="majorHAnsi" w:cs="Arial"/>
              </w:rPr>
              <w:t>:</w:t>
            </w:r>
            <w:r w:rsidR="005A042F" w:rsidRPr="00CD0FB3">
              <w:rPr>
                <w:rFonts w:asciiTheme="majorHAnsi" w:hAnsiTheme="majorHAnsi" w:cs="Arial"/>
              </w:rPr>
              <w:t xml:space="preserve"> </w:t>
            </w:r>
          </w:p>
          <w:p w14:paraId="4A1EBC4A" w14:textId="5E7D1F0E" w:rsidR="005A042F" w:rsidRPr="00CD0FB3" w:rsidRDefault="002B000A" w:rsidP="005A042F">
            <w:pPr>
              <w:numPr>
                <w:ilvl w:val="0"/>
                <w:numId w:val="35"/>
              </w:numPr>
              <w:suppressAutoHyphens w:val="0"/>
              <w:spacing w:after="0" w:line="276" w:lineRule="auto"/>
              <w:rPr>
                <w:rFonts w:asciiTheme="majorHAnsi" w:hAnsiTheme="majorHAnsi" w:cs="Arial"/>
              </w:rPr>
            </w:pPr>
            <w:r>
              <w:rPr>
                <w:rFonts w:asciiTheme="majorHAnsi" w:hAnsiTheme="majorHAnsi" w:cs="Arial"/>
              </w:rPr>
              <w:t>National Disaster Management Authority’s (</w:t>
            </w:r>
            <w:r w:rsidR="005A042F" w:rsidRPr="00CD0FB3">
              <w:rPr>
                <w:rFonts w:asciiTheme="majorHAnsi" w:hAnsiTheme="majorHAnsi" w:cs="Arial"/>
              </w:rPr>
              <w:t>BNPB</w:t>
            </w:r>
            <w:r>
              <w:rPr>
                <w:rFonts w:asciiTheme="majorHAnsi" w:hAnsiTheme="majorHAnsi" w:cs="Arial"/>
              </w:rPr>
              <w:t>)</w:t>
            </w:r>
            <w:r w:rsidR="005A042F" w:rsidRPr="00CD0FB3">
              <w:rPr>
                <w:rFonts w:asciiTheme="majorHAnsi" w:hAnsiTheme="majorHAnsi" w:cs="Arial"/>
              </w:rPr>
              <w:t xml:space="preserve"> key role is </w:t>
            </w:r>
            <w:r w:rsidR="005A042F" w:rsidRPr="00CD0FB3">
              <w:rPr>
                <w:rFonts w:asciiTheme="majorHAnsi" w:hAnsiTheme="majorHAnsi" w:cs="Arial"/>
                <w:i/>
              </w:rPr>
              <w:t>coordination</w:t>
            </w:r>
            <w:r w:rsidR="005A042F" w:rsidRPr="00CD0FB3">
              <w:rPr>
                <w:rFonts w:asciiTheme="majorHAnsi" w:hAnsiTheme="majorHAnsi" w:cs="Arial"/>
              </w:rPr>
              <w:t xml:space="preserve">; </w:t>
            </w:r>
            <w:r w:rsidR="00452635" w:rsidRPr="00CD0FB3">
              <w:rPr>
                <w:rFonts w:asciiTheme="majorHAnsi" w:hAnsiTheme="majorHAnsi" w:cs="Arial"/>
              </w:rPr>
              <w:t xml:space="preserve">there is a need to </w:t>
            </w:r>
            <w:r w:rsidR="00CD0FB3">
              <w:rPr>
                <w:rFonts w:asciiTheme="majorHAnsi" w:hAnsiTheme="majorHAnsi" w:cs="Arial"/>
              </w:rPr>
              <w:t xml:space="preserve">help </w:t>
            </w:r>
            <w:r w:rsidR="00452635" w:rsidRPr="00CD0FB3">
              <w:rPr>
                <w:rFonts w:asciiTheme="majorHAnsi" w:hAnsiTheme="majorHAnsi" w:cs="Arial"/>
              </w:rPr>
              <w:t xml:space="preserve">strengthen national and subnational coordination </w:t>
            </w:r>
            <w:r w:rsidR="00CD0FB3">
              <w:rPr>
                <w:rFonts w:asciiTheme="majorHAnsi" w:hAnsiTheme="majorHAnsi" w:cs="Arial"/>
              </w:rPr>
              <w:t xml:space="preserve">due to its </w:t>
            </w:r>
            <w:r w:rsidR="00452635" w:rsidRPr="00CD0FB3">
              <w:rPr>
                <w:rFonts w:asciiTheme="majorHAnsi" w:hAnsiTheme="majorHAnsi" w:cs="Arial"/>
              </w:rPr>
              <w:t>complex</w:t>
            </w:r>
            <w:r w:rsidR="00CD0FB3">
              <w:rPr>
                <w:rFonts w:asciiTheme="majorHAnsi" w:hAnsiTheme="majorHAnsi" w:cs="Arial"/>
              </w:rPr>
              <w:t>ity</w:t>
            </w:r>
            <w:r w:rsidR="00452635" w:rsidRPr="00CD0FB3">
              <w:rPr>
                <w:rFonts w:asciiTheme="majorHAnsi" w:hAnsiTheme="majorHAnsi" w:cs="Arial"/>
              </w:rPr>
              <w:t xml:space="preserve"> </w:t>
            </w:r>
            <w:r w:rsidR="00CD0FB3">
              <w:rPr>
                <w:rFonts w:asciiTheme="majorHAnsi" w:hAnsiTheme="majorHAnsi" w:cs="Arial"/>
              </w:rPr>
              <w:t xml:space="preserve">involving </w:t>
            </w:r>
            <w:r w:rsidR="005A042F" w:rsidRPr="00CD0FB3">
              <w:rPr>
                <w:rFonts w:asciiTheme="majorHAnsi" w:hAnsiTheme="majorHAnsi" w:cs="Arial"/>
              </w:rPr>
              <w:t xml:space="preserve">35 ministries and government agencies </w:t>
            </w:r>
            <w:r w:rsidR="00CD0FB3">
              <w:rPr>
                <w:rFonts w:asciiTheme="majorHAnsi" w:hAnsiTheme="majorHAnsi" w:cs="Arial"/>
              </w:rPr>
              <w:t xml:space="preserve">who </w:t>
            </w:r>
            <w:r w:rsidR="005A042F" w:rsidRPr="00CD0FB3">
              <w:rPr>
                <w:rFonts w:asciiTheme="majorHAnsi" w:hAnsiTheme="majorHAnsi" w:cs="Arial"/>
              </w:rPr>
              <w:t xml:space="preserve">have </w:t>
            </w:r>
            <w:r w:rsidR="00694637" w:rsidRPr="00CD0FB3">
              <w:rPr>
                <w:rFonts w:asciiTheme="majorHAnsi" w:hAnsiTheme="majorHAnsi" w:cs="Arial"/>
              </w:rPr>
              <w:t xml:space="preserve">a </w:t>
            </w:r>
            <w:r w:rsidR="005A042F" w:rsidRPr="00CD0FB3">
              <w:rPr>
                <w:rFonts w:asciiTheme="majorHAnsi" w:hAnsiTheme="majorHAnsi" w:cs="Arial"/>
              </w:rPr>
              <w:t xml:space="preserve">role in DRM. </w:t>
            </w:r>
            <w:r w:rsidR="00452635" w:rsidRPr="00CD0FB3">
              <w:rPr>
                <w:rFonts w:asciiTheme="majorHAnsi" w:hAnsiTheme="majorHAnsi" w:cs="Arial"/>
              </w:rPr>
              <w:t xml:space="preserve">Strong coordination and communication is crucial for effective DRM. </w:t>
            </w:r>
          </w:p>
          <w:p w14:paraId="182A5035" w14:textId="2D5CA02F" w:rsidR="005A042F" w:rsidRPr="00CD0FB3" w:rsidRDefault="005A042F" w:rsidP="005A042F">
            <w:pPr>
              <w:numPr>
                <w:ilvl w:val="0"/>
                <w:numId w:val="35"/>
              </w:numPr>
              <w:suppressAutoHyphens w:val="0"/>
              <w:spacing w:after="0" w:line="276" w:lineRule="auto"/>
              <w:rPr>
                <w:rFonts w:asciiTheme="majorHAnsi" w:hAnsiTheme="majorHAnsi" w:cs="Arial"/>
              </w:rPr>
            </w:pPr>
            <w:r w:rsidRPr="00CD0FB3">
              <w:rPr>
                <w:rFonts w:asciiTheme="majorHAnsi" w:hAnsiTheme="majorHAnsi" w:cs="Arial"/>
              </w:rPr>
              <w:t xml:space="preserve">At </w:t>
            </w:r>
            <w:r w:rsidRPr="00CD0FB3">
              <w:rPr>
                <w:rFonts w:asciiTheme="majorHAnsi" w:hAnsiTheme="majorHAnsi" w:cs="Arial"/>
                <w:i/>
              </w:rPr>
              <w:t>local and provincial level</w:t>
            </w:r>
            <w:r w:rsidRPr="00CD0FB3">
              <w:rPr>
                <w:rFonts w:asciiTheme="majorHAnsi" w:hAnsiTheme="majorHAnsi" w:cs="Arial"/>
              </w:rPr>
              <w:t xml:space="preserve">, governments are less prepared to deliver an effective, timely and coordinated response. </w:t>
            </w:r>
            <w:r w:rsidR="00CE247D" w:rsidRPr="00CD0FB3">
              <w:rPr>
                <w:rFonts w:asciiTheme="majorHAnsi" w:hAnsiTheme="majorHAnsi" w:cs="Arial"/>
              </w:rPr>
              <w:t xml:space="preserve">The capability of </w:t>
            </w:r>
            <w:r w:rsidRPr="00CD0FB3">
              <w:rPr>
                <w:rFonts w:asciiTheme="majorHAnsi" w:hAnsiTheme="majorHAnsi" w:cs="Arial"/>
              </w:rPr>
              <w:t xml:space="preserve">Provincial and District </w:t>
            </w:r>
            <w:r w:rsidR="00FD4D41" w:rsidRPr="00CD0FB3">
              <w:rPr>
                <w:rFonts w:asciiTheme="majorHAnsi" w:hAnsiTheme="majorHAnsi" w:cs="Arial"/>
              </w:rPr>
              <w:t>a</w:t>
            </w:r>
            <w:r w:rsidRPr="00CD0FB3">
              <w:rPr>
                <w:rFonts w:asciiTheme="majorHAnsi" w:hAnsiTheme="majorHAnsi" w:cs="Arial"/>
              </w:rPr>
              <w:t xml:space="preserve">gencies (BPBD) to </w:t>
            </w:r>
            <w:r w:rsidR="00FD4D41" w:rsidRPr="00CD0FB3">
              <w:rPr>
                <w:rFonts w:asciiTheme="majorHAnsi" w:hAnsiTheme="majorHAnsi" w:cs="Arial"/>
              </w:rPr>
              <w:t>prepare for</w:t>
            </w:r>
            <w:r w:rsidRPr="00CD0FB3">
              <w:rPr>
                <w:rFonts w:asciiTheme="majorHAnsi" w:hAnsiTheme="majorHAnsi" w:cs="Arial"/>
              </w:rPr>
              <w:t xml:space="preserve"> disaster</w:t>
            </w:r>
            <w:r w:rsidR="00FD4D41" w:rsidRPr="00CD0FB3">
              <w:rPr>
                <w:rFonts w:asciiTheme="majorHAnsi" w:hAnsiTheme="majorHAnsi" w:cs="Arial"/>
              </w:rPr>
              <w:t>s</w:t>
            </w:r>
            <w:r w:rsidRPr="00CD0FB3">
              <w:rPr>
                <w:rFonts w:asciiTheme="majorHAnsi" w:hAnsiTheme="majorHAnsi" w:cs="Arial"/>
              </w:rPr>
              <w:t xml:space="preserve"> is very uneven</w:t>
            </w:r>
            <w:r w:rsidR="00FD4D41" w:rsidRPr="00CD0FB3">
              <w:rPr>
                <w:rFonts w:asciiTheme="majorHAnsi" w:hAnsiTheme="majorHAnsi" w:cs="Arial"/>
              </w:rPr>
              <w:t xml:space="preserve"> but generally low</w:t>
            </w:r>
            <w:r w:rsidRPr="00CD0FB3">
              <w:rPr>
                <w:rFonts w:asciiTheme="majorHAnsi" w:hAnsiTheme="majorHAnsi" w:cs="Arial"/>
              </w:rPr>
              <w:t>.</w:t>
            </w:r>
            <w:r w:rsidR="00452635" w:rsidRPr="00CD0FB3">
              <w:rPr>
                <w:rFonts w:asciiTheme="majorHAnsi" w:hAnsiTheme="majorHAnsi" w:cs="Arial"/>
              </w:rPr>
              <w:t xml:space="preserve"> There is a need to strengthen </w:t>
            </w:r>
            <w:r w:rsidR="00DC778F">
              <w:rPr>
                <w:rFonts w:asciiTheme="majorHAnsi" w:hAnsiTheme="majorHAnsi" w:cs="Arial"/>
              </w:rPr>
              <w:t>local capability and linkages</w:t>
            </w:r>
            <w:r w:rsidR="00452635" w:rsidRPr="00CD0FB3">
              <w:rPr>
                <w:rFonts w:asciiTheme="majorHAnsi" w:hAnsiTheme="majorHAnsi" w:cs="Arial"/>
              </w:rPr>
              <w:t xml:space="preserve"> between </w:t>
            </w:r>
            <w:r w:rsidR="00681903">
              <w:rPr>
                <w:rFonts w:asciiTheme="majorHAnsi" w:hAnsiTheme="majorHAnsi" w:cs="Arial"/>
              </w:rPr>
              <w:t>BNPB and BPBDs.</w:t>
            </w:r>
          </w:p>
          <w:p w14:paraId="2A53B541" w14:textId="77777777" w:rsidR="005A042F" w:rsidRPr="00CD0FB3" w:rsidRDefault="00694637" w:rsidP="005A042F">
            <w:pPr>
              <w:suppressAutoHyphens w:val="0"/>
              <w:spacing w:after="0" w:line="276" w:lineRule="auto"/>
              <w:rPr>
                <w:rFonts w:asciiTheme="majorHAnsi" w:hAnsiTheme="majorHAnsi" w:cs="Arial"/>
                <w:i/>
              </w:rPr>
            </w:pPr>
            <w:r w:rsidRPr="00CD0FB3">
              <w:rPr>
                <w:rFonts w:asciiTheme="majorHAnsi" w:hAnsiTheme="majorHAnsi" w:cs="Arial"/>
                <w:i/>
              </w:rPr>
              <w:t xml:space="preserve">Why should </w:t>
            </w:r>
            <w:r w:rsidR="005A042F" w:rsidRPr="00CD0FB3">
              <w:rPr>
                <w:rFonts w:asciiTheme="majorHAnsi" w:hAnsiTheme="majorHAnsi" w:cs="Arial"/>
                <w:i/>
              </w:rPr>
              <w:t>Australia</w:t>
            </w:r>
            <w:r w:rsidRPr="00CD0FB3">
              <w:rPr>
                <w:rFonts w:asciiTheme="majorHAnsi" w:hAnsiTheme="majorHAnsi" w:cs="Arial"/>
                <w:i/>
              </w:rPr>
              <w:t xml:space="preserve"> invest? </w:t>
            </w:r>
          </w:p>
          <w:p w14:paraId="685D5AB3" w14:textId="245F708F" w:rsidR="009D0BE6" w:rsidRPr="00CD0FB3" w:rsidRDefault="00130904" w:rsidP="0086717A">
            <w:pPr>
              <w:rPr>
                <w:rFonts w:asciiTheme="majorHAnsi" w:hAnsiTheme="majorHAnsi" w:cs="Arial"/>
              </w:rPr>
            </w:pPr>
            <w:r w:rsidRPr="00CD0FB3">
              <w:rPr>
                <w:rFonts w:asciiTheme="majorHAnsi" w:hAnsiTheme="majorHAnsi" w:cs="Arial"/>
              </w:rPr>
              <w:lastRenderedPageBreak/>
              <w:t xml:space="preserve">Over the last ten years, Australia has established a strong partnership with BNPB, providing more than $80 million for hazard science, preparedness systems and disaster policy. </w:t>
            </w:r>
            <w:r w:rsidR="009D0BE6" w:rsidRPr="00CD0FB3">
              <w:rPr>
                <w:rFonts w:asciiTheme="majorHAnsi" w:hAnsiTheme="majorHAnsi"/>
              </w:rPr>
              <w:t>A</w:t>
            </w:r>
            <w:r w:rsidR="00FD4D41" w:rsidRPr="00CD0FB3">
              <w:rPr>
                <w:rFonts w:asciiTheme="majorHAnsi" w:hAnsiTheme="majorHAnsi"/>
              </w:rPr>
              <w:t>chievements include: h</w:t>
            </w:r>
            <w:r w:rsidR="00FD4D41" w:rsidRPr="00CD0FB3">
              <w:rPr>
                <w:rFonts w:asciiTheme="majorHAnsi" w:hAnsiTheme="majorHAnsi" w:cs="Arial"/>
              </w:rPr>
              <w:t>elping BNPB to ‘stand up’ as a new agency</w:t>
            </w:r>
            <w:r w:rsidR="009D0BE6" w:rsidRPr="00CD0FB3">
              <w:rPr>
                <w:rFonts w:asciiTheme="majorHAnsi" w:hAnsiTheme="majorHAnsi" w:cs="Arial"/>
              </w:rPr>
              <w:t xml:space="preserve"> with strong</w:t>
            </w:r>
            <w:r w:rsidR="00FD4D41" w:rsidRPr="00CD0FB3">
              <w:rPr>
                <w:rFonts w:asciiTheme="majorHAnsi" w:hAnsiTheme="majorHAnsi" w:cs="Arial"/>
              </w:rPr>
              <w:t xml:space="preserve"> </w:t>
            </w:r>
            <w:r w:rsidR="009D0BE6" w:rsidRPr="00CD0FB3">
              <w:rPr>
                <w:rFonts w:asciiTheme="majorHAnsi" w:hAnsiTheme="majorHAnsi" w:cs="Arial"/>
              </w:rPr>
              <w:t>technical capacity</w:t>
            </w:r>
            <w:r w:rsidR="00FD4D41" w:rsidRPr="00CD0FB3">
              <w:rPr>
                <w:rFonts w:asciiTheme="majorHAnsi" w:hAnsiTheme="majorHAnsi" w:cs="Arial"/>
              </w:rPr>
              <w:t>; producing world-class technological tools for disaster managers</w:t>
            </w:r>
            <w:r w:rsidR="009D0BE6" w:rsidRPr="00CD0FB3">
              <w:rPr>
                <w:rFonts w:asciiTheme="majorHAnsi" w:hAnsiTheme="majorHAnsi" w:cs="Arial"/>
              </w:rPr>
              <w:t xml:space="preserve"> and</w:t>
            </w:r>
            <w:r w:rsidR="00FD4D41" w:rsidRPr="00CD0FB3">
              <w:rPr>
                <w:rFonts w:asciiTheme="majorHAnsi" w:hAnsiTheme="majorHAnsi" w:cs="Arial"/>
              </w:rPr>
              <w:t xml:space="preserve"> innovative programs for safer communities; building scientific evidence</w:t>
            </w:r>
            <w:r w:rsidR="009D0BE6" w:rsidRPr="00CD0FB3">
              <w:rPr>
                <w:rFonts w:asciiTheme="majorHAnsi" w:hAnsiTheme="majorHAnsi" w:cs="Arial"/>
              </w:rPr>
              <w:t xml:space="preserve"> </w:t>
            </w:r>
            <w:r w:rsidR="00FD4D41" w:rsidRPr="00CD0FB3">
              <w:rPr>
                <w:rFonts w:asciiTheme="majorHAnsi" w:hAnsiTheme="majorHAnsi" w:cs="Arial"/>
              </w:rPr>
              <w:t xml:space="preserve">and </w:t>
            </w:r>
            <w:r w:rsidR="009D0BE6" w:rsidRPr="00CD0FB3">
              <w:rPr>
                <w:rFonts w:asciiTheme="majorHAnsi" w:hAnsiTheme="majorHAnsi" w:cs="Arial"/>
              </w:rPr>
              <w:t>human resources</w:t>
            </w:r>
            <w:r w:rsidR="00FD4D41" w:rsidRPr="00CD0FB3">
              <w:rPr>
                <w:rFonts w:asciiTheme="majorHAnsi" w:hAnsiTheme="majorHAnsi" w:cs="Arial"/>
              </w:rPr>
              <w:t xml:space="preserve"> to manage the risk associated with natural hazards; </w:t>
            </w:r>
            <w:r w:rsidR="009D0BE6" w:rsidRPr="00CD0FB3">
              <w:rPr>
                <w:rFonts w:asciiTheme="majorHAnsi" w:hAnsiTheme="majorHAnsi" w:cs="Arial"/>
              </w:rPr>
              <w:t>strengthening</w:t>
            </w:r>
            <w:r w:rsidR="00FD4D41" w:rsidRPr="00CD0FB3">
              <w:rPr>
                <w:rFonts w:asciiTheme="majorHAnsi" w:hAnsiTheme="majorHAnsi" w:cs="Arial"/>
              </w:rPr>
              <w:t xml:space="preserve"> the capability of Indonesia’s civil society</w:t>
            </w:r>
            <w:r w:rsidR="009D0BE6" w:rsidRPr="00CD0FB3">
              <w:rPr>
                <w:rFonts w:asciiTheme="majorHAnsi" w:hAnsiTheme="majorHAnsi" w:cs="Arial"/>
              </w:rPr>
              <w:t>; and providing</w:t>
            </w:r>
            <w:r w:rsidR="00FD4D41" w:rsidRPr="00CD0FB3">
              <w:rPr>
                <w:rFonts w:asciiTheme="majorHAnsi" w:hAnsiTheme="majorHAnsi" w:cs="Arial"/>
              </w:rPr>
              <w:t xml:space="preserve"> state-of-the-art </w:t>
            </w:r>
            <w:r w:rsidR="009D0BE6" w:rsidRPr="00CD0FB3">
              <w:rPr>
                <w:rFonts w:asciiTheme="majorHAnsi" w:hAnsiTheme="majorHAnsi" w:cs="Arial"/>
              </w:rPr>
              <w:t>facilities for e</w:t>
            </w:r>
            <w:r w:rsidR="00FD4D41" w:rsidRPr="00CD0FB3">
              <w:rPr>
                <w:rFonts w:asciiTheme="majorHAnsi" w:hAnsiTheme="majorHAnsi" w:cs="Arial"/>
              </w:rPr>
              <w:t xml:space="preserve">mergency </w:t>
            </w:r>
            <w:r w:rsidR="009D0BE6" w:rsidRPr="00CD0FB3">
              <w:rPr>
                <w:rFonts w:asciiTheme="majorHAnsi" w:hAnsiTheme="majorHAnsi" w:cs="Arial"/>
              </w:rPr>
              <w:t xml:space="preserve">operations and/or training </w:t>
            </w:r>
            <w:r w:rsidR="00FD4D41" w:rsidRPr="00CD0FB3">
              <w:rPr>
                <w:rFonts w:asciiTheme="majorHAnsi" w:hAnsiTheme="majorHAnsi" w:cs="Arial"/>
              </w:rPr>
              <w:t>in</w:t>
            </w:r>
            <w:r w:rsidR="009D0BE6" w:rsidRPr="00CD0FB3">
              <w:rPr>
                <w:rFonts w:asciiTheme="majorHAnsi" w:hAnsiTheme="majorHAnsi" w:cs="Arial"/>
              </w:rPr>
              <w:t xml:space="preserve"> Kupang, </w:t>
            </w:r>
            <w:r w:rsidR="00FD4D41" w:rsidRPr="00CD0FB3">
              <w:rPr>
                <w:rFonts w:asciiTheme="majorHAnsi" w:hAnsiTheme="majorHAnsi" w:cs="Arial"/>
              </w:rPr>
              <w:t xml:space="preserve">Makassar, </w:t>
            </w:r>
            <w:r w:rsidR="009D0BE6" w:rsidRPr="00CD0FB3">
              <w:rPr>
                <w:rFonts w:asciiTheme="majorHAnsi" w:hAnsiTheme="majorHAnsi" w:cs="Arial"/>
              </w:rPr>
              <w:t xml:space="preserve">Bogor and </w:t>
            </w:r>
            <w:r w:rsidR="00FD4D41" w:rsidRPr="00CD0FB3">
              <w:rPr>
                <w:rFonts w:asciiTheme="majorHAnsi" w:hAnsiTheme="majorHAnsi" w:cs="Arial"/>
              </w:rPr>
              <w:t>Padang.</w:t>
            </w:r>
            <w:r w:rsidR="009D0BE6" w:rsidRPr="00CD0FB3">
              <w:rPr>
                <w:rFonts w:asciiTheme="majorHAnsi" w:hAnsiTheme="majorHAnsi" w:cs="Arial"/>
              </w:rPr>
              <w:t xml:space="preserve"> </w:t>
            </w:r>
          </w:p>
          <w:p w14:paraId="606D67EE" w14:textId="77777777" w:rsidR="00DD5B94" w:rsidRPr="00CD0FB3" w:rsidRDefault="009D0BE6" w:rsidP="0086717A">
            <w:pPr>
              <w:rPr>
                <w:rFonts w:asciiTheme="majorHAnsi" w:hAnsiTheme="majorHAnsi" w:cs="Arial"/>
              </w:rPr>
            </w:pPr>
            <w:r w:rsidRPr="00CD0FB3">
              <w:rPr>
                <w:rFonts w:asciiTheme="majorHAnsi" w:hAnsiTheme="majorHAnsi" w:cs="Arial"/>
              </w:rPr>
              <w:t>A</w:t>
            </w:r>
            <w:r w:rsidR="007B4756" w:rsidRPr="00CD0FB3">
              <w:rPr>
                <w:rFonts w:asciiTheme="majorHAnsi" w:hAnsiTheme="majorHAnsi" w:cs="Arial"/>
              </w:rPr>
              <w:t xml:space="preserve"> targeted Australian program </w:t>
            </w:r>
            <w:r w:rsidRPr="00CD0FB3">
              <w:rPr>
                <w:rFonts w:asciiTheme="majorHAnsi" w:hAnsiTheme="majorHAnsi" w:cs="Arial"/>
              </w:rPr>
              <w:t>can help Indonesia to</w:t>
            </w:r>
            <w:r w:rsidR="007B4756" w:rsidRPr="00CD0FB3">
              <w:rPr>
                <w:rFonts w:asciiTheme="majorHAnsi" w:hAnsiTheme="majorHAnsi" w:cs="Arial"/>
              </w:rPr>
              <w:t xml:space="preserve"> </w:t>
            </w:r>
            <w:r w:rsidRPr="00CD0FB3">
              <w:rPr>
                <w:rFonts w:asciiTheme="majorHAnsi" w:hAnsiTheme="majorHAnsi" w:cs="Arial"/>
              </w:rPr>
              <w:t xml:space="preserve">address the </w:t>
            </w:r>
            <w:r w:rsidR="007B4756" w:rsidRPr="00CD0FB3">
              <w:rPr>
                <w:rFonts w:asciiTheme="majorHAnsi" w:hAnsiTheme="majorHAnsi" w:cs="Arial"/>
              </w:rPr>
              <w:t>remaining constraints to effective DRM planning and response.</w:t>
            </w:r>
            <w:r w:rsidRPr="00CD0FB3">
              <w:rPr>
                <w:rFonts w:asciiTheme="majorHAnsi" w:hAnsiTheme="majorHAnsi" w:cs="Arial"/>
              </w:rPr>
              <w:t xml:space="preserve"> </w:t>
            </w:r>
            <w:r w:rsidR="00DD5B94" w:rsidRPr="00CD0FB3">
              <w:rPr>
                <w:rFonts w:asciiTheme="majorHAnsi" w:hAnsiTheme="majorHAnsi" w:cs="Arial"/>
              </w:rPr>
              <w:t xml:space="preserve">Improvements in Indonesia’s preparedness for natural disasters promotes Australia’s national interest through helping to safeguard Indonesia’s economic growth and stability, and protecting Australia’s other economic, social and development investments. </w:t>
            </w:r>
            <w:r w:rsidR="007B4756" w:rsidRPr="00CD0FB3">
              <w:rPr>
                <w:rFonts w:asciiTheme="majorHAnsi" w:hAnsiTheme="majorHAnsi" w:cs="Arial"/>
              </w:rPr>
              <w:t>It also builds substantial goodwill with GOI and with civil society.</w:t>
            </w:r>
          </w:p>
          <w:p w14:paraId="60390CAC" w14:textId="1E3FCABB" w:rsidR="00694637" w:rsidRPr="00CD0FB3" w:rsidRDefault="00694637" w:rsidP="00694637">
            <w:pPr>
              <w:suppressAutoHyphens w:val="0"/>
              <w:spacing w:after="0" w:line="276" w:lineRule="auto"/>
              <w:rPr>
                <w:rFonts w:asciiTheme="majorHAnsi" w:hAnsiTheme="majorHAnsi" w:cs="Arial"/>
              </w:rPr>
            </w:pPr>
            <w:r w:rsidRPr="00CD0FB3">
              <w:rPr>
                <w:rFonts w:asciiTheme="majorHAnsi" w:hAnsiTheme="majorHAnsi" w:cs="Arial"/>
              </w:rPr>
              <w:t>Contributing to humanitarian responses in Indonesia is a high priority for the Australian Government. As one of Indonesia’s closest neighbours, Australia has a history of providing support when it is most needed. Australia’s DRM program provide</w:t>
            </w:r>
            <w:r w:rsidR="00DD5B94" w:rsidRPr="00CD0FB3">
              <w:rPr>
                <w:rFonts w:asciiTheme="majorHAnsi" w:hAnsiTheme="majorHAnsi" w:cs="Arial"/>
              </w:rPr>
              <w:t>s the</w:t>
            </w:r>
            <w:r w:rsidRPr="00CD0FB3">
              <w:rPr>
                <w:rFonts w:asciiTheme="majorHAnsi" w:hAnsiTheme="majorHAnsi" w:cs="Arial"/>
              </w:rPr>
              <w:t xml:space="preserve"> knowledge and relationships that enable Australia to respond in times of need.  </w:t>
            </w:r>
          </w:p>
          <w:p w14:paraId="07A7FBF4" w14:textId="01AB9C40" w:rsidR="00694637" w:rsidRPr="00CD0FB3" w:rsidRDefault="00694637" w:rsidP="00694637">
            <w:pPr>
              <w:suppressAutoHyphens w:val="0"/>
              <w:spacing w:after="0" w:line="276" w:lineRule="auto"/>
              <w:rPr>
                <w:rFonts w:asciiTheme="majorHAnsi" w:hAnsiTheme="majorHAnsi" w:cs="Arial"/>
              </w:rPr>
            </w:pPr>
            <w:r w:rsidRPr="00CD0FB3">
              <w:rPr>
                <w:rFonts w:asciiTheme="majorHAnsi" w:hAnsiTheme="majorHAnsi" w:cs="Arial"/>
              </w:rPr>
              <w:t xml:space="preserve">With a solid foundation of technical cooperation and relationships at the national level, there is potential to extend our partnership to support joint cooperation on regional humanitarian crises (building on our current cooperation responding to the Rohingya crisis). Such cooperation in the Indo-Pacific region </w:t>
            </w:r>
            <w:r w:rsidR="00130533" w:rsidRPr="00CD0FB3">
              <w:rPr>
                <w:rFonts w:asciiTheme="majorHAnsi" w:hAnsiTheme="majorHAnsi" w:cs="Arial"/>
              </w:rPr>
              <w:t xml:space="preserve">will extend and deepen our partnership and </w:t>
            </w:r>
            <w:r w:rsidRPr="00CD0FB3">
              <w:rPr>
                <w:rFonts w:asciiTheme="majorHAnsi" w:hAnsiTheme="majorHAnsi" w:cs="Arial"/>
              </w:rPr>
              <w:t xml:space="preserve">aligns with priorities outlined in the </w:t>
            </w:r>
            <w:r w:rsidR="008E7662">
              <w:rPr>
                <w:rFonts w:asciiTheme="majorHAnsi" w:hAnsiTheme="majorHAnsi" w:cs="Arial"/>
              </w:rPr>
              <w:t>F</w:t>
            </w:r>
            <w:r w:rsidRPr="00CD0FB3">
              <w:rPr>
                <w:rFonts w:asciiTheme="majorHAnsi" w:hAnsiTheme="majorHAnsi" w:cs="Arial"/>
              </w:rPr>
              <w:t xml:space="preserve">oreign </w:t>
            </w:r>
            <w:r w:rsidR="008E7662">
              <w:rPr>
                <w:rFonts w:asciiTheme="majorHAnsi" w:hAnsiTheme="majorHAnsi" w:cs="Arial"/>
              </w:rPr>
              <w:t>P</w:t>
            </w:r>
            <w:r w:rsidRPr="00CD0FB3">
              <w:rPr>
                <w:rFonts w:asciiTheme="majorHAnsi" w:hAnsiTheme="majorHAnsi" w:cs="Arial"/>
              </w:rPr>
              <w:t xml:space="preserve">olicy </w:t>
            </w:r>
            <w:r w:rsidR="008E7662">
              <w:rPr>
                <w:rFonts w:asciiTheme="majorHAnsi" w:hAnsiTheme="majorHAnsi" w:cs="Arial"/>
              </w:rPr>
              <w:t>W</w:t>
            </w:r>
            <w:r w:rsidRPr="00CD0FB3">
              <w:rPr>
                <w:rFonts w:asciiTheme="majorHAnsi" w:hAnsiTheme="majorHAnsi" w:cs="Arial"/>
              </w:rPr>
              <w:t xml:space="preserve">hite </w:t>
            </w:r>
            <w:r w:rsidR="008E7662">
              <w:rPr>
                <w:rFonts w:asciiTheme="majorHAnsi" w:hAnsiTheme="majorHAnsi" w:cs="Arial"/>
              </w:rPr>
              <w:t>P</w:t>
            </w:r>
            <w:r w:rsidRPr="00CD0FB3">
              <w:rPr>
                <w:rFonts w:asciiTheme="majorHAnsi" w:hAnsiTheme="majorHAnsi" w:cs="Arial"/>
              </w:rPr>
              <w:t xml:space="preserve">aper.   </w:t>
            </w:r>
          </w:p>
          <w:p w14:paraId="52796E78" w14:textId="50FCB3BD" w:rsidR="00DD5B94" w:rsidRPr="00CD0FB3" w:rsidRDefault="00130904" w:rsidP="008E7662">
            <w:pPr>
              <w:suppressAutoHyphens w:val="0"/>
              <w:spacing w:after="0" w:line="276" w:lineRule="auto"/>
              <w:rPr>
                <w:rFonts w:asciiTheme="majorHAnsi" w:hAnsiTheme="majorHAnsi" w:cs="Arial"/>
              </w:rPr>
            </w:pPr>
            <w:r w:rsidRPr="00CD0FB3">
              <w:rPr>
                <w:rFonts w:asciiTheme="majorHAnsi" w:hAnsiTheme="majorHAnsi" w:cs="Arial"/>
              </w:rPr>
              <w:t xml:space="preserve">Australia has </w:t>
            </w:r>
            <w:r w:rsidR="007B4756" w:rsidRPr="00CD0FB3">
              <w:rPr>
                <w:rFonts w:asciiTheme="majorHAnsi" w:hAnsiTheme="majorHAnsi" w:cs="Arial"/>
              </w:rPr>
              <w:t>deep experience with Indonesia’s</w:t>
            </w:r>
            <w:r w:rsidRPr="00CD0FB3">
              <w:rPr>
                <w:rFonts w:asciiTheme="majorHAnsi" w:hAnsiTheme="majorHAnsi" w:cs="Arial"/>
              </w:rPr>
              <w:t xml:space="preserve"> disaster preparedness systems and community-based disaster risk management. </w:t>
            </w:r>
            <w:r w:rsidR="00452635" w:rsidRPr="00CD0FB3">
              <w:rPr>
                <w:rFonts w:asciiTheme="majorHAnsi" w:hAnsiTheme="majorHAnsi" w:cs="Arial"/>
              </w:rPr>
              <w:t xml:space="preserve">We work closely with the other key </w:t>
            </w:r>
            <w:r w:rsidRPr="00CD0FB3">
              <w:rPr>
                <w:rFonts w:asciiTheme="majorHAnsi" w:hAnsiTheme="majorHAnsi" w:cs="Arial"/>
              </w:rPr>
              <w:t>DRM donors in Indonesia</w:t>
            </w:r>
            <w:r w:rsidR="007B4756" w:rsidRPr="00CD0FB3">
              <w:rPr>
                <w:rFonts w:asciiTheme="majorHAnsi" w:hAnsiTheme="majorHAnsi" w:cs="Arial"/>
              </w:rPr>
              <w:t xml:space="preserve">, </w:t>
            </w:r>
            <w:r w:rsidR="00452635" w:rsidRPr="00CD0FB3">
              <w:rPr>
                <w:rFonts w:asciiTheme="majorHAnsi" w:hAnsiTheme="majorHAnsi" w:cs="Arial"/>
              </w:rPr>
              <w:t xml:space="preserve">including </w:t>
            </w:r>
            <w:r w:rsidR="007B4756" w:rsidRPr="00CD0FB3">
              <w:rPr>
                <w:rFonts w:asciiTheme="majorHAnsi" w:hAnsiTheme="majorHAnsi" w:cs="Arial"/>
              </w:rPr>
              <w:t>t</w:t>
            </w:r>
            <w:r w:rsidRPr="00CD0FB3">
              <w:rPr>
                <w:rFonts w:asciiTheme="majorHAnsi" w:hAnsiTheme="majorHAnsi" w:cs="Arial"/>
              </w:rPr>
              <w:t>he US, NZ</w:t>
            </w:r>
            <w:r w:rsidR="008E7662">
              <w:rPr>
                <w:rFonts w:asciiTheme="majorHAnsi" w:hAnsiTheme="majorHAnsi" w:cs="Arial"/>
              </w:rPr>
              <w:t>,</w:t>
            </w:r>
            <w:r w:rsidRPr="00CD0FB3">
              <w:rPr>
                <w:rFonts w:asciiTheme="majorHAnsi" w:hAnsiTheme="majorHAnsi" w:cs="Arial"/>
              </w:rPr>
              <w:t xml:space="preserve"> Japan</w:t>
            </w:r>
            <w:r w:rsidR="008E7662">
              <w:rPr>
                <w:rFonts w:asciiTheme="majorHAnsi" w:hAnsiTheme="majorHAnsi" w:cs="Arial"/>
              </w:rPr>
              <w:t xml:space="preserve"> and other donors</w:t>
            </w:r>
            <w:r w:rsidRPr="00CD0FB3">
              <w:rPr>
                <w:rFonts w:asciiTheme="majorHAnsi" w:hAnsiTheme="majorHAnsi" w:cs="Arial"/>
              </w:rPr>
              <w:t xml:space="preserve">. </w:t>
            </w:r>
            <w:r w:rsidR="00452635" w:rsidRPr="00CD0FB3">
              <w:rPr>
                <w:rFonts w:asciiTheme="majorHAnsi" w:hAnsiTheme="majorHAnsi" w:cs="Arial"/>
              </w:rPr>
              <w:t xml:space="preserve"> </w:t>
            </w:r>
          </w:p>
        </w:tc>
      </w:tr>
      <w:tr w:rsidR="004C10EA" w:rsidRPr="00CD0FB3" w14:paraId="51BA7E9D" w14:textId="77777777" w:rsidTr="00DC348A">
        <w:trPr>
          <w:cantSplit w:val="0"/>
        </w:trPr>
        <w:tc>
          <w:tcPr>
            <w:tcW w:w="9606" w:type="dxa"/>
            <w:tcBorders>
              <w:bottom w:val="single" w:sz="4" w:space="0" w:color="808080"/>
            </w:tcBorders>
            <w:shd w:val="clear" w:color="auto" w:fill="E0F3EF" w:themeFill="accent1" w:themeFillTint="33"/>
          </w:tcPr>
          <w:p w14:paraId="05817036" w14:textId="77777777" w:rsidR="004C10EA" w:rsidRPr="00CD0FB3" w:rsidRDefault="004C10EA" w:rsidP="00D80DA1">
            <w:pPr>
              <w:tabs>
                <w:tab w:val="num" w:pos="568"/>
              </w:tabs>
              <w:spacing w:line="276" w:lineRule="auto"/>
              <w:rPr>
                <w:rFonts w:asciiTheme="majorHAnsi" w:hAnsiTheme="majorHAnsi" w:cs="Arial"/>
                <w:sz w:val="22"/>
                <w:szCs w:val="22"/>
                <w:lang w:eastAsia="en-US"/>
              </w:rPr>
            </w:pPr>
            <w:r w:rsidRPr="00CD0FB3">
              <w:rPr>
                <w:rFonts w:asciiTheme="majorHAnsi" w:hAnsiTheme="majorHAnsi" w:cs="Arial"/>
                <w:b/>
                <w:sz w:val="22"/>
                <w:szCs w:val="22"/>
                <w:lang w:eastAsia="en-US"/>
              </w:rPr>
              <w:lastRenderedPageBreak/>
              <w:t xml:space="preserve">C: Proposed outcomes and investment options (What)   </w:t>
            </w:r>
          </w:p>
        </w:tc>
      </w:tr>
      <w:tr w:rsidR="004C10EA" w:rsidRPr="00CD0FB3" w14:paraId="2D6ED0DE" w14:textId="77777777" w:rsidTr="00DC348A">
        <w:trPr>
          <w:cantSplit w:val="0"/>
        </w:trPr>
        <w:tc>
          <w:tcPr>
            <w:tcW w:w="9606" w:type="dxa"/>
          </w:tcPr>
          <w:p w14:paraId="7A98334F" w14:textId="77777777" w:rsidR="00DF7B24" w:rsidRPr="00CD0FB3" w:rsidRDefault="00372772" w:rsidP="00DF7B24">
            <w:pPr>
              <w:suppressAutoHyphens w:val="0"/>
              <w:spacing w:after="0" w:line="276" w:lineRule="auto"/>
              <w:rPr>
                <w:rFonts w:asciiTheme="majorHAnsi" w:hAnsiTheme="majorHAnsi" w:cs="Arial"/>
              </w:rPr>
            </w:pPr>
            <w:r w:rsidRPr="00CD0FB3">
              <w:rPr>
                <w:rFonts w:asciiTheme="majorHAnsi" w:hAnsiTheme="majorHAnsi" w:cs="Arial"/>
              </w:rPr>
              <w:t xml:space="preserve">We propose </w:t>
            </w:r>
            <w:r w:rsidR="00FD4D41" w:rsidRPr="00CD0FB3">
              <w:rPr>
                <w:rFonts w:asciiTheme="majorHAnsi" w:hAnsiTheme="majorHAnsi" w:cs="Arial"/>
              </w:rPr>
              <w:t>a</w:t>
            </w:r>
            <w:r w:rsidRPr="00CD0FB3">
              <w:rPr>
                <w:rFonts w:asciiTheme="majorHAnsi" w:hAnsiTheme="majorHAnsi" w:cs="Arial"/>
              </w:rPr>
              <w:t xml:space="preserve"> focus on strengthening engagement with government and non-government DRM partners and improving disaster risk management in Indonesia. </w:t>
            </w:r>
            <w:r w:rsidR="00DF7B24" w:rsidRPr="00CD0FB3">
              <w:rPr>
                <w:rFonts w:asciiTheme="majorHAnsi" w:hAnsiTheme="majorHAnsi" w:cs="Arial"/>
              </w:rPr>
              <w:t xml:space="preserve">The suggested outline for the new investment is summarised below. </w:t>
            </w:r>
            <w:r w:rsidR="0059750B" w:rsidRPr="00CD0FB3">
              <w:rPr>
                <w:rFonts w:asciiTheme="majorHAnsi" w:hAnsiTheme="majorHAnsi" w:cs="Arial"/>
              </w:rPr>
              <w:t>A</w:t>
            </w:r>
            <w:r w:rsidR="00DF7B24" w:rsidRPr="00CD0FB3">
              <w:rPr>
                <w:rFonts w:asciiTheme="majorHAnsi" w:hAnsiTheme="majorHAnsi" w:cs="Arial"/>
              </w:rPr>
              <w:t xml:space="preserve"> design will cover the second and third objectives:</w:t>
            </w:r>
          </w:p>
          <w:tbl>
            <w:tblPr>
              <w:tblStyle w:val="TableGrid"/>
              <w:tblW w:w="9101" w:type="dxa"/>
              <w:tblInd w:w="108" w:type="dxa"/>
              <w:tblLook w:val="04A0" w:firstRow="1" w:lastRow="0" w:firstColumn="1" w:lastColumn="0" w:noHBand="0" w:noVBand="1"/>
            </w:tblPr>
            <w:tblGrid>
              <w:gridCol w:w="1276"/>
              <w:gridCol w:w="2410"/>
              <w:gridCol w:w="2580"/>
              <w:gridCol w:w="2835"/>
            </w:tblGrid>
            <w:tr w:rsidR="00DF7B24" w:rsidRPr="00CD0FB3" w14:paraId="067BD2D4" w14:textId="77777777" w:rsidTr="003D0689">
              <w:trPr>
                <w:cantSplit/>
                <w:trHeight w:val="543"/>
              </w:trPr>
              <w:tc>
                <w:tcPr>
                  <w:tcW w:w="1276" w:type="dxa"/>
                  <w:tcBorders>
                    <w:top w:val="single" w:sz="4" w:space="0" w:color="auto"/>
                    <w:left w:val="single" w:sz="4" w:space="0" w:color="auto"/>
                    <w:bottom w:val="double" w:sz="4" w:space="0" w:color="auto"/>
                    <w:right w:val="single" w:sz="4" w:space="0" w:color="auto"/>
                  </w:tcBorders>
                  <w:shd w:val="clear" w:color="auto" w:fill="FFFFFF" w:themeFill="background1"/>
                </w:tcPr>
                <w:p w14:paraId="3BF55B94" w14:textId="77777777" w:rsidR="00DF7B24" w:rsidRPr="00CD0FB3" w:rsidRDefault="00DF7B24" w:rsidP="00E64EF2">
                  <w:pPr>
                    <w:spacing w:line="280" w:lineRule="exact"/>
                    <w:jc w:val="center"/>
                    <w:rPr>
                      <w:rFonts w:ascii="Franklin Gothic Book" w:hAnsi="Franklin Gothic Book"/>
                      <w:sz w:val="16"/>
                      <w:szCs w:val="16"/>
                    </w:rPr>
                  </w:pPr>
                  <w:r w:rsidRPr="00CD0FB3">
                    <w:rPr>
                      <w:rFonts w:ascii="Franklin Gothic Book" w:hAnsi="Franklin Gothic Book"/>
                      <w:sz w:val="16"/>
                      <w:szCs w:val="16"/>
                    </w:rPr>
                    <w:t>Goal</w:t>
                  </w:r>
                </w:p>
              </w:tc>
              <w:tc>
                <w:tcPr>
                  <w:tcW w:w="7825" w:type="dxa"/>
                  <w:gridSpan w:val="3"/>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4EC71C99" w14:textId="77777777" w:rsidR="00DF7B24" w:rsidRPr="00CD0FB3" w:rsidRDefault="00DF7B24" w:rsidP="00E64EF2">
                  <w:pPr>
                    <w:spacing w:line="280" w:lineRule="exact"/>
                    <w:jc w:val="center"/>
                    <w:rPr>
                      <w:rFonts w:ascii="Franklin Gothic Book" w:hAnsi="Franklin Gothic Book"/>
                      <w:sz w:val="16"/>
                      <w:szCs w:val="16"/>
                    </w:rPr>
                  </w:pPr>
                  <w:r w:rsidRPr="00CD0FB3">
                    <w:rPr>
                      <w:rFonts w:ascii="Franklin Gothic Book" w:hAnsi="Franklin Gothic Book"/>
                      <w:sz w:val="16"/>
                      <w:szCs w:val="16"/>
                    </w:rPr>
                    <w:t>Strengthen humanitarian engagement between Australia and Indonesia</w:t>
                  </w:r>
                </w:p>
                <w:p w14:paraId="47A0FFA2" w14:textId="77777777" w:rsidR="00DF7B24" w:rsidRPr="00CD0FB3" w:rsidRDefault="00DF7B24" w:rsidP="00E64EF2">
                  <w:pPr>
                    <w:spacing w:line="280" w:lineRule="exact"/>
                    <w:jc w:val="center"/>
                    <w:rPr>
                      <w:rFonts w:ascii="Franklin Gothic Book" w:hAnsi="Franklin Gothic Book"/>
                      <w:sz w:val="16"/>
                      <w:szCs w:val="16"/>
                    </w:rPr>
                  </w:pPr>
                  <w:r w:rsidRPr="00CD0FB3">
                    <w:rPr>
                      <w:rFonts w:ascii="Franklin Gothic Book" w:hAnsi="Franklin Gothic Book"/>
                      <w:sz w:val="16"/>
                      <w:szCs w:val="16"/>
                    </w:rPr>
                    <w:t xml:space="preserve">and Indonesia’s management of disaster risks </w:t>
                  </w:r>
                </w:p>
              </w:tc>
            </w:tr>
            <w:tr w:rsidR="00DF7B24" w:rsidRPr="00CD0FB3" w14:paraId="55A4E6F8" w14:textId="77777777" w:rsidTr="003D0689">
              <w:trPr>
                <w:cantSplit/>
                <w:trHeight w:val="543"/>
              </w:trPr>
              <w:tc>
                <w:tcPr>
                  <w:tcW w:w="1276" w:type="dxa"/>
                  <w:tcBorders>
                    <w:top w:val="single" w:sz="4" w:space="0" w:color="auto"/>
                    <w:left w:val="single" w:sz="4" w:space="0" w:color="auto"/>
                    <w:bottom w:val="double" w:sz="4" w:space="0" w:color="auto"/>
                    <w:right w:val="single" w:sz="4" w:space="0" w:color="auto"/>
                  </w:tcBorders>
                  <w:shd w:val="clear" w:color="auto" w:fill="FFFFFF" w:themeFill="background1"/>
                </w:tcPr>
                <w:p w14:paraId="5753D4D9" w14:textId="77777777" w:rsidR="00DF7B24" w:rsidRPr="00CD0FB3" w:rsidRDefault="00DF7B24" w:rsidP="00E64EF2">
                  <w:pPr>
                    <w:spacing w:line="280" w:lineRule="exact"/>
                    <w:jc w:val="center"/>
                    <w:rPr>
                      <w:rFonts w:ascii="Franklin Gothic Book" w:hAnsi="Franklin Gothic Book"/>
                      <w:sz w:val="16"/>
                      <w:szCs w:val="16"/>
                    </w:rPr>
                  </w:pPr>
                  <w:r w:rsidRPr="00CD0FB3">
                    <w:rPr>
                      <w:rFonts w:ascii="Franklin Gothic Book" w:hAnsi="Franklin Gothic Book"/>
                      <w:sz w:val="16"/>
                      <w:szCs w:val="16"/>
                    </w:rPr>
                    <w:t xml:space="preserve">Objectives </w:t>
                  </w:r>
                </w:p>
              </w:tc>
              <w:tc>
                <w:tcPr>
                  <w:tcW w:w="241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46196DC3" w14:textId="77777777" w:rsidR="00DF7B24" w:rsidRPr="00CD0FB3" w:rsidRDefault="00DF7B24">
                  <w:pPr>
                    <w:spacing w:line="280" w:lineRule="exact"/>
                    <w:jc w:val="center"/>
                    <w:rPr>
                      <w:rFonts w:ascii="Franklin Gothic Book" w:hAnsi="Franklin Gothic Book"/>
                      <w:sz w:val="16"/>
                      <w:szCs w:val="16"/>
                    </w:rPr>
                  </w:pPr>
                  <w:r w:rsidRPr="00CD0FB3">
                    <w:rPr>
                      <w:rFonts w:ascii="Franklin Gothic Book" w:hAnsi="Franklin Gothic Book"/>
                      <w:sz w:val="16"/>
                      <w:szCs w:val="16"/>
                    </w:rPr>
                    <w:t xml:space="preserve">High level of Australian readiness to respond to humanitarian crises </w:t>
                  </w:r>
                </w:p>
              </w:tc>
              <w:tc>
                <w:tcPr>
                  <w:tcW w:w="258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8949F04" w14:textId="62EA1B1F" w:rsidR="00DF7B24" w:rsidRPr="00CD0FB3" w:rsidRDefault="002B000A">
                  <w:pPr>
                    <w:spacing w:line="280" w:lineRule="exact"/>
                    <w:jc w:val="center"/>
                    <w:rPr>
                      <w:rFonts w:ascii="Franklin Gothic Book" w:hAnsi="Franklin Gothic Book"/>
                      <w:sz w:val="16"/>
                      <w:szCs w:val="16"/>
                    </w:rPr>
                  </w:pPr>
                  <w:r>
                    <w:rPr>
                      <w:rFonts w:ascii="Franklin Gothic Book" w:hAnsi="Franklin Gothic Book"/>
                      <w:sz w:val="16"/>
                      <w:szCs w:val="16"/>
                    </w:rPr>
                    <w:t>M</w:t>
                  </w:r>
                  <w:r w:rsidR="00DF7B24" w:rsidRPr="00CD0FB3">
                    <w:rPr>
                      <w:rFonts w:ascii="Franklin Gothic Book" w:hAnsi="Franklin Gothic Book"/>
                      <w:sz w:val="16"/>
                      <w:szCs w:val="16"/>
                    </w:rPr>
                    <w:t xml:space="preserve">anagement of disaster risks </w:t>
                  </w:r>
                  <w:r>
                    <w:rPr>
                      <w:rFonts w:ascii="Franklin Gothic Book" w:hAnsi="Franklin Gothic Book"/>
                      <w:sz w:val="16"/>
                      <w:szCs w:val="16"/>
                    </w:rPr>
                    <w:t>improved</w:t>
                  </w:r>
                </w:p>
              </w:tc>
              <w:tc>
                <w:tcPr>
                  <w:tcW w:w="283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8A539BD" w14:textId="77777777" w:rsidR="00DF7B24" w:rsidRPr="00CD0FB3" w:rsidRDefault="00DF7B24">
                  <w:pPr>
                    <w:spacing w:line="280" w:lineRule="exact"/>
                    <w:jc w:val="center"/>
                    <w:rPr>
                      <w:rFonts w:ascii="Franklin Gothic Book" w:hAnsi="Franklin Gothic Book"/>
                      <w:sz w:val="16"/>
                      <w:szCs w:val="16"/>
                    </w:rPr>
                  </w:pPr>
                  <w:r w:rsidRPr="00CD0FB3">
                    <w:rPr>
                      <w:rFonts w:ascii="Franklin Gothic Book" w:hAnsi="Franklin Gothic Book"/>
                      <w:sz w:val="16"/>
                      <w:szCs w:val="16"/>
                    </w:rPr>
                    <w:t>Engage on regional humanitarian crises</w:t>
                  </w:r>
                </w:p>
              </w:tc>
            </w:tr>
            <w:tr w:rsidR="00DF7B24" w:rsidRPr="00CD0FB3" w14:paraId="26C6AC8C" w14:textId="77777777" w:rsidTr="003D0689">
              <w:trPr>
                <w:cantSplit/>
                <w:trHeight w:val="70"/>
              </w:trPr>
              <w:tc>
                <w:tcPr>
                  <w:tcW w:w="1276" w:type="dxa"/>
                  <w:vMerge w:val="restart"/>
                  <w:tcBorders>
                    <w:top w:val="double" w:sz="4" w:space="0" w:color="auto"/>
                    <w:left w:val="single" w:sz="4" w:space="0" w:color="auto"/>
                    <w:right w:val="single" w:sz="4" w:space="0" w:color="auto"/>
                  </w:tcBorders>
                  <w:shd w:val="clear" w:color="auto" w:fill="FFFFFF" w:themeFill="background1"/>
                </w:tcPr>
                <w:p w14:paraId="323D93BB" w14:textId="77777777" w:rsidR="00DF7B24" w:rsidRPr="00CD0FB3" w:rsidRDefault="00DF7B24" w:rsidP="00E64EF2">
                  <w:pPr>
                    <w:spacing w:line="280" w:lineRule="exact"/>
                    <w:jc w:val="center"/>
                    <w:rPr>
                      <w:rFonts w:ascii="Franklin Gothic Book" w:hAnsi="Franklin Gothic Book"/>
                      <w:sz w:val="16"/>
                      <w:szCs w:val="16"/>
                    </w:rPr>
                  </w:pPr>
                  <w:r w:rsidRPr="00CD0FB3">
                    <w:rPr>
                      <w:rFonts w:ascii="Franklin Gothic Book" w:hAnsi="Franklin Gothic Book"/>
                      <w:sz w:val="16"/>
                      <w:szCs w:val="16"/>
                    </w:rPr>
                    <w:t xml:space="preserve">Outcomes </w:t>
                  </w:r>
                </w:p>
              </w:tc>
              <w:tc>
                <w:tcPr>
                  <w:tcW w:w="2410" w:type="dxa"/>
                  <w:tcBorders>
                    <w:top w:val="double" w:sz="4" w:space="0" w:color="auto"/>
                    <w:left w:val="single" w:sz="4" w:space="0" w:color="auto"/>
                    <w:right w:val="single" w:sz="4" w:space="0" w:color="auto"/>
                  </w:tcBorders>
                  <w:shd w:val="clear" w:color="auto" w:fill="D9D9D9" w:themeFill="background1" w:themeFillShade="D9"/>
                  <w:vAlign w:val="center"/>
                  <w:hideMark/>
                </w:tcPr>
                <w:p w14:paraId="7F594C64" w14:textId="4A1F6554" w:rsidR="00DF7B24" w:rsidRPr="00CD0FB3" w:rsidRDefault="00DF7B24" w:rsidP="002B000A">
                  <w:pPr>
                    <w:spacing w:line="280" w:lineRule="exact"/>
                    <w:jc w:val="center"/>
                    <w:rPr>
                      <w:rFonts w:ascii="Franklin Gothic Book" w:hAnsi="Franklin Gothic Book"/>
                      <w:sz w:val="16"/>
                      <w:szCs w:val="16"/>
                    </w:rPr>
                  </w:pPr>
                  <w:r w:rsidRPr="00CD0FB3">
                    <w:rPr>
                      <w:rFonts w:ascii="Franklin Gothic Book" w:hAnsi="Franklin Gothic Book"/>
                      <w:sz w:val="16"/>
                      <w:szCs w:val="16"/>
                    </w:rPr>
                    <w:t xml:space="preserve">Australia </w:t>
                  </w:r>
                  <w:r w:rsidR="002B000A">
                    <w:rPr>
                      <w:rFonts w:ascii="Franklin Gothic Book" w:hAnsi="Franklin Gothic Book"/>
                      <w:sz w:val="16"/>
                      <w:szCs w:val="16"/>
                    </w:rPr>
                    <w:t xml:space="preserve">has relationships in place to support Indonesia in </w:t>
                  </w:r>
                  <w:r w:rsidRPr="00CD0FB3">
                    <w:rPr>
                      <w:rFonts w:ascii="Franklin Gothic Book" w:hAnsi="Franklin Gothic Book"/>
                      <w:sz w:val="16"/>
                      <w:szCs w:val="16"/>
                    </w:rPr>
                    <w:t>a crisis</w:t>
                  </w:r>
                </w:p>
              </w:tc>
              <w:tc>
                <w:tcPr>
                  <w:tcW w:w="25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481E8" w14:textId="77777777" w:rsidR="00DF7B24" w:rsidRPr="00CD0FB3" w:rsidRDefault="00DF7B24" w:rsidP="00E64EF2">
                  <w:pPr>
                    <w:spacing w:line="280" w:lineRule="exact"/>
                    <w:jc w:val="center"/>
                    <w:rPr>
                      <w:rFonts w:ascii="Franklin Gothic Book" w:hAnsi="Franklin Gothic Book"/>
                      <w:sz w:val="16"/>
                      <w:szCs w:val="16"/>
                    </w:rPr>
                  </w:pPr>
                  <w:r w:rsidRPr="00CD0FB3">
                    <w:rPr>
                      <w:rFonts w:ascii="Franklin Gothic Book" w:hAnsi="Franklin Gothic Book"/>
                      <w:sz w:val="16"/>
                      <w:szCs w:val="16"/>
                    </w:rPr>
                    <w:t>Improved disaster preparedness, response and recovery</w:t>
                  </w:r>
                </w:p>
              </w:tc>
              <w:tc>
                <w:tcPr>
                  <w:tcW w:w="283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85236" w14:textId="77777777" w:rsidR="00DF7B24" w:rsidRPr="00CD0FB3" w:rsidRDefault="00DF7B24" w:rsidP="00E64EF2">
                  <w:pPr>
                    <w:spacing w:line="280" w:lineRule="exact"/>
                    <w:jc w:val="center"/>
                    <w:rPr>
                      <w:rFonts w:ascii="Franklin Gothic Book" w:hAnsi="Franklin Gothic Book"/>
                      <w:sz w:val="16"/>
                      <w:szCs w:val="16"/>
                    </w:rPr>
                  </w:pPr>
                  <w:r w:rsidRPr="00CD0FB3">
                    <w:rPr>
                      <w:rFonts w:ascii="Franklin Gothic Book" w:hAnsi="Franklin Gothic Book"/>
                      <w:sz w:val="16"/>
                      <w:szCs w:val="16"/>
                    </w:rPr>
                    <w:t>Australia and Indonesia coordinate on humanitarian responses in the region</w:t>
                  </w:r>
                </w:p>
              </w:tc>
            </w:tr>
            <w:tr w:rsidR="00DF7B24" w:rsidRPr="00CD0FB3" w14:paraId="0C0C49D0" w14:textId="77777777" w:rsidTr="003D0689">
              <w:trPr>
                <w:cantSplit/>
                <w:trHeight w:val="278"/>
              </w:trPr>
              <w:tc>
                <w:tcPr>
                  <w:tcW w:w="1276" w:type="dxa"/>
                  <w:vMerge/>
                  <w:tcBorders>
                    <w:left w:val="single" w:sz="4" w:space="0" w:color="auto"/>
                    <w:right w:val="single" w:sz="4" w:space="0" w:color="auto"/>
                  </w:tcBorders>
                </w:tcPr>
                <w:p w14:paraId="2ED642EA" w14:textId="77777777" w:rsidR="00DF7B24" w:rsidRPr="00CD0FB3" w:rsidRDefault="00DF7B24" w:rsidP="00E64EF2">
                  <w:pPr>
                    <w:spacing w:line="280" w:lineRule="exact"/>
                    <w:jc w:val="center"/>
                    <w:rPr>
                      <w:rFonts w:ascii="Franklin Gothic Book" w:hAnsi="Franklin Gothic Book"/>
                      <w:sz w:val="16"/>
                      <w:szCs w:val="16"/>
                    </w:rPr>
                  </w:pPr>
                </w:p>
              </w:tc>
              <w:tc>
                <w:tcPr>
                  <w:tcW w:w="2410" w:type="dxa"/>
                  <w:tcBorders>
                    <w:left w:val="single" w:sz="4" w:space="0" w:color="auto"/>
                    <w:right w:val="single" w:sz="4" w:space="0" w:color="auto"/>
                  </w:tcBorders>
                  <w:shd w:val="clear" w:color="auto" w:fill="D9D9D9" w:themeFill="background1" w:themeFillShade="D9"/>
                  <w:vAlign w:val="center"/>
                  <w:hideMark/>
                </w:tcPr>
                <w:p w14:paraId="6CD1CC7E" w14:textId="77777777" w:rsidR="00DF7B24" w:rsidRPr="00CD0FB3" w:rsidRDefault="00DF7B24" w:rsidP="00E64EF2">
                  <w:pPr>
                    <w:spacing w:line="280" w:lineRule="exact"/>
                    <w:jc w:val="center"/>
                    <w:rPr>
                      <w:rFonts w:ascii="Franklin Gothic Book" w:hAnsi="Franklin Gothic Book"/>
                      <w:sz w:val="16"/>
                      <w:szCs w:val="16"/>
                    </w:rPr>
                  </w:pPr>
                  <w:r w:rsidRPr="00CD0FB3">
                    <w:rPr>
                      <w:rFonts w:ascii="Franklin Gothic Book" w:hAnsi="Franklin Gothic Book"/>
                      <w:sz w:val="16"/>
                      <w:szCs w:val="16"/>
                    </w:rPr>
                    <w:t xml:space="preserve">Australian Embassy has mechanisms in place to rapidly support a response and regularly tests its preparedness </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EF489" w14:textId="77777777" w:rsidR="00DF7B24" w:rsidRPr="00CD0FB3" w:rsidRDefault="00DF7B24" w:rsidP="00E64EF2">
                  <w:pPr>
                    <w:spacing w:line="280" w:lineRule="exact"/>
                    <w:jc w:val="center"/>
                    <w:rPr>
                      <w:rFonts w:ascii="Franklin Gothic Book" w:hAnsi="Franklin Gothic Book"/>
                      <w:sz w:val="16"/>
                      <w:szCs w:val="16"/>
                    </w:rPr>
                  </w:pPr>
                  <w:r w:rsidRPr="00CD0FB3">
                    <w:rPr>
                      <w:rFonts w:ascii="Franklin Gothic Book" w:hAnsi="Franklin Gothic Book"/>
                      <w:sz w:val="16"/>
                      <w:szCs w:val="16"/>
                    </w:rPr>
                    <w:t>Improved collaboration among government and non-government DRM partners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801DD" w14:textId="77777777" w:rsidR="00DF7B24" w:rsidRPr="00CD0FB3" w:rsidRDefault="00DF7B24" w:rsidP="00E64EF2">
                  <w:pPr>
                    <w:spacing w:line="280" w:lineRule="exact"/>
                    <w:jc w:val="center"/>
                    <w:rPr>
                      <w:rFonts w:ascii="Franklin Gothic Book" w:hAnsi="Franklin Gothic Book"/>
                      <w:sz w:val="16"/>
                      <w:szCs w:val="16"/>
                    </w:rPr>
                  </w:pPr>
                  <w:r w:rsidRPr="00CD0FB3">
                    <w:rPr>
                      <w:rFonts w:ascii="Franklin Gothic Book" w:hAnsi="Franklin Gothic Book"/>
                      <w:sz w:val="16"/>
                      <w:szCs w:val="16"/>
                    </w:rPr>
                    <w:t>Indonesia’s humanitarian responses demonstrate good international practice</w:t>
                  </w:r>
                </w:p>
              </w:tc>
            </w:tr>
          </w:tbl>
          <w:p w14:paraId="4E7871D3" w14:textId="53A530F7" w:rsidR="00DF7B24" w:rsidRPr="00CD0FB3" w:rsidRDefault="00DF7B24" w:rsidP="00DF7B24">
            <w:pPr>
              <w:suppressAutoHyphens w:val="0"/>
              <w:spacing w:after="0" w:line="276" w:lineRule="auto"/>
              <w:rPr>
                <w:rFonts w:asciiTheme="majorHAnsi" w:hAnsiTheme="majorHAnsi" w:cs="Arial"/>
                <w:i/>
              </w:rPr>
            </w:pPr>
            <w:r w:rsidRPr="00CD0FB3">
              <w:rPr>
                <w:rFonts w:asciiTheme="majorHAnsi" w:hAnsiTheme="majorHAnsi" w:cs="Arial"/>
                <w:i/>
              </w:rPr>
              <w:t xml:space="preserve">Objective </w:t>
            </w:r>
            <w:r w:rsidR="0059750B" w:rsidRPr="00CD0FB3">
              <w:rPr>
                <w:rFonts w:asciiTheme="majorHAnsi" w:hAnsiTheme="majorHAnsi" w:cs="Arial"/>
                <w:i/>
              </w:rPr>
              <w:t>1</w:t>
            </w:r>
            <w:r w:rsidRPr="00CD0FB3">
              <w:rPr>
                <w:rFonts w:asciiTheme="majorHAnsi" w:hAnsiTheme="majorHAnsi" w:cs="Arial"/>
                <w:i/>
              </w:rPr>
              <w:t>:</w:t>
            </w:r>
            <w:r w:rsidR="003D0689" w:rsidRPr="00CD0FB3">
              <w:rPr>
                <w:rFonts w:asciiTheme="majorHAnsi" w:hAnsiTheme="majorHAnsi" w:cs="Arial"/>
                <w:i/>
              </w:rPr>
              <w:t xml:space="preserve"> </w:t>
            </w:r>
            <w:r w:rsidR="000A0AAC">
              <w:rPr>
                <w:rFonts w:asciiTheme="majorHAnsi" w:hAnsiTheme="majorHAnsi" w:cs="Arial"/>
                <w:i/>
              </w:rPr>
              <w:t>High level of Australian r</w:t>
            </w:r>
            <w:r w:rsidRPr="00CD0FB3">
              <w:rPr>
                <w:rFonts w:asciiTheme="majorHAnsi" w:hAnsiTheme="majorHAnsi" w:cs="Arial"/>
                <w:i/>
              </w:rPr>
              <w:t xml:space="preserve">eadiness to </w:t>
            </w:r>
            <w:r w:rsidR="000A0AAC">
              <w:rPr>
                <w:rFonts w:asciiTheme="majorHAnsi" w:hAnsiTheme="majorHAnsi" w:cs="Arial"/>
                <w:i/>
              </w:rPr>
              <w:t xml:space="preserve">respond to </w:t>
            </w:r>
            <w:r w:rsidRPr="00CD0FB3">
              <w:rPr>
                <w:rFonts w:asciiTheme="majorHAnsi" w:hAnsiTheme="majorHAnsi" w:cs="Arial"/>
                <w:i/>
              </w:rPr>
              <w:t>humanitarian cris</w:t>
            </w:r>
            <w:r w:rsidR="000A0AAC">
              <w:rPr>
                <w:rFonts w:asciiTheme="majorHAnsi" w:hAnsiTheme="majorHAnsi" w:cs="Arial"/>
                <w:i/>
              </w:rPr>
              <w:t>e</w:t>
            </w:r>
            <w:r w:rsidRPr="00CD0FB3">
              <w:rPr>
                <w:rFonts w:asciiTheme="majorHAnsi" w:hAnsiTheme="majorHAnsi" w:cs="Arial"/>
                <w:i/>
              </w:rPr>
              <w:t xml:space="preserve">s </w:t>
            </w:r>
            <w:r w:rsidR="007B4756" w:rsidRPr="00CD0FB3">
              <w:rPr>
                <w:rFonts w:asciiTheme="majorHAnsi" w:hAnsiTheme="majorHAnsi" w:cs="Arial"/>
                <w:i/>
              </w:rPr>
              <w:t>(Note: not included in the design)</w:t>
            </w:r>
          </w:p>
          <w:p w14:paraId="7DB38D81" w14:textId="77777777" w:rsidR="003D0689" w:rsidRPr="00CD0FB3" w:rsidRDefault="003D0689" w:rsidP="003D0689">
            <w:pPr>
              <w:suppressAutoHyphens w:val="0"/>
              <w:spacing w:after="0" w:line="276" w:lineRule="auto"/>
              <w:rPr>
                <w:rFonts w:asciiTheme="majorHAnsi" w:hAnsiTheme="majorHAnsi" w:cs="Arial"/>
              </w:rPr>
            </w:pPr>
            <w:r w:rsidRPr="00CD0FB3">
              <w:rPr>
                <w:rFonts w:asciiTheme="majorHAnsi" w:hAnsiTheme="majorHAnsi" w:cs="Arial"/>
              </w:rPr>
              <w:t xml:space="preserve">The </w:t>
            </w:r>
            <w:r w:rsidR="00DF7B24" w:rsidRPr="00CD0FB3">
              <w:rPr>
                <w:rFonts w:asciiTheme="majorHAnsi" w:hAnsiTheme="majorHAnsi" w:cs="Arial"/>
              </w:rPr>
              <w:t xml:space="preserve">Embassy </w:t>
            </w:r>
            <w:r w:rsidRPr="00CD0FB3">
              <w:rPr>
                <w:rFonts w:asciiTheme="majorHAnsi" w:hAnsiTheme="majorHAnsi" w:cs="Arial"/>
              </w:rPr>
              <w:t xml:space="preserve">will maintain </w:t>
            </w:r>
            <w:r w:rsidR="00AD7120" w:rsidRPr="00CD0FB3">
              <w:rPr>
                <w:rFonts w:asciiTheme="majorHAnsi" w:hAnsiTheme="majorHAnsi" w:cs="Arial"/>
              </w:rPr>
              <w:t xml:space="preserve">a </w:t>
            </w:r>
            <w:r w:rsidR="00DF7B24" w:rsidRPr="00CD0FB3">
              <w:rPr>
                <w:rFonts w:asciiTheme="majorHAnsi" w:hAnsiTheme="majorHAnsi" w:cs="Arial"/>
              </w:rPr>
              <w:t xml:space="preserve">capability </w:t>
            </w:r>
            <w:r w:rsidR="002907AF" w:rsidRPr="00CD0FB3">
              <w:rPr>
                <w:rFonts w:asciiTheme="majorHAnsi" w:hAnsiTheme="majorHAnsi" w:cs="Arial"/>
              </w:rPr>
              <w:t xml:space="preserve">to </w:t>
            </w:r>
            <w:r w:rsidR="00AD7120" w:rsidRPr="00CD0FB3">
              <w:rPr>
                <w:rFonts w:asciiTheme="majorHAnsi" w:hAnsiTheme="majorHAnsi" w:cs="Arial"/>
              </w:rPr>
              <w:t>support Australian</w:t>
            </w:r>
            <w:r w:rsidR="002907AF" w:rsidRPr="00CD0FB3">
              <w:rPr>
                <w:rFonts w:asciiTheme="majorHAnsi" w:hAnsiTheme="majorHAnsi" w:cs="Arial"/>
              </w:rPr>
              <w:t xml:space="preserve"> humanitarian assistance</w:t>
            </w:r>
            <w:r w:rsidR="00AD7120" w:rsidRPr="00CD0FB3">
              <w:rPr>
                <w:rFonts w:asciiTheme="majorHAnsi" w:hAnsiTheme="majorHAnsi" w:cs="Arial"/>
              </w:rPr>
              <w:t xml:space="preserve"> in a crisis</w:t>
            </w:r>
            <w:r w:rsidR="002907AF" w:rsidRPr="00CD0FB3">
              <w:rPr>
                <w:rFonts w:asciiTheme="majorHAnsi" w:hAnsiTheme="majorHAnsi" w:cs="Arial"/>
              </w:rPr>
              <w:t xml:space="preserve"> </w:t>
            </w:r>
            <w:r w:rsidR="00AD7120" w:rsidRPr="00CD0FB3">
              <w:rPr>
                <w:rFonts w:asciiTheme="majorHAnsi" w:hAnsiTheme="majorHAnsi" w:cs="Arial"/>
              </w:rPr>
              <w:t>including through a trained and resourced humanitarian response team</w:t>
            </w:r>
            <w:r w:rsidR="002907AF" w:rsidRPr="00CD0FB3">
              <w:rPr>
                <w:rFonts w:asciiTheme="majorHAnsi" w:hAnsiTheme="majorHAnsi" w:cs="Arial"/>
              </w:rPr>
              <w:t>.</w:t>
            </w:r>
            <w:r w:rsidR="00DF7B24" w:rsidRPr="00CD0FB3">
              <w:rPr>
                <w:rFonts w:asciiTheme="majorHAnsi" w:hAnsiTheme="majorHAnsi" w:cs="Arial"/>
              </w:rPr>
              <w:t xml:space="preserve"> The new investment will </w:t>
            </w:r>
            <w:r w:rsidRPr="00CD0FB3">
              <w:rPr>
                <w:rFonts w:asciiTheme="majorHAnsi" w:hAnsiTheme="majorHAnsi" w:cs="Arial"/>
              </w:rPr>
              <w:t xml:space="preserve">(separate to the design) </w:t>
            </w:r>
            <w:r w:rsidR="00DF7B24" w:rsidRPr="00CD0FB3">
              <w:rPr>
                <w:rFonts w:asciiTheme="majorHAnsi" w:hAnsiTheme="majorHAnsi" w:cs="Arial"/>
              </w:rPr>
              <w:t xml:space="preserve">include a small budget to support </w:t>
            </w:r>
            <w:r w:rsidR="002907AF" w:rsidRPr="00CD0FB3">
              <w:rPr>
                <w:rFonts w:asciiTheme="majorHAnsi" w:hAnsiTheme="majorHAnsi" w:cs="Arial"/>
              </w:rPr>
              <w:t xml:space="preserve">this </w:t>
            </w:r>
            <w:r w:rsidR="00DF7B24" w:rsidRPr="00CD0FB3">
              <w:rPr>
                <w:rFonts w:asciiTheme="majorHAnsi" w:hAnsiTheme="majorHAnsi" w:cs="Arial"/>
              </w:rPr>
              <w:t>readiness</w:t>
            </w:r>
            <w:r w:rsidR="002907AF" w:rsidRPr="00CD0FB3">
              <w:rPr>
                <w:rFonts w:asciiTheme="majorHAnsi" w:hAnsiTheme="majorHAnsi" w:cs="Arial"/>
              </w:rPr>
              <w:t>. We will also maintain</w:t>
            </w:r>
            <w:r w:rsidRPr="00CD0FB3">
              <w:rPr>
                <w:rFonts w:asciiTheme="majorHAnsi" w:hAnsiTheme="majorHAnsi" w:cs="Arial"/>
              </w:rPr>
              <w:t xml:space="preserve"> pre-positioned funds with the International Federation of the Red Cross/Crescent (IFRC) for use by Indonesian Red Cross (PMI) in a humanitarian emergency.  </w:t>
            </w:r>
          </w:p>
          <w:p w14:paraId="6C48969B" w14:textId="03545478" w:rsidR="0059750B" w:rsidRPr="00CD0FB3" w:rsidRDefault="0059750B" w:rsidP="003D0689">
            <w:pPr>
              <w:suppressAutoHyphens w:val="0"/>
              <w:spacing w:after="0" w:line="276" w:lineRule="auto"/>
              <w:rPr>
                <w:rFonts w:asciiTheme="majorHAnsi" w:hAnsiTheme="majorHAnsi" w:cs="Arial"/>
              </w:rPr>
            </w:pPr>
            <w:r w:rsidRPr="00CD0FB3">
              <w:rPr>
                <w:rFonts w:asciiTheme="majorHAnsi" w:hAnsiTheme="majorHAnsi" w:cs="Arial"/>
              </w:rPr>
              <w:lastRenderedPageBreak/>
              <w:t xml:space="preserve">Although linked, the design will not directly cover this objective and it will be managed internally by </w:t>
            </w:r>
            <w:r w:rsidR="007B4756" w:rsidRPr="00CD0FB3">
              <w:rPr>
                <w:rFonts w:asciiTheme="majorHAnsi" w:hAnsiTheme="majorHAnsi" w:cs="Arial"/>
              </w:rPr>
              <w:t>Post</w:t>
            </w:r>
            <w:r w:rsidRPr="00CD0FB3">
              <w:rPr>
                <w:rFonts w:asciiTheme="majorHAnsi" w:hAnsiTheme="majorHAnsi" w:cs="Arial"/>
              </w:rPr>
              <w:t>.</w:t>
            </w:r>
          </w:p>
          <w:p w14:paraId="37C6A52E" w14:textId="77777777" w:rsidR="00DF7B24" w:rsidRPr="00CD0FB3" w:rsidRDefault="00DF7B24" w:rsidP="00DF7B24">
            <w:pPr>
              <w:suppressAutoHyphens w:val="0"/>
              <w:spacing w:after="0" w:line="276" w:lineRule="auto"/>
              <w:rPr>
                <w:rFonts w:asciiTheme="majorHAnsi" w:hAnsiTheme="majorHAnsi" w:cs="Arial"/>
                <w:i/>
              </w:rPr>
            </w:pPr>
            <w:r w:rsidRPr="00CD0FB3">
              <w:rPr>
                <w:rFonts w:asciiTheme="majorHAnsi" w:hAnsiTheme="majorHAnsi" w:cs="Arial"/>
                <w:i/>
              </w:rPr>
              <w:t xml:space="preserve">Objective </w:t>
            </w:r>
            <w:r w:rsidR="0059750B" w:rsidRPr="00CD0FB3">
              <w:rPr>
                <w:rFonts w:asciiTheme="majorHAnsi" w:hAnsiTheme="majorHAnsi" w:cs="Arial"/>
                <w:i/>
              </w:rPr>
              <w:t>2</w:t>
            </w:r>
            <w:r w:rsidRPr="00CD0FB3">
              <w:rPr>
                <w:rFonts w:asciiTheme="majorHAnsi" w:hAnsiTheme="majorHAnsi" w:cs="Arial"/>
                <w:i/>
              </w:rPr>
              <w:t>: Improving management of disaster risks in Indonesia</w:t>
            </w:r>
          </w:p>
          <w:p w14:paraId="5ABBACB4" w14:textId="55391FD0" w:rsidR="00DF7B24" w:rsidRPr="00CD0FB3" w:rsidRDefault="00DF7B24" w:rsidP="00DF7B24">
            <w:pPr>
              <w:suppressAutoHyphens w:val="0"/>
              <w:spacing w:after="0" w:line="276" w:lineRule="auto"/>
              <w:rPr>
                <w:rFonts w:asciiTheme="majorHAnsi" w:hAnsiTheme="majorHAnsi" w:cs="Arial"/>
              </w:rPr>
            </w:pPr>
            <w:r w:rsidRPr="00CD0FB3">
              <w:rPr>
                <w:rFonts w:asciiTheme="majorHAnsi" w:hAnsiTheme="majorHAnsi" w:cs="Arial"/>
              </w:rPr>
              <w:t>We will aim to improve management of disaster risks with a particular focus on strengthening GOI coordination in preparing</w:t>
            </w:r>
            <w:r w:rsidR="0059750B" w:rsidRPr="00CD0FB3">
              <w:rPr>
                <w:rFonts w:asciiTheme="majorHAnsi" w:hAnsiTheme="majorHAnsi" w:cs="Arial"/>
              </w:rPr>
              <w:t xml:space="preserve"> for</w:t>
            </w:r>
            <w:r w:rsidRPr="00CD0FB3">
              <w:rPr>
                <w:rFonts w:asciiTheme="majorHAnsi" w:hAnsiTheme="majorHAnsi" w:cs="Arial"/>
              </w:rPr>
              <w:t xml:space="preserve">, responding to and supporting recovery from disasters. A focus on improving DRM coordination will allow us to maintain the knowledge and relationships critical in the event of a major disaster in Indonesia or regionally. It will also build on the strengths of our existing DRM engagement, and complement other donors (NZ, US, Japan). </w:t>
            </w:r>
          </w:p>
          <w:p w14:paraId="6CDD4ACE" w14:textId="0B864C74" w:rsidR="00DF7B24" w:rsidRPr="00CD0FB3" w:rsidRDefault="00DF7B24" w:rsidP="00DF7B24">
            <w:pPr>
              <w:suppressAutoHyphens w:val="0"/>
              <w:spacing w:after="0" w:line="276" w:lineRule="auto"/>
              <w:rPr>
                <w:rFonts w:asciiTheme="majorHAnsi" w:hAnsiTheme="majorHAnsi" w:cs="Arial"/>
              </w:rPr>
            </w:pPr>
            <w:r w:rsidRPr="00CD0FB3">
              <w:rPr>
                <w:rFonts w:asciiTheme="majorHAnsi" w:hAnsiTheme="majorHAnsi" w:cs="Arial"/>
              </w:rPr>
              <w:t>Th</w:t>
            </w:r>
            <w:r w:rsidR="007B4756" w:rsidRPr="00CD0FB3">
              <w:rPr>
                <w:rFonts w:asciiTheme="majorHAnsi" w:hAnsiTheme="majorHAnsi" w:cs="Arial"/>
              </w:rPr>
              <w:t>e</w:t>
            </w:r>
            <w:r w:rsidRPr="00CD0FB3">
              <w:rPr>
                <w:rFonts w:asciiTheme="majorHAnsi" w:hAnsiTheme="majorHAnsi" w:cs="Arial"/>
              </w:rPr>
              <w:t xml:space="preserve"> investment will strengthen Indonesia’s DRM coordination and preparedness through a range of approaches, including direct technical assistance and capacity building for GOI (BNPB/Bappenas/BPBD) and non-government partners, community preparedness programs, support for regular disaster exercises involving </w:t>
            </w:r>
            <w:r w:rsidR="002907AF" w:rsidRPr="00CD0FB3">
              <w:rPr>
                <w:rFonts w:asciiTheme="majorHAnsi" w:hAnsiTheme="majorHAnsi" w:cs="Arial"/>
              </w:rPr>
              <w:t xml:space="preserve">GoI </w:t>
            </w:r>
            <w:r w:rsidRPr="00CD0FB3">
              <w:rPr>
                <w:rFonts w:asciiTheme="majorHAnsi" w:hAnsiTheme="majorHAnsi" w:cs="Arial"/>
              </w:rPr>
              <w:t xml:space="preserve">and non-government DRM actors, and reviews to learn and apply the lessons from disasters such as the Mt Agung eruption. </w:t>
            </w:r>
          </w:p>
          <w:p w14:paraId="008BC3BD" w14:textId="3D00118E" w:rsidR="0098308B" w:rsidRPr="00CD0FB3" w:rsidRDefault="0098308B" w:rsidP="0098308B">
            <w:pPr>
              <w:suppressAutoHyphens w:val="0"/>
              <w:spacing w:after="0" w:line="276" w:lineRule="auto"/>
              <w:rPr>
                <w:rFonts w:asciiTheme="majorHAnsi" w:hAnsiTheme="majorHAnsi" w:cs="Arial"/>
              </w:rPr>
            </w:pPr>
            <w:r w:rsidRPr="00CD0FB3">
              <w:rPr>
                <w:rFonts w:asciiTheme="majorHAnsi" w:hAnsiTheme="majorHAnsi" w:cs="Arial"/>
              </w:rPr>
              <w:t xml:space="preserve">The </w:t>
            </w:r>
            <w:r w:rsidR="002907AF" w:rsidRPr="00CD0FB3">
              <w:rPr>
                <w:rFonts w:asciiTheme="majorHAnsi" w:hAnsiTheme="majorHAnsi" w:cs="Arial"/>
              </w:rPr>
              <w:t xml:space="preserve">investment </w:t>
            </w:r>
            <w:r w:rsidRPr="00CD0FB3">
              <w:rPr>
                <w:rFonts w:asciiTheme="majorHAnsi" w:hAnsiTheme="majorHAnsi" w:cs="Arial"/>
              </w:rPr>
              <w:t>will</w:t>
            </w:r>
            <w:r w:rsidR="00E57E76" w:rsidRPr="00CD0FB3">
              <w:rPr>
                <w:rFonts w:asciiTheme="majorHAnsi" w:hAnsiTheme="majorHAnsi" w:cs="Arial"/>
              </w:rPr>
              <w:t xml:space="preserve"> help </w:t>
            </w:r>
            <w:r w:rsidRPr="00CD0FB3">
              <w:rPr>
                <w:rFonts w:asciiTheme="majorHAnsi" w:hAnsiTheme="majorHAnsi" w:cs="Arial"/>
              </w:rPr>
              <w:t xml:space="preserve">review DRM policy </w:t>
            </w:r>
            <w:r w:rsidR="00587E11" w:rsidRPr="00CD0FB3">
              <w:rPr>
                <w:rFonts w:asciiTheme="majorHAnsi" w:hAnsiTheme="majorHAnsi" w:cs="Arial"/>
              </w:rPr>
              <w:t xml:space="preserve">and practice </w:t>
            </w:r>
            <w:r w:rsidRPr="00CD0FB3">
              <w:rPr>
                <w:rFonts w:asciiTheme="majorHAnsi" w:hAnsiTheme="majorHAnsi" w:cs="Arial"/>
              </w:rPr>
              <w:t>at the national and sub-national level</w:t>
            </w:r>
            <w:r w:rsidR="002907AF" w:rsidRPr="00CD0FB3">
              <w:rPr>
                <w:rFonts w:asciiTheme="majorHAnsi" w:hAnsiTheme="majorHAnsi" w:cs="Arial"/>
              </w:rPr>
              <w:t xml:space="preserve"> and</w:t>
            </w:r>
            <w:r w:rsidRPr="00CD0FB3">
              <w:rPr>
                <w:rFonts w:asciiTheme="majorHAnsi" w:hAnsiTheme="majorHAnsi" w:cs="Arial"/>
              </w:rPr>
              <w:t xml:space="preserve"> </w:t>
            </w:r>
            <w:r w:rsidR="00587E11" w:rsidRPr="00CD0FB3">
              <w:rPr>
                <w:rFonts w:asciiTheme="majorHAnsi" w:hAnsiTheme="majorHAnsi" w:cs="Arial"/>
              </w:rPr>
              <w:t>identify and pilot new policies and procedures</w:t>
            </w:r>
            <w:r w:rsidRPr="00CD0FB3">
              <w:rPr>
                <w:rFonts w:asciiTheme="majorHAnsi" w:hAnsiTheme="majorHAnsi" w:cs="Arial"/>
              </w:rPr>
              <w:t>. It will support Indonesia’s own capability</w:t>
            </w:r>
            <w:r w:rsidR="00587E11" w:rsidRPr="00CD0FB3">
              <w:rPr>
                <w:rFonts w:asciiTheme="majorHAnsi" w:hAnsiTheme="majorHAnsi" w:cs="Arial"/>
              </w:rPr>
              <w:t>,</w:t>
            </w:r>
            <w:r w:rsidRPr="00CD0FB3">
              <w:rPr>
                <w:rFonts w:asciiTheme="majorHAnsi" w:hAnsiTheme="majorHAnsi" w:cs="Arial"/>
              </w:rPr>
              <w:t xml:space="preserve"> leverage existing expertise</w:t>
            </w:r>
            <w:r w:rsidR="00587E11" w:rsidRPr="00CD0FB3">
              <w:rPr>
                <w:rFonts w:asciiTheme="majorHAnsi" w:hAnsiTheme="majorHAnsi" w:cs="Arial"/>
              </w:rPr>
              <w:t>,</w:t>
            </w:r>
            <w:r w:rsidRPr="00CD0FB3">
              <w:rPr>
                <w:rFonts w:asciiTheme="majorHAnsi" w:hAnsiTheme="majorHAnsi" w:cs="Arial"/>
              </w:rPr>
              <w:t xml:space="preserve"> and support the implementation </w:t>
            </w:r>
            <w:r w:rsidR="00587E11" w:rsidRPr="00CD0FB3">
              <w:rPr>
                <w:rFonts w:asciiTheme="majorHAnsi" w:hAnsiTheme="majorHAnsi" w:cs="Arial"/>
              </w:rPr>
              <w:t xml:space="preserve">and scaling-up </w:t>
            </w:r>
            <w:r w:rsidRPr="00CD0FB3">
              <w:rPr>
                <w:rFonts w:asciiTheme="majorHAnsi" w:hAnsiTheme="majorHAnsi" w:cs="Arial"/>
              </w:rPr>
              <w:t>of these policies</w:t>
            </w:r>
            <w:r w:rsidR="00587E11" w:rsidRPr="00CD0FB3">
              <w:rPr>
                <w:rFonts w:asciiTheme="majorHAnsi" w:hAnsiTheme="majorHAnsi" w:cs="Arial"/>
              </w:rPr>
              <w:t xml:space="preserve"> and practices</w:t>
            </w:r>
            <w:r w:rsidRPr="00CD0FB3">
              <w:rPr>
                <w:rFonts w:asciiTheme="majorHAnsi" w:hAnsiTheme="majorHAnsi" w:cs="Arial"/>
              </w:rPr>
              <w:t>. Through this policy work, the program will also seek to address and mainstream cross-cutting issues such as gender</w:t>
            </w:r>
            <w:r w:rsidR="002907AF" w:rsidRPr="00CD0FB3">
              <w:rPr>
                <w:rFonts w:asciiTheme="majorHAnsi" w:hAnsiTheme="majorHAnsi" w:cs="Arial"/>
              </w:rPr>
              <w:t>, child protection and</w:t>
            </w:r>
            <w:r w:rsidRPr="00CD0FB3">
              <w:rPr>
                <w:rFonts w:asciiTheme="majorHAnsi" w:hAnsiTheme="majorHAnsi" w:cs="Arial"/>
              </w:rPr>
              <w:t xml:space="preserve"> disability and explore specific issues such as cash transfer program</w:t>
            </w:r>
            <w:r w:rsidR="00587E11" w:rsidRPr="00CD0FB3">
              <w:rPr>
                <w:rFonts w:asciiTheme="majorHAnsi" w:hAnsiTheme="majorHAnsi" w:cs="Arial"/>
              </w:rPr>
              <w:t>s</w:t>
            </w:r>
            <w:r w:rsidRPr="00CD0FB3">
              <w:rPr>
                <w:rFonts w:asciiTheme="majorHAnsi" w:hAnsiTheme="majorHAnsi" w:cs="Arial"/>
              </w:rPr>
              <w:t xml:space="preserve"> and disaster risk financing (which are also key gaps).   </w:t>
            </w:r>
          </w:p>
          <w:p w14:paraId="0CE0E9BA" w14:textId="77777777" w:rsidR="0098308B" w:rsidRPr="00CD0FB3" w:rsidRDefault="002907AF" w:rsidP="0098308B">
            <w:pPr>
              <w:suppressAutoHyphens w:val="0"/>
              <w:spacing w:after="0" w:line="276" w:lineRule="auto"/>
              <w:rPr>
                <w:rFonts w:asciiTheme="majorHAnsi" w:hAnsiTheme="majorHAnsi" w:cs="Arial"/>
              </w:rPr>
            </w:pPr>
            <w:r w:rsidRPr="00CD0FB3">
              <w:rPr>
                <w:rFonts w:asciiTheme="majorHAnsi" w:hAnsiTheme="majorHAnsi" w:cs="Arial"/>
              </w:rPr>
              <w:t>T</w:t>
            </w:r>
            <w:r w:rsidR="0098308B" w:rsidRPr="00CD0FB3">
              <w:rPr>
                <w:rFonts w:asciiTheme="majorHAnsi" w:hAnsiTheme="majorHAnsi" w:cs="Arial"/>
              </w:rPr>
              <w:t>h</w:t>
            </w:r>
            <w:r w:rsidRPr="00CD0FB3">
              <w:rPr>
                <w:rFonts w:asciiTheme="majorHAnsi" w:hAnsiTheme="majorHAnsi" w:cs="Arial"/>
              </w:rPr>
              <w:t xml:space="preserve">e investment </w:t>
            </w:r>
            <w:r w:rsidR="0098308B" w:rsidRPr="00CD0FB3">
              <w:rPr>
                <w:rFonts w:asciiTheme="majorHAnsi" w:hAnsiTheme="majorHAnsi" w:cs="Arial"/>
              </w:rPr>
              <w:t xml:space="preserve">will also look </w:t>
            </w:r>
            <w:r w:rsidR="00587E11" w:rsidRPr="00CD0FB3">
              <w:rPr>
                <w:rFonts w:asciiTheme="majorHAnsi" w:hAnsiTheme="majorHAnsi" w:cs="Arial"/>
              </w:rPr>
              <w:t xml:space="preserve">to address </w:t>
            </w:r>
            <w:r w:rsidR="0098308B" w:rsidRPr="00CD0FB3">
              <w:rPr>
                <w:rFonts w:asciiTheme="majorHAnsi" w:hAnsiTheme="majorHAnsi" w:cs="Arial"/>
              </w:rPr>
              <w:t>the significant knowledge and coordination gaps between the national and sub-national level</w:t>
            </w:r>
            <w:r w:rsidR="00587E11" w:rsidRPr="00CD0FB3">
              <w:rPr>
                <w:rFonts w:asciiTheme="majorHAnsi" w:hAnsiTheme="majorHAnsi" w:cs="Arial"/>
              </w:rPr>
              <w:t>s</w:t>
            </w:r>
            <w:r w:rsidR="0098308B" w:rsidRPr="00CD0FB3">
              <w:rPr>
                <w:rFonts w:asciiTheme="majorHAnsi" w:hAnsiTheme="majorHAnsi" w:cs="Arial"/>
              </w:rPr>
              <w:t xml:space="preserve">. </w:t>
            </w:r>
            <w:r w:rsidR="00587E11" w:rsidRPr="00CD0FB3">
              <w:rPr>
                <w:rFonts w:asciiTheme="majorHAnsi" w:hAnsiTheme="majorHAnsi" w:cs="Arial"/>
              </w:rPr>
              <w:t>We</w:t>
            </w:r>
            <w:r w:rsidR="0098308B" w:rsidRPr="00CD0FB3">
              <w:rPr>
                <w:rFonts w:asciiTheme="majorHAnsi" w:hAnsiTheme="majorHAnsi" w:cs="Arial"/>
              </w:rPr>
              <w:t xml:space="preserve"> will </w:t>
            </w:r>
            <w:r w:rsidR="00587E11" w:rsidRPr="00CD0FB3">
              <w:rPr>
                <w:rFonts w:asciiTheme="majorHAnsi" w:hAnsiTheme="majorHAnsi" w:cs="Arial"/>
              </w:rPr>
              <w:t>support</w:t>
            </w:r>
            <w:r w:rsidR="0098308B" w:rsidRPr="00CD0FB3">
              <w:rPr>
                <w:rFonts w:asciiTheme="majorHAnsi" w:hAnsiTheme="majorHAnsi" w:cs="Arial"/>
              </w:rPr>
              <w:t xml:space="preserve"> a series of disaster response exercises in priority areas. Through exercises, the program aims to improve coordination and awareness amongst stakeholders at sub-national level and between sub-national government and national government, while also testing existing </w:t>
            </w:r>
            <w:r w:rsidRPr="00CD0FB3">
              <w:rPr>
                <w:rFonts w:asciiTheme="majorHAnsi" w:hAnsiTheme="majorHAnsi" w:cs="Arial"/>
              </w:rPr>
              <w:t xml:space="preserve">plans, </w:t>
            </w:r>
            <w:r w:rsidR="0098308B" w:rsidRPr="00CD0FB3">
              <w:rPr>
                <w:rFonts w:asciiTheme="majorHAnsi" w:hAnsiTheme="majorHAnsi" w:cs="Arial"/>
              </w:rPr>
              <w:t>polic</w:t>
            </w:r>
            <w:r w:rsidRPr="00CD0FB3">
              <w:rPr>
                <w:rFonts w:asciiTheme="majorHAnsi" w:hAnsiTheme="majorHAnsi" w:cs="Arial"/>
              </w:rPr>
              <w:t>ies</w:t>
            </w:r>
            <w:r w:rsidR="0098308B" w:rsidRPr="00CD0FB3">
              <w:rPr>
                <w:rFonts w:asciiTheme="majorHAnsi" w:hAnsiTheme="majorHAnsi" w:cs="Arial"/>
              </w:rPr>
              <w:t xml:space="preserve"> and </w:t>
            </w:r>
            <w:r w:rsidRPr="00CD0FB3">
              <w:rPr>
                <w:rFonts w:asciiTheme="majorHAnsi" w:hAnsiTheme="majorHAnsi" w:cs="Arial"/>
              </w:rPr>
              <w:t>procedures</w:t>
            </w:r>
            <w:r w:rsidR="0098308B" w:rsidRPr="00CD0FB3">
              <w:rPr>
                <w:rFonts w:asciiTheme="majorHAnsi" w:hAnsiTheme="majorHAnsi" w:cs="Arial"/>
              </w:rPr>
              <w:t xml:space="preserve">. </w:t>
            </w:r>
          </w:p>
          <w:p w14:paraId="2B7343AA" w14:textId="5F099B8A" w:rsidR="0098308B" w:rsidRPr="00CD0FB3" w:rsidRDefault="0098308B" w:rsidP="0098308B">
            <w:pPr>
              <w:suppressAutoHyphens w:val="0"/>
              <w:spacing w:after="0" w:line="276" w:lineRule="auto"/>
              <w:rPr>
                <w:rFonts w:asciiTheme="majorHAnsi" w:hAnsiTheme="majorHAnsi" w:cs="Arial"/>
              </w:rPr>
            </w:pPr>
            <w:r w:rsidRPr="00CD0FB3">
              <w:rPr>
                <w:rFonts w:asciiTheme="majorHAnsi" w:hAnsiTheme="majorHAnsi" w:cs="Arial"/>
              </w:rPr>
              <w:t>A focus on coordination represents a narrowing of our existing program</w:t>
            </w:r>
            <w:r w:rsidR="0053418A" w:rsidRPr="00CD0FB3">
              <w:rPr>
                <w:rFonts w:asciiTheme="majorHAnsi" w:hAnsiTheme="majorHAnsi" w:cs="Arial"/>
              </w:rPr>
              <w:t xml:space="preserve"> – with a shift away from</w:t>
            </w:r>
            <w:r w:rsidRPr="00CD0FB3">
              <w:rPr>
                <w:rFonts w:asciiTheme="majorHAnsi" w:hAnsiTheme="majorHAnsi" w:cs="Arial"/>
              </w:rPr>
              <w:t xml:space="preserve"> information management and science. </w:t>
            </w:r>
            <w:r w:rsidR="0053418A" w:rsidRPr="00CD0FB3">
              <w:rPr>
                <w:rFonts w:asciiTheme="majorHAnsi" w:hAnsiTheme="majorHAnsi" w:cs="Arial"/>
              </w:rPr>
              <w:t xml:space="preserve">Our new program will focus on improving the utilisation of the existing, extensive suite of DRM tools and data to prepare for future disasters. </w:t>
            </w:r>
            <w:r w:rsidRPr="00CD0FB3">
              <w:rPr>
                <w:rFonts w:asciiTheme="majorHAnsi" w:hAnsiTheme="majorHAnsi" w:cs="Arial"/>
              </w:rPr>
              <w:t>If support is required to improve sustainability of legacy projects then we will continue this work through targeted activities. We w</w:t>
            </w:r>
            <w:r w:rsidR="008E7662">
              <w:rPr>
                <w:rFonts w:asciiTheme="majorHAnsi" w:hAnsiTheme="majorHAnsi" w:cs="Arial"/>
              </w:rPr>
              <w:t xml:space="preserve">ill work closely with Japan, US, </w:t>
            </w:r>
            <w:r w:rsidRPr="00CD0FB3">
              <w:rPr>
                <w:rFonts w:asciiTheme="majorHAnsi" w:hAnsiTheme="majorHAnsi" w:cs="Arial"/>
              </w:rPr>
              <w:t xml:space="preserve">NZ </w:t>
            </w:r>
            <w:r w:rsidR="008E7662">
              <w:rPr>
                <w:rFonts w:asciiTheme="majorHAnsi" w:hAnsiTheme="majorHAnsi" w:cs="Arial"/>
              </w:rPr>
              <w:t xml:space="preserve">and other donors </w:t>
            </w:r>
            <w:r w:rsidR="002907AF" w:rsidRPr="00CD0FB3">
              <w:rPr>
                <w:rFonts w:asciiTheme="majorHAnsi" w:hAnsiTheme="majorHAnsi" w:cs="Arial"/>
              </w:rPr>
              <w:t>to ensure complementary approaches</w:t>
            </w:r>
            <w:r w:rsidRPr="00CD0FB3">
              <w:rPr>
                <w:rFonts w:asciiTheme="majorHAnsi" w:hAnsiTheme="majorHAnsi" w:cs="Arial"/>
              </w:rPr>
              <w:t xml:space="preserve">. </w:t>
            </w:r>
            <w:r w:rsidR="00794EB4" w:rsidRPr="00CD0FB3">
              <w:rPr>
                <w:rFonts w:asciiTheme="majorHAnsi" w:hAnsiTheme="majorHAnsi" w:cs="Arial"/>
              </w:rPr>
              <w:t>Japan</w:t>
            </w:r>
            <w:r w:rsidR="001C5DF1">
              <w:rPr>
                <w:rFonts w:asciiTheme="majorHAnsi" w:hAnsiTheme="majorHAnsi" w:cs="Arial"/>
              </w:rPr>
              <w:t>,</w:t>
            </w:r>
            <w:r w:rsidR="00794EB4" w:rsidRPr="00CD0FB3">
              <w:rPr>
                <w:rFonts w:asciiTheme="majorHAnsi" w:hAnsiTheme="majorHAnsi" w:cs="Arial"/>
              </w:rPr>
              <w:t xml:space="preserve"> in particular</w:t>
            </w:r>
            <w:r w:rsidR="001C5DF1">
              <w:rPr>
                <w:rFonts w:asciiTheme="majorHAnsi" w:hAnsiTheme="majorHAnsi" w:cs="Arial"/>
              </w:rPr>
              <w:t>,</w:t>
            </w:r>
            <w:r w:rsidR="00794EB4" w:rsidRPr="00CD0FB3">
              <w:rPr>
                <w:rFonts w:asciiTheme="majorHAnsi" w:hAnsiTheme="majorHAnsi" w:cs="Arial"/>
              </w:rPr>
              <w:t xml:space="preserve"> </w:t>
            </w:r>
            <w:r w:rsidR="002B000A">
              <w:rPr>
                <w:rFonts w:asciiTheme="majorHAnsi" w:hAnsiTheme="majorHAnsi" w:cs="Arial"/>
              </w:rPr>
              <w:t xml:space="preserve">is </w:t>
            </w:r>
            <w:r w:rsidR="00794EB4" w:rsidRPr="00CD0FB3">
              <w:rPr>
                <w:rFonts w:asciiTheme="majorHAnsi" w:hAnsiTheme="majorHAnsi" w:cs="Arial"/>
              </w:rPr>
              <w:t xml:space="preserve">in the process of </w:t>
            </w:r>
            <w:r w:rsidR="001C5DF1">
              <w:rPr>
                <w:rFonts w:asciiTheme="majorHAnsi" w:hAnsiTheme="majorHAnsi" w:cs="Arial"/>
              </w:rPr>
              <w:t xml:space="preserve">designing </w:t>
            </w:r>
            <w:r w:rsidR="00794EB4" w:rsidRPr="00CD0FB3">
              <w:rPr>
                <w:rFonts w:asciiTheme="majorHAnsi" w:hAnsiTheme="majorHAnsi" w:cs="Arial"/>
              </w:rPr>
              <w:t>a program to support Indonesia in information</w:t>
            </w:r>
            <w:r w:rsidR="001C5DF1">
              <w:rPr>
                <w:rFonts w:asciiTheme="majorHAnsi" w:hAnsiTheme="majorHAnsi" w:cs="Arial"/>
              </w:rPr>
              <w:t xml:space="preserve"> management and</w:t>
            </w:r>
            <w:r w:rsidR="00794EB4" w:rsidRPr="00CD0FB3">
              <w:rPr>
                <w:rFonts w:asciiTheme="majorHAnsi" w:hAnsiTheme="majorHAnsi" w:cs="Arial"/>
              </w:rPr>
              <w:t xml:space="preserve"> technology, earthquake and tsunami analysis, and capacity development with BNPB, BMKG and KOMINFO. </w:t>
            </w:r>
          </w:p>
          <w:p w14:paraId="7FF78D7C" w14:textId="1AA0EF50" w:rsidR="00DF7B24" w:rsidRPr="00CD0FB3" w:rsidRDefault="00DF7B24" w:rsidP="00DF7B24">
            <w:pPr>
              <w:suppressAutoHyphens w:val="0"/>
              <w:spacing w:after="0" w:line="276" w:lineRule="auto"/>
              <w:rPr>
                <w:rFonts w:asciiTheme="majorHAnsi" w:hAnsiTheme="majorHAnsi" w:cs="Arial"/>
              </w:rPr>
            </w:pPr>
            <w:r w:rsidRPr="00CD0FB3">
              <w:rPr>
                <w:rFonts w:asciiTheme="majorHAnsi" w:hAnsiTheme="majorHAnsi" w:cs="Arial"/>
              </w:rPr>
              <w:t xml:space="preserve">We will continue the strong and long-standing partnerships with civil society organisations, especially PMI, Muhammadiyah and NU. We will continue to build their capacity but will also increasingly engage them as partners for delivering capacity building and technical assistance to local government and communities. We will also work with the </w:t>
            </w:r>
            <w:r w:rsidR="0064468B" w:rsidRPr="00CD0FB3">
              <w:rPr>
                <w:rFonts w:asciiTheme="majorHAnsi" w:hAnsiTheme="majorHAnsi" w:cs="Arial"/>
              </w:rPr>
              <w:t>GOI</w:t>
            </w:r>
            <w:r w:rsidRPr="00CD0FB3">
              <w:rPr>
                <w:rFonts w:asciiTheme="majorHAnsi" w:hAnsiTheme="majorHAnsi" w:cs="Arial"/>
              </w:rPr>
              <w:t xml:space="preserve"> to find ways to overcome the barriers </w:t>
            </w:r>
            <w:r w:rsidR="008E7662">
              <w:rPr>
                <w:rFonts w:asciiTheme="majorHAnsi" w:hAnsiTheme="majorHAnsi" w:cs="Arial"/>
              </w:rPr>
              <w:t xml:space="preserve">constraining </w:t>
            </w:r>
            <w:r w:rsidRPr="00CD0FB3">
              <w:rPr>
                <w:rFonts w:asciiTheme="majorHAnsi" w:hAnsiTheme="majorHAnsi" w:cs="Arial"/>
              </w:rPr>
              <w:t>it from funding civil society partners.</w:t>
            </w:r>
          </w:p>
          <w:p w14:paraId="56FBC37F" w14:textId="36BA078C" w:rsidR="00DF7B24" w:rsidRPr="00CD0FB3" w:rsidRDefault="00DF7B24" w:rsidP="00DF7B24">
            <w:pPr>
              <w:suppressAutoHyphens w:val="0"/>
              <w:spacing w:after="0" w:line="276" w:lineRule="auto"/>
              <w:rPr>
                <w:rFonts w:asciiTheme="majorHAnsi" w:hAnsiTheme="majorHAnsi" w:cs="Arial"/>
              </w:rPr>
            </w:pPr>
            <w:r w:rsidRPr="00CD0FB3">
              <w:rPr>
                <w:rFonts w:asciiTheme="majorHAnsi" w:hAnsiTheme="majorHAnsi" w:cs="Arial"/>
              </w:rPr>
              <w:t xml:space="preserve">We will look for opportunities to collaborate with other Australian investments where this brings specific, relevant expertise. For example with </w:t>
            </w:r>
            <w:r w:rsidR="008E7662">
              <w:rPr>
                <w:rFonts w:asciiTheme="majorHAnsi" w:hAnsiTheme="majorHAnsi" w:cs="Arial"/>
              </w:rPr>
              <w:t xml:space="preserve">MAHKOTA </w:t>
            </w:r>
            <w:r w:rsidRPr="00CD0FB3">
              <w:rPr>
                <w:rFonts w:asciiTheme="majorHAnsi" w:hAnsiTheme="majorHAnsi" w:cs="Arial"/>
              </w:rPr>
              <w:t xml:space="preserve">on cash transfers during and after humanitarian emergencies; and with </w:t>
            </w:r>
            <w:r w:rsidR="008E7662">
              <w:rPr>
                <w:rFonts w:asciiTheme="majorHAnsi" w:hAnsiTheme="majorHAnsi" w:cs="Arial"/>
              </w:rPr>
              <w:t xml:space="preserve">KOMPAK </w:t>
            </w:r>
            <w:r w:rsidRPr="00CD0FB3">
              <w:rPr>
                <w:rFonts w:asciiTheme="majorHAnsi" w:hAnsiTheme="majorHAnsi" w:cs="Arial"/>
              </w:rPr>
              <w:t xml:space="preserve">on engaging sub-national and village government in disaster risk management.     </w:t>
            </w:r>
          </w:p>
          <w:p w14:paraId="1387C185" w14:textId="77777777" w:rsidR="00DF7B24" w:rsidRPr="00CD0FB3" w:rsidRDefault="00DF7B24" w:rsidP="003D0689">
            <w:pPr>
              <w:suppressAutoHyphens w:val="0"/>
              <w:spacing w:after="0" w:line="276" w:lineRule="auto"/>
              <w:rPr>
                <w:rFonts w:asciiTheme="majorHAnsi" w:hAnsiTheme="majorHAnsi" w:cs="Arial"/>
              </w:rPr>
            </w:pPr>
            <w:r w:rsidRPr="00CD0FB3">
              <w:rPr>
                <w:rFonts w:asciiTheme="majorHAnsi" w:hAnsiTheme="majorHAnsi" w:cs="Arial"/>
              </w:rPr>
              <w:t xml:space="preserve">We will also </w:t>
            </w:r>
            <w:r w:rsidR="002907AF" w:rsidRPr="00CD0FB3">
              <w:rPr>
                <w:rFonts w:asciiTheme="majorHAnsi" w:hAnsiTheme="majorHAnsi" w:cs="Arial"/>
              </w:rPr>
              <w:t xml:space="preserve">continue to </w:t>
            </w:r>
            <w:r w:rsidRPr="00CD0FB3">
              <w:rPr>
                <w:rFonts w:asciiTheme="majorHAnsi" w:hAnsiTheme="majorHAnsi" w:cs="Arial"/>
              </w:rPr>
              <w:t xml:space="preserve">support the United Nations Office for the Coordination of Humanitarian Affairs (OCHA) in Indonesia. OCHA focuses on increasing Indonesia’s engagement in the international humanitarian system, assists in the coordination of international partners, and strengthens ASEAN’s disaster management capacity through the ASEAN Humanitarian Assistance Coordination Centre on Disaster Management. We have found OCHA to be a </w:t>
            </w:r>
            <w:r w:rsidR="002907AF" w:rsidRPr="00CD0FB3">
              <w:rPr>
                <w:rFonts w:asciiTheme="majorHAnsi" w:hAnsiTheme="majorHAnsi" w:cs="Arial"/>
              </w:rPr>
              <w:t>valuable</w:t>
            </w:r>
            <w:r w:rsidRPr="00CD0FB3">
              <w:rPr>
                <w:rFonts w:asciiTheme="majorHAnsi" w:hAnsiTheme="majorHAnsi" w:cs="Arial"/>
              </w:rPr>
              <w:t xml:space="preserve"> partner and Indonesia has benefited from the strategic and technical mentoring and advice it provides.</w:t>
            </w:r>
            <w:r w:rsidR="00372772" w:rsidRPr="00CD0FB3">
              <w:rPr>
                <w:rFonts w:asciiTheme="majorHAnsi" w:hAnsiTheme="majorHAnsi" w:cs="Arial"/>
              </w:rPr>
              <w:t xml:space="preserve"> </w:t>
            </w:r>
          </w:p>
          <w:p w14:paraId="5A17D1BF" w14:textId="77777777" w:rsidR="003D0689" w:rsidRPr="00CD0FB3" w:rsidRDefault="003D0689" w:rsidP="003D0689">
            <w:pPr>
              <w:suppressAutoHyphens w:val="0"/>
              <w:spacing w:after="0" w:line="276" w:lineRule="auto"/>
              <w:rPr>
                <w:rFonts w:asciiTheme="majorHAnsi" w:hAnsiTheme="majorHAnsi" w:cs="Arial"/>
                <w:i/>
              </w:rPr>
            </w:pPr>
            <w:r w:rsidRPr="00CD0FB3">
              <w:rPr>
                <w:rFonts w:asciiTheme="majorHAnsi" w:hAnsiTheme="majorHAnsi" w:cs="Arial"/>
                <w:i/>
              </w:rPr>
              <w:t xml:space="preserve">Objective </w:t>
            </w:r>
            <w:r w:rsidR="0059750B" w:rsidRPr="00CD0FB3">
              <w:rPr>
                <w:rFonts w:asciiTheme="majorHAnsi" w:hAnsiTheme="majorHAnsi" w:cs="Arial"/>
                <w:i/>
              </w:rPr>
              <w:t>3</w:t>
            </w:r>
            <w:r w:rsidRPr="00CD0FB3">
              <w:rPr>
                <w:rFonts w:asciiTheme="majorHAnsi" w:hAnsiTheme="majorHAnsi" w:cs="Arial"/>
                <w:i/>
              </w:rPr>
              <w:t xml:space="preserve">: Coordination on regional humanitarian </w:t>
            </w:r>
            <w:r w:rsidR="0053418A" w:rsidRPr="00CD0FB3">
              <w:rPr>
                <w:rFonts w:asciiTheme="majorHAnsi" w:hAnsiTheme="majorHAnsi" w:cs="Arial"/>
                <w:i/>
              </w:rPr>
              <w:t xml:space="preserve">preparation and </w:t>
            </w:r>
            <w:r w:rsidRPr="00CD0FB3">
              <w:rPr>
                <w:rFonts w:asciiTheme="majorHAnsi" w:hAnsiTheme="majorHAnsi" w:cs="Arial"/>
                <w:i/>
              </w:rPr>
              <w:t xml:space="preserve">response </w:t>
            </w:r>
          </w:p>
          <w:p w14:paraId="5ED682B2" w14:textId="3B4F0397" w:rsidR="0053418A" w:rsidRPr="00CD0FB3" w:rsidRDefault="0053418A" w:rsidP="003D0689">
            <w:pPr>
              <w:suppressAutoHyphens w:val="0"/>
              <w:spacing w:after="0" w:line="276" w:lineRule="auto"/>
              <w:rPr>
                <w:rFonts w:asciiTheme="majorHAnsi" w:hAnsiTheme="majorHAnsi" w:cs="Arial"/>
              </w:rPr>
            </w:pPr>
            <w:r w:rsidRPr="00CD0FB3">
              <w:rPr>
                <w:rFonts w:asciiTheme="majorHAnsi" w:hAnsiTheme="majorHAnsi" w:cs="Arial"/>
              </w:rPr>
              <w:t xml:space="preserve">We will </w:t>
            </w:r>
            <w:r w:rsidR="00AD7120" w:rsidRPr="00CD0FB3">
              <w:rPr>
                <w:rFonts w:asciiTheme="majorHAnsi" w:hAnsiTheme="majorHAnsi" w:cs="Arial"/>
              </w:rPr>
              <w:t xml:space="preserve">continue to </w:t>
            </w:r>
            <w:r w:rsidRPr="00CD0FB3">
              <w:rPr>
                <w:rFonts w:asciiTheme="majorHAnsi" w:hAnsiTheme="majorHAnsi" w:cs="Arial"/>
              </w:rPr>
              <w:t>improve our coordination and collaboration with Indonesia on regional humanitarian preparation and response</w:t>
            </w:r>
            <w:r w:rsidR="00AD7120" w:rsidRPr="00CD0FB3">
              <w:rPr>
                <w:rFonts w:asciiTheme="majorHAnsi" w:hAnsiTheme="majorHAnsi" w:cs="Arial"/>
              </w:rPr>
              <w:t>s</w:t>
            </w:r>
            <w:r w:rsidRPr="00CD0FB3">
              <w:rPr>
                <w:rFonts w:asciiTheme="majorHAnsi" w:hAnsiTheme="majorHAnsi" w:cs="Arial"/>
              </w:rPr>
              <w:t xml:space="preserve">. </w:t>
            </w:r>
            <w:r w:rsidR="003D0689" w:rsidRPr="00CD0FB3">
              <w:rPr>
                <w:rFonts w:asciiTheme="majorHAnsi" w:hAnsiTheme="majorHAnsi" w:cs="Arial"/>
              </w:rPr>
              <w:t>Indonesia has</w:t>
            </w:r>
            <w:r w:rsidRPr="00CD0FB3">
              <w:rPr>
                <w:rFonts w:asciiTheme="majorHAnsi" w:hAnsiTheme="majorHAnsi" w:cs="Arial"/>
              </w:rPr>
              <w:t xml:space="preserve"> already</w:t>
            </w:r>
            <w:r w:rsidR="003D0689" w:rsidRPr="00CD0FB3">
              <w:rPr>
                <w:rFonts w:asciiTheme="majorHAnsi" w:hAnsiTheme="majorHAnsi" w:cs="Arial"/>
              </w:rPr>
              <w:t xml:space="preserve"> provided humanitarian assistance to neighbours in Asia and the Pacific and has ambitions to become an international mentor for disaster preparedness and response. As an active </w:t>
            </w:r>
            <w:r w:rsidR="003D0689" w:rsidRPr="00CD0FB3">
              <w:rPr>
                <w:rFonts w:asciiTheme="majorHAnsi" w:hAnsiTheme="majorHAnsi" w:cs="Arial"/>
              </w:rPr>
              <w:lastRenderedPageBreak/>
              <w:t xml:space="preserve">and </w:t>
            </w:r>
            <w:r w:rsidR="00DC778F">
              <w:rPr>
                <w:rFonts w:asciiTheme="majorHAnsi" w:hAnsiTheme="majorHAnsi" w:cs="Arial"/>
              </w:rPr>
              <w:t xml:space="preserve">long standing </w:t>
            </w:r>
            <w:r w:rsidR="003D0689" w:rsidRPr="00CD0FB3">
              <w:rPr>
                <w:rFonts w:asciiTheme="majorHAnsi" w:hAnsiTheme="majorHAnsi" w:cs="Arial"/>
              </w:rPr>
              <w:t xml:space="preserve">participant in the international humanitarian system, we are well placed to partner with Indonesia in this endeavour. </w:t>
            </w:r>
          </w:p>
          <w:p w14:paraId="6660DF99" w14:textId="77777777" w:rsidR="004C10EA" w:rsidRPr="00CD0FB3" w:rsidRDefault="00111C55">
            <w:pPr>
              <w:suppressAutoHyphens w:val="0"/>
              <w:spacing w:after="0" w:line="276" w:lineRule="auto"/>
              <w:rPr>
                <w:rFonts w:asciiTheme="majorHAnsi" w:hAnsiTheme="majorHAnsi" w:cs="Arial"/>
                <w:b/>
              </w:rPr>
            </w:pPr>
            <w:r w:rsidRPr="00CD0FB3">
              <w:rPr>
                <w:rFonts w:asciiTheme="majorHAnsi" w:hAnsiTheme="majorHAnsi" w:cs="Arial"/>
              </w:rPr>
              <w:t xml:space="preserve">This component will require extensive consultations with Indonesian and Australian government and civil society partners. Indicative activities </w:t>
            </w:r>
            <w:r w:rsidR="00064A9F" w:rsidRPr="00CD0FB3">
              <w:rPr>
                <w:rFonts w:asciiTheme="majorHAnsi" w:hAnsiTheme="majorHAnsi" w:cs="Arial"/>
              </w:rPr>
              <w:t xml:space="preserve">could </w:t>
            </w:r>
            <w:r w:rsidRPr="00CD0FB3">
              <w:rPr>
                <w:rFonts w:asciiTheme="majorHAnsi" w:hAnsiTheme="majorHAnsi" w:cs="Arial"/>
              </w:rPr>
              <w:t>include</w:t>
            </w:r>
            <w:r w:rsidR="00064A9F" w:rsidRPr="00CD0FB3">
              <w:rPr>
                <w:rFonts w:asciiTheme="majorHAnsi" w:hAnsiTheme="majorHAnsi" w:cs="Arial"/>
              </w:rPr>
              <w:t xml:space="preserve"> </w:t>
            </w:r>
            <w:r w:rsidR="00CE4C4B" w:rsidRPr="00CD0FB3">
              <w:rPr>
                <w:rFonts w:asciiTheme="majorHAnsi" w:hAnsiTheme="majorHAnsi" w:cs="Arial"/>
              </w:rPr>
              <w:t xml:space="preserve">mentoring </w:t>
            </w:r>
            <w:r w:rsidR="003D0689" w:rsidRPr="00CD0FB3">
              <w:rPr>
                <w:rFonts w:asciiTheme="majorHAnsi" w:hAnsiTheme="majorHAnsi" w:cs="Arial"/>
              </w:rPr>
              <w:t>deploy</w:t>
            </w:r>
            <w:r w:rsidR="00CE4C4B" w:rsidRPr="00CD0FB3">
              <w:rPr>
                <w:rFonts w:asciiTheme="majorHAnsi" w:hAnsiTheme="majorHAnsi" w:cs="Arial"/>
              </w:rPr>
              <w:t>ments of</w:t>
            </w:r>
            <w:r w:rsidR="003D0689" w:rsidRPr="00CD0FB3">
              <w:rPr>
                <w:rFonts w:asciiTheme="majorHAnsi" w:hAnsiTheme="majorHAnsi" w:cs="Arial"/>
              </w:rPr>
              <w:t xml:space="preserve"> Australian and Indonesian humanitarian specialists</w:t>
            </w:r>
            <w:r w:rsidR="00AD7120" w:rsidRPr="00CD0FB3">
              <w:rPr>
                <w:rFonts w:asciiTheme="majorHAnsi" w:hAnsiTheme="majorHAnsi" w:cs="Arial"/>
              </w:rPr>
              <w:t xml:space="preserve"> (</w:t>
            </w:r>
            <w:r w:rsidR="003D0689" w:rsidRPr="00CD0FB3">
              <w:rPr>
                <w:rFonts w:asciiTheme="majorHAnsi" w:hAnsiTheme="majorHAnsi" w:cs="Arial"/>
              </w:rPr>
              <w:t>government or non-government</w:t>
            </w:r>
            <w:r w:rsidR="00AD7120" w:rsidRPr="00CD0FB3">
              <w:rPr>
                <w:rFonts w:asciiTheme="majorHAnsi" w:hAnsiTheme="majorHAnsi" w:cs="Arial"/>
              </w:rPr>
              <w:t>)</w:t>
            </w:r>
            <w:r w:rsidR="00CE4C4B" w:rsidRPr="00CD0FB3">
              <w:rPr>
                <w:rFonts w:asciiTheme="majorHAnsi" w:hAnsiTheme="majorHAnsi" w:cs="Arial"/>
              </w:rPr>
              <w:t>; provid</w:t>
            </w:r>
            <w:r w:rsidRPr="00CD0FB3">
              <w:rPr>
                <w:rFonts w:asciiTheme="majorHAnsi" w:hAnsiTheme="majorHAnsi" w:cs="Arial"/>
              </w:rPr>
              <w:t>ing</w:t>
            </w:r>
            <w:r w:rsidR="00CE4C4B" w:rsidRPr="00CD0FB3">
              <w:rPr>
                <w:rFonts w:asciiTheme="majorHAnsi" w:hAnsiTheme="majorHAnsi" w:cs="Arial"/>
              </w:rPr>
              <w:t xml:space="preserve"> knowledge and exposure </w:t>
            </w:r>
            <w:r w:rsidRPr="00CD0FB3">
              <w:rPr>
                <w:rFonts w:asciiTheme="majorHAnsi" w:hAnsiTheme="majorHAnsi" w:cs="Arial"/>
              </w:rPr>
              <w:t>related to</w:t>
            </w:r>
            <w:r w:rsidR="00CE4C4B" w:rsidRPr="00CD0FB3">
              <w:rPr>
                <w:rFonts w:asciiTheme="majorHAnsi" w:hAnsiTheme="majorHAnsi" w:cs="Arial"/>
              </w:rPr>
              <w:t xml:space="preserve"> the international humanitarian system for government and non-government partners; </w:t>
            </w:r>
            <w:r w:rsidR="00064A9F" w:rsidRPr="00CD0FB3">
              <w:rPr>
                <w:rFonts w:asciiTheme="majorHAnsi" w:hAnsiTheme="majorHAnsi" w:cs="Arial"/>
              </w:rPr>
              <w:t>support</w:t>
            </w:r>
            <w:r w:rsidRPr="00CD0FB3">
              <w:rPr>
                <w:rFonts w:asciiTheme="majorHAnsi" w:hAnsiTheme="majorHAnsi" w:cs="Arial"/>
              </w:rPr>
              <w:t>ing</w:t>
            </w:r>
            <w:r w:rsidR="00064A9F" w:rsidRPr="00CD0FB3">
              <w:rPr>
                <w:rFonts w:asciiTheme="majorHAnsi" w:hAnsiTheme="majorHAnsi" w:cs="Arial"/>
              </w:rPr>
              <w:t xml:space="preserve"> </w:t>
            </w:r>
            <w:r w:rsidR="00CE4C4B" w:rsidRPr="00CD0FB3">
              <w:rPr>
                <w:rFonts w:asciiTheme="majorHAnsi" w:hAnsiTheme="majorHAnsi" w:cs="Arial"/>
              </w:rPr>
              <w:t>joint training</w:t>
            </w:r>
            <w:r w:rsidRPr="00CD0FB3">
              <w:rPr>
                <w:rFonts w:asciiTheme="majorHAnsi" w:hAnsiTheme="majorHAnsi" w:cs="Arial"/>
              </w:rPr>
              <w:t>, exercises</w:t>
            </w:r>
            <w:r w:rsidR="00CE4C4B" w:rsidRPr="00CD0FB3">
              <w:rPr>
                <w:rFonts w:asciiTheme="majorHAnsi" w:hAnsiTheme="majorHAnsi" w:cs="Arial"/>
              </w:rPr>
              <w:t xml:space="preserve"> and professional development; </w:t>
            </w:r>
            <w:r w:rsidR="00064A9F" w:rsidRPr="00CD0FB3">
              <w:rPr>
                <w:rFonts w:asciiTheme="majorHAnsi" w:hAnsiTheme="majorHAnsi" w:cs="Arial"/>
              </w:rPr>
              <w:t>and provid</w:t>
            </w:r>
            <w:r w:rsidRPr="00CD0FB3">
              <w:rPr>
                <w:rFonts w:asciiTheme="majorHAnsi" w:hAnsiTheme="majorHAnsi" w:cs="Arial"/>
              </w:rPr>
              <w:t>ing</w:t>
            </w:r>
            <w:r w:rsidR="00064A9F" w:rsidRPr="00CD0FB3">
              <w:rPr>
                <w:rFonts w:asciiTheme="majorHAnsi" w:hAnsiTheme="majorHAnsi" w:cs="Arial"/>
              </w:rPr>
              <w:t xml:space="preserve"> logistical support for joint humanitarian operations.</w:t>
            </w:r>
          </w:p>
        </w:tc>
      </w:tr>
      <w:tr w:rsidR="004C10EA" w:rsidRPr="00CD0FB3" w14:paraId="7B7ECA44" w14:textId="77777777" w:rsidTr="00DC348A">
        <w:trPr>
          <w:cantSplit w:val="0"/>
        </w:trPr>
        <w:tc>
          <w:tcPr>
            <w:tcW w:w="9606" w:type="dxa"/>
            <w:tcBorders>
              <w:bottom w:val="single" w:sz="4" w:space="0" w:color="808080"/>
            </w:tcBorders>
            <w:shd w:val="clear" w:color="auto" w:fill="E0F3EF" w:themeFill="accent1" w:themeFillTint="33"/>
          </w:tcPr>
          <w:p w14:paraId="0F4F97CA" w14:textId="77777777" w:rsidR="004C10EA" w:rsidRPr="00CD0FB3" w:rsidRDefault="004C10EA" w:rsidP="00D80DA1">
            <w:pPr>
              <w:tabs>
                <w:tab w:val="num" w:pos="568"/>
              </w:tabs>
              <w:spacing w:line="276" w:lineRule="auto"/>
              <w:rPr>
                <w:rFonts w:asciiTheme="majorHAnsi" w:hAnsiTheme="majorHAnsi" w:cs="Arial"/>
                <w:sz w:val="22"/>
                <w:szCs w:val="22"/>
                <w:lang w:eastAsia="en-US"/>
              </w:rPr>
            </w:pPr>
            <w:r w:rsidRPr="00CD0FB3">
              <w:rPr>
                <w:rFonts w:asciiTheme="majorHAnsi" w:hAnsiTheme="majorHAnsi" w:cs="Arial"/>
                <w:b/>
                <w:sz w:val="22"/>
                <w:szCs w:val="22"/>
                <w:lang w:eastAsia="en-US"/>
              </w:rPr>
              <w:lastRenderedPageBreak/>
              <w:t xml:space="preserve">D: Implementation/delivery approach (How and with whom?)  </w:t>
            </w:r>
          </w:p>
        </w:tc>
      </w:tr>
      <w:tr w:rsidR="004C10EA" w:rsidRPr="00CD0FB3" w14:paraId="2B8613B3" w14:textId="77777777" w:rsidTr="00DC348A">
        <w:trPr>
          <w:cantSplit w:val="0"/>
        </w:trPr>
        <w:tc>
          <w:tcPr>
            <w:tcW w:w="9606" w:type="dxa"/>
          </w:tcPr>
          <w:p w14:paraId="4A228126" w14:textId="77777777" w:rsidR="00C67985" w:rsidRPr="00CD0FB3" w:rsidRDefault="00C67985" w:rsidP="00C67985">
            <w:pPr>
              <w:suppressAutoHyphens w:val="0"/>
              <w:spacing w:after="0" w:line="276" w:lineRule="auto"/>
              <w:rPr>
                <w:rFonts w:asciiTheme="majorHAnsi" w:hAnsiTheme="majorHAnsi" w:cs="Arial"/>
              </w:rPr>
            </w:pPr>
            <w:r w:rsidRPr="00CD0FB3">
              <w:rPr>
                <w:rFonts w:asciiTheme="majorHAnsi" w:hAnsiTheme="majorHAnsi" w:cs="Arial"/>
              </w:rPr>
              <w:t xml:space="preserve">We propose a delivery approach that includes a managing contractor, a multilateral partner (OCHA) and potentially whole-of-government twinning arrangements. </w:t>
            </w:r>
            <w:r w:rsidR="00AD7120" w:rsidRPr="00CD0FB3">
              <w:rPr>
                <w:rFonts w:asciiTheme="majorHAnsi" w:hAnsiTheme="majorHAnsi" w:cs="Arial"/>
              </w:rPr>
              <w:t>P</w:t>
            </w:r>
            <w:r w:rsidRPr="00CD0FB3">
              <w:rPr>
                <w:rFonts w:asciiTheme="majorHAnsi" w:hAnsiTheme="majorHAnsi" w:cs="Arial"/>
              </w:rPr>
              <w:t xml:space="preserve">rogram governance arrangements will </w:t>
            </w:r>
            <w:r w:rsidR="00AD7120" w:rsidRPr="00CD0FB3">
              <w:rPr>
                <w:rFonts w:asciiTheme="majorHAnsi" w:hAnsiTheme="majorHAnsi" w:cs="Arial"/>
              </w:rPr>
              <w:t>oversight</w:t>
            </w:r>
            <w:r w:rsidRPr="00CD0FB3">
              <w:rPr>
                <w:rFonts w:asciiTheme="majorHAnsi" w:hAnsiTheme="majorHAnsi" w:cs="Arial"/>
              </w:rPr>
              <w:t xml:space="preserve"> all these areas of our cooperation and will decide specific implementation options. We will not provide budget support for BNPB or other government partners – the priority of the partnership is on sharing technical knowledge and skills and encouraging practical collaboration among Indonesia’s DRM actors as well as between Australia and Indonesia.</w:t>
            </w:r>
          </w:p>
          <w:p w14:paraId="28C15EC1" w14:textId="74E7046E" w:rsidR="0098308B" w:rsidRPr="00CD0FB3" w:rsidRDefault="0098308B" w:rsidP="0098308B">
            <w:pPr>
              <w:suppressAutoHyphens w:val="0"/>
              <w:spacing w:after="0" w:line="276" w:lineRule="auto"/>
              <w:rPr>
                <w:rFonts w:asciiTheme="majorHAnsi" w:hAnsiTheme="majorHAnsi" w:cs="Arial"/>
              </w:rPr>
            </w:pPr>
            <w:r w:rsidRPr="00CD0FB3">
              <w:rPr>
                <w:rFonts w:asciiTheme="majorHAnsi" w:hAnsiTheme="majorHAnsi" w:cs="Arial"/>
              </w:rPr>
              <w:t>Specific activities will be identified through an annual planning process and approved by a program steering committee co-chaired by GOI and GOA (DFAT) and including senior representatives from GOI ministries. We will ensure that some flexibility is provided for funding emerging priorities. We will also propose a consultative mechanism to ensure non-government partners have a voice in program implementation, as well as a technical advisory group, comprised of technical experts from Australia and Indonesia, to inform decision-making by the Steering Committee.</w:t>
            </w:r>
          </w:p>
          <w:p w14:paraId="1D5CE4B0" w14:textId="37AAE342" w:rsidR="0098308B" w:rsidRPr="00CD0FB3" w:rsidRDefault="0098308B" w:rsidP="0098308B">
            <w:pPr>
              <w:suppressAutoHyphens w:val="0"/>
              <w:spacing w:after="0" w:line="276" w:lineRule="auto"/>
              <w:rPr>
                <w:rFonts w:asciiTheme="majorHAnsi" w:hAnsiTheme="majorHAnsi" w:cs="Arial"/>
              </w:rPr>
            </w:pPr>
            <w:r w:rsidRPr="00CD0FB3">
              <w:rPr>
                <w:rFonts w:asciiTheme="majorHAnsi" w:hAnsiTheme="majorHAnsi" w:cs="Arial"/>
              </w:rPr>
              <w:t xml:space="preserve">We propose the use of an independent managing contractor to manage </w:t>
            </w:r>
            <w:r w:rsidR="00AD7120" w:rsidRPr="00CD0FB3">
              <w:rPr>
                <w:rFonts w:asciiTheme="majorHAnsi" w:hAnsiTheme="majorHAnsi" w:cs="Arial"/>
              </w:rPr>
              <w:t>much</w:t>
            </w:r>
            <w:r w:rsidRPr="00CD0FB3">
              <w:rPr>
                <w:rFonts w:asciiTheme="majorHAnsi" w:hAnsiTheme="majorHAnsi" w:cs="Arial"/>
              </w:rPr>
              <w:t xml:space="preserve"> of the investment. The contractor will prepare annual plans in close consultation with GOI and DFAT, manage sub-contracting and granting arrangements for the delivery of activities agreed through the annual plan, as well as monitoring and evaluation, secretariat support for the Steering Committee and communications. We propose a </w:t>
            </w:r>
            <w:r w:rsidR="00DC778F">
              <w:rPr>
                <w:rFonts w:asciiTheme="majorHAnsi" w:hAnsiTheme="majorHAnsi" w:cs="Arial"/>
              </w:rPr>
              <w:t xml:space="preserve">five </w:t>
            </w:r>
            <w:r w:rsidRPr="00CD0FB3">
              <w:rPr>
                <w:rFonts w:asciiTheme="majorHAnsi" w:hAnsiTheme="majorHAnsi" w:cs="Arial"/>
              </w:rPr>
              <w:t xml:space="preserve">year contract with </w:t>
            </w:r>
            <w:r w:rsidR="00DC778F">
              <w:rPr>
                <w:rFonts w:asciiTheme="majorHAnsi" w:hAnsiTheme="majorHAnsi" w:cs="Arial"/>
              </w:rPr>
              <w:t xml:space="preserve">an </w:t>
            </w:r>
            <w:r w:rsidRPr="00CD0FB3">
              <w:rPr>
                <w:rFonts w:asciiTheme="majorHAnsi" w:hAnsiTheme="majorHAnsi" w:cs="Arial"/>
              </w:rPr>
              <w:t xml:space="preserve">option </w:t>
            </w:r>
            <w:r w:rsidR="00DC778F">
              <w:rPr>
                <w:rFonts w:asciiTheme="majorHAnsi" w:hAnsiTheme="majorHAnsi" w:cs="Arial"/>
              </w:rPr>
              <w:t>to extend</w:t>
            </w:r>
            <w:r w:rsidRPr="00CD0FB3">
              <w:rPr>
                <w:rFonts w:asciiTheme="majorHAnsi" w:hAnsiTheme="majorHAnsi" w:cs="Arial"/>
              </w:rPr>
              <w:t>.</w:t>
            </w:r>
          </w:p>
          <w:p w14:paraId="0FBDEDDC" w14:textId="77777777" w:rsidR="0098308B" w:rsidRPr="00CD0FB3" w:rsidRDefault="0098308B" w:rsidP="0098308B">
            <w:pPr>
              <w:suppressAutoHyphens w:val="0"/>
              <w:spacing w:after="0" w:line="276" w:lineRule="auto"/>
              <w:rPr>
                <w:rFonts w:asciiTheme="majorHAnsi" w:hAnsiTheme="majorHAnsi" w:cs="Arial"/>
              </w:rPr>
            </w:pPr>
            <w:r w:rsidRPr="00CD0FB3">
              <w:rPr>
                <w:rFonts w:asciiTheme="majorHAnsi" w:hAnsiTheme="majorHAnsi" w:cs="Arial"/>
              </w:rPr>
              <w:t>While our engagement with OCHA will be covered by the investment design, we will engage directly through a separate agreement rather than through the contractor.</w:t>
            </w:r>
          </w:p>
          <w:p w14:paraId="045AD410" w14:textId="5C39EB33" w:rsidR="00071392" w:rsidRPr="00CD0FB3" w:rsidRDefault="00071392">
            <w:pPr>
              <w:suppressAutoHyphens w:val="0"/>
              <w:spacing w:after="0" w:line="276" w:lineRule="auto"/>
              <w:rPr>
                <w:rFonts w:asciiTheme="majorHAnsi" w:hAnsiTheme="majorHAnsi" w:cs="Arial"/>
                <w:b/>
                <w:sz w:val="22"/>
                <w:szCs w:val="22"/>
              </w:rPr>
            </w:pPr>
          </w:p>
        </w:tc>
      </w:tr>
      <w:tr w:rsidR="004C10EA" w:rsidRPr="00CD0FB3" w14:paraId="2EC23BF9" w14:textId="77777777" w:rsidTr="00DC348A">
        <w:trPr>
          <w:cantSplit w:val="0"/>
        </w:trPr>
        <w:tc>
          <w:tcPr>
            <w:tcW w:w="9606" w:type="dxa"/>
            <w:tcBorders>
              <w:bottom w:val="single" w:sz="4" w:space="0" w:color="808080"/>
            </w:tcBorders>
            <w:shd w:val="clear" w:color="auto" w:fill="E0F3EF" w:themeFill="accent1" w:themeFillTint="33"/>
          </w:tcPr>
          <w:p w14:paraId="51AE821C" w14:textId="77777777" w:rsidR="004C10EA" w:rsidRPr="00CD0FB3" w:rsidRDefault="004C10EA" w:rsidP="00D80DA1">
            <w:pPr>
              <w:tabs>
                <w:tab w:val="num" w:pos="568"/>
              </w:tabs>
              <w:spacing w:line="276" w:lineRule="auto"/>
              <w:rPr>
                <w:rFonts w:asciiTheme="majorHAnsi" w:hAnsiTheme="majorHAnsi" w:cs="Arial"/>
                <w:sz w:val="22"/>
                <w:szCs w:val="22"/>
                <w:lang w:eastAsia="en-US"/>
              </w:rPr>
            </w:pPr>
            <w:r w:rsidRPr="00CD0FB3">
              <w:rPr>
                <w:rFonts w:asciiTheme="majorHAnsi" w:hAnsiTheme="majorHAnsi" w:cs="Arial"/>
                <w:b/>
                <w:sz w:val="22"/>
                <w:szCs w:val="22"/>
                <w:lang w:eastAsia="en-US"/>
              </w:rPr>
              <w:t xml:space="preserve">E: Risk assessment approach (What might go wrong?)  </w:t>
            </w:r>
          </w:p>
        </w:tc>
      </w:tr>
      <w:tr w:rsidR="004C10EA" w:rsidRPr="00CD0FB3" w14:paraId="5C672C53" w14:textId="77777777" w:rsidTr="00DC348A">
        <w:trPr>
          <w:cantSplit w:val="0"/>
        </w:trPr>
        <w:tc>
          <w:tcPr>
            <w:tcW w:w="9606" w:type="dxa"/>
          </w:tcPr>
          <w:p w14:paraId="6C838417" w14:textId="287F4F43" w:rsidR="0081646E" w:rsidRPr="00CD0FB3" w:rsidRDefault="002368D9" w:rsidP="00094725">
            <w:pPr>
              <w:suppressAutoHyphens w:val="0"/>
              <w:spacing w:after="0" w:line="276" w:lineRule="auto"/>
              <w:rPr>
                <w:rFonts w:asciiTheme="majorHAnsi" w:hAnsiTheme="majorHAnsi" w:cs="Arial"/>
              </w:rPr>
            </w:pPr>
            <w:r w:rsidRPr="00CD0FB3">
              <w:rPr>
                <w:rFonts w:asciiTheme="majorHAnsi" w:hAnsiTheme="majorHAnsi" w:cs="Arial"/>
              </w:rPr>
              <w:t>The overall rating for the future investment from the risk and safeguards assessment tool is low-risk. Key risks include delays and failure to achieve outcomes in the timeframes due to changes in government priorities and policies and/or lack of government buy-in.</w:t>
            </w:r>
            <w:r w:rsidR="0081646E" w:rsidRPr="00CD0FB3">
              <w:rPr>
                <w:rFonts w:asciiTheme="majorHAnsi" w:hAnsiTheme="majorHAnsi" w:cs="Arial"/>
              </w:rPr>
              <w:t xml:space="preserve"> </w:t>
            </w:r>
            <w:r w:rsidR="0091581F" w:rsidRPr="00CD0FB3">
              <w:rPr>
                <w:rFonts w:asciiTheme="majorHAnsi" w:hAnsiTheme="majorHAnsi" w:cs="Arial"/>
              </w:rPr>
              <w:t>Despite the low risk, t</w:t>
            </w:r>
            <w:r w:rsidR="0081646E" w:rsidRPr="00CD0FB3">
              <w:rPr>
                <w:rFonts w:asciiTheme="majorHAnsi" w:hAnsiTheme="majorHAnsi" w:cs="Arial"/>
              </w:rPr>
              <w:t xml:space="preserve">he </w:t>
            </w:r>
            <w:r w:rsidR="0091581F" w:rsidRPr="00CD0FB3">
              <w:rPr>
                <w:rFonts w:asciiTheme="majorHAnsi" w:hAnsiTheme="majorHAnsi" w:cs="Arial"/>
              </w:rPr>
              <w:t>challenge</w:t>
            </w:r>
            <w:r w:rsidR="0081646E" w:rsidRPr="00CD0FB3">
              <w:rPr>
                <w:rFonts w:asciiTheme="majorHAnsi" w:hAnsiTheme="majorHAnsi" w:cs="Arial"/>
              </w:rPr>
              <w:t xml:space="preserve"> </w:t>
            </w:r>
            <w:r w:rsidR="0091581F" w:rsidRPr="00CD0FB3">
              <w:rPr>
                <w:rFonts w:asciiTheme="majorHAnsi" w:hAnsiTheme="majorHAnsi" w:cs="Arial"/>
              </w:rPr>
              <w:t xml:space="preserve">of </w:t>
            </w:r>
            <w:r w:rsidR="0081646E" w:rsidRPr="00CD0FB3">
              <w:rPr>
                <w:rFonts w:asciiTheme="majorHAnsi" w:hAnsiTheme="majorHAnsi" w:cs="Arial"/>
              </w:rPr>
              <w:t xml:space="preserve">improving </w:t>
            </w:r>
            <w:r w:rsidR="0091581F" w:rsidRPr="00CD0FB3">
              <w:rPr>
                <w:rFonts w:asciiTheme="majorHAnsi" w:hAnsiTheme="majorHAnsi" w:cs="Arial"/>
              </w:rPr>
              <w:t xml:space="preserve">DRM </w:t>
            </w:r>
            <w:r w:rsidR="0081646E" w:rsidRPr="00CD0FB3">
              <w:rPr>
                <w:rFonts w:asciiTheme="majorHAnsi" w:hAnsiTheme="majorHAnsi" w:cs="Arial"/>
              </w:rPr>
              <w:t xml:space="preserve">coordination </w:t>
            </w:r>
            <w:r w:rsidR="0091581F" w:rsidRPr="00CD0FB3">
              <w:rPr>
                <w:rFonts w:asciiTheme="majorHAnsi" w:hAnsiTheme="majorHAnsi" w:cs="Arial"/>
              </w:rPr>
              <w:t>is not being underestimated</w:t>
            </w:r>
            <w:r w:rsidR="0081646E" w:rsidRPr="00CD0FB3">
              <w:rPr>
                <w:rFonts w:asciiTheme="majorHAnsi" w:hAnsiTheme="majorHAnsi" w:cs="Arial"/>
              </w:rPr>
              <w:t xml:space="preserve">. Understanding and responding to </w:t>
            </w:r>
            <w:r w:rsidR="0091581F" w:rsidRPr="00CD0FB3">
              <w:rPr>
                <w:rFonts w:asciiTheme="majorHAnsi" w:hAnsiTheme="majorHAnsi" w:cs="Arial"/>
              </w:rPr>
              <w:t>the challenge</w:t>
            </w:r>
            <w:r w:rsidR="0081646E" w:rsidRPr="00CD0FB3">
              <w:rPr>
                <w:rFonts w:asciiTheme="majorHAnsi" w:hAnsiTheme="majorHAnsi" w:cs="Arial"/>
              </w:rPr>
              <w:t xml:space="preserve"> will require an in</w:t>
            </w:r>
            <w:r w:rsidR="005F51B5">
              <w:rPr>
                <w:rFonts w:asciiTheme="majorHAnsi" w:hAnsiTheme="majorHAnsi" w:cs="Arial"/>
              </w:rPr>
              <w:t>-</w:t>
            </w:r>
            <w:r w:rsidR="0081646E" w:rsidRPr="00CD0FB3">
              <w:rPr>
                <w:rFonts w:asciiTheme="majorHAnsi" w:hAnsiTheme="majorHAnsi" w:cs="Arial"/>
              </w:rPr>
              <w:t>depth understanding of the formal and informal institutional barriers to improved coordination.</w:t>
            </w:r>
            <w:r w:rsidR="00981A40" w:rsidRPr="00CD0FB3">
              <w:rPr>
                <w:rFonts w:asciiTheme="majorHAnsi" w:hAnsiTheme="majorHAnsi" w:cs="Arial"/>
              </w:rPr>
              <w:t xml:space="preserve"> The team working on the design, including Counsellor DEH, will ensure that managing this risk will be given careful consideration in the design and implementation of the proposed program.  </w:t>
            </w:r>
            <w:r w:rsidR="0081646E" w:rsidRPr="00CD0FB3">
              <w:rPr>
                <w:rFonts w:asciiTheme="majorHAnsi" w:hAnsiTheme="majorHAnsi" w:cs="Arial"/>
              </w:rPr>
              <w:t xml:space="preserve">   </w:t>
            </w:r>
            <w:r w:rsidRPr="00CD0FB3">
              <w:rPr>
                <w:rFonts w:asciiTheme="majorHAnsi" w:hAnsiTheme="majorHAnsi" w:cs="Arial"/>
              </w:rPr>
              <w:t xml:space="preserve"> </w:t>
            </w:r>
          </w:p>
          <w:p w14:paraId="0C6F4EE2" w14:textId="1940C40B" w:rsidR="00AA4A49" w:rsidRPr="00CD0FB3" w:rsidRDefault="002368D9" w:rsidP="00094725">
            <w:pPr>
              <w:suppressAutoHyphens w:val="0"/>
              <w:spacing w:after="0" w:line="276" w:lineRule="auto"/>
              <w:rPr>
                <w:rFonts w:asciiTheme="majorHAnsi" w:hAnsiTheme="majorHAnsi" w:cs="Arial"/>
              </w:rPr>
            </w:pPr>
            <w:r w:rsidRPr="00CD0FB3">
              <w:rPr>
                <w:rFonts w:asciiTheme="majorHAnsi" w:hAnsiTheme="majorHAnsi" w:cs="Arial"/>
              </w:rPr>
              <w:t xml:space="preserve">Risks </w:t>
            </w:r>
            <w:r w:rsidR="0081646E" w:rsidRPr="00CD0FB3">
              <w:rPr>
                <w:rFonts w:asciiTheme="majorHAnsi" w:hAnsiTheme="majorHAnsi" w:cs="Arial"/>
              </w:rPr>
              <w:t xml:space="preserve">will </w:t>
            </w:r>
            <w:r w:rsidRPr="00CD0FB3">
              <w:rPr>
                <w:rFonts w:asciiTheme="majorHAnsi" w:hAnsiTheme="majorHAnsi" w:cs="Arial"/>
              </w:rPr>
              <w:t>be mitigated through close engagement with GOI during the design phase,</w:t>
            </w:r>
            <w:r w:rsidR="00094725" w:rsidRPr="00CD0FB3">
              <w:rPr>
                <w:rFonts w:asciiTheme="majorHAnsi" w:hAnsiTheme="majorHAnsi" w:cs="Arial"/>
              </w:rPr>
              <w:t xml:space="preserve"> clear design and program logic, </w:t>
            </w:r>
            <w:r w:rsidRPr="00CD0FB3">
              <w:rPr>
                <w:rFonts w:asciiTheme="majorHAnsi" w:hAnsiTheme="majorHAnsi" w:cs="Arial"/>
              </w:rPr>
              <w:t xml:space="preserve">inclusion of other </w:t>
            </w:r>
            <w:r w:rsidR="0081646E" w:rsidRPr="00CD0FB3">
              <w:rPr>
                <w:rFonts w:asciiTheme="majorHAnsi" w:hAnsiTheme="majorHAnsi" w:cs="Arial"/>
              </w:rPr>
              <w:t xml:space="preserve">government and non-government </w:t>
            </w:r>
            <w:r w:rsidRPr="00CD0FB3">
              <w:rPr>
                <w:rFonts w:asciiTheme="majorHAnsi" w:hAnsiTheme="majorHAnsi" w:cs="Arial"/>
              </w:rPr>
              <w:t xml:space="preserve">partners </w:t>
            </w:r>
            <w:r w:rsidR="00094725" w:rsidRPr="00CD0FB3">
              <w:rPr>
                <w:rFonts w:asciiTheme="majorHAnsi" w:hAnsiTheme="majorHAnsi" w:cs="Arial"/>
              </w:rPr>
              <w:t xml:space="preserve">in the </w:t>
            </w:r>
            <w:r w:rsidR="0081646E" w:rsidRPr="00CD0FB3">
              <w:rPr>
                <w:rFonts w:asciiTheme="majorHAnsi" w:hAnsiTheme="majorHAnsi" w:cs="Arial"/>
              </w:rPr>
              <w:t xml:space="preserve">design </w:t>
            </w:r>
            <w:r w:rsidR="00094725" w:rsidRPr="00CD0FB3">
              <w:rPr>
                <w:rFonts w:asciiTheme="majorHAnsi" w:hAnsiTheme="majorHAnsi" w:cs="Arial"/>
              </w:rPr>
              <w:t xml:space="preserve">process and </w:t>
            </w:r>
            <w:r w:rsidR="0081646E" w:rsidRPr="00CD0FB3">
              <w:rPr>
                <w:rFonts w:asciiTheme="majorHAnsi" w:hAnsiTheme="majorHAnsi" w:cs="Arial"/>
              </w:rPr>
              <w:t xml:space="preserve">in program </w:t>
            </w:r>
            <w:r w:rsidR="00094725" w:rsidRPr="00CD0FB3">
              <w:rPr>
                <w:rFonts w:asciiTheme="majorHAnsi" w:hAnsiTheme="majorHAnsi" w:cs="Arial"/>
              </w:rPr>
              <w:t xml:space="preserve">governance </w:t>
            </w:r>
            <w:r w:rsidR="0081646E" w:rsidRPr="00CD0FB3">
              <w:rPr>
                <w:rFonts w:asciiTheme="majorHAnsi" w:hAnsiTheme="majorHAnsi" w:cs="Arial"/>
              </w:rPr>
              <w:t>arrangements</w:t>
            </w:r>
            <w:r w:rsidR="00094725" w:rsidRPr="00CD0FB3">
              <w:rPr>
                <w:rFonts w:asciiTheme="majorHAnsi" w:hAnsiTheme="majorHAnsi" w:cs="Arial"/>
              </w:rPr>
              <w:t xml:space="preserve">. </w:t>
            </w:r>
            <w:r w:rsidR="002B000A">
              <w:rPr>
                <w:rFonts w:asciiTheme="majorHAnsi" w:hAnsiTheme="majorHAnsi" w:cs="Arial"/>
              </w:rPr>
              <w:t>Risks will also be reduced by requiring a Contractor whose implementing personnel are experienced in DRM</w:t>
            </w:r>
            <w:r w:rsidR="00EC70D9" w:rsidRPr="00CD0FB3">
              <w:rPr>
                <w:rFonts w:asciiTheme="majorHAnsi" w:hAnsiTheme="majorHAnsi" w:cs="Arial"/>
              </w:rPr>
              <w:t xml:space="preserve">. We will also consider appointing a technical advisory group, comprised of </w:t>
            </w:r>
            <w:r w:rsidR="004840B0" w:rsidRPr="00CD0FB3">
              <w:rPr>
                <w:rFonts w:asciiTheme="majorHAnsi" w:hAnsiTheme="majorHAnsi" w:cs="Arial"/>
              </w:rPr>
              <w:t xml:space="preserve">international/Indonesian </w:t>
            </w:r>
            <w:r w:rsidR="00EC70D9" w:rsidRPr="00CD0FB3">
              <w:rPr>
                <w:rFonts w:asciiTheme="majorHAnsi" w:hAnsiTheme="majorHAnsi" w:cs="Arial"/>
              </w:rPr>
              <w:t>technical experts, to provide DFAT and the steering committee with independent advice on implementation and risk management.</w:t>
            </w:r>
          </w:p>
          <w:p w14:paraId="2531F691" w14:textId="77777777" w:rsidR="002368D9" w:rsidRPr="00CD0FB3" w:rsidRDefault="00094725" w:rsidP="00094725">
            <w:pPr>
              <w:suppressAutoHyphens w:val="0"/>
              <w:spacing w:after="0" w:line="276" w:lineRule="auto"/>
              <w:rPr>
                <w:rFonts w:asciiTheme="majorHAnsi" w:hAnsiTheme="majorHAnsi" w:cs="Arial"/>
              </w:rPr>
            </w:pPr>
            <w:r w:rsidRPr="00CD0FB3">
              <w:rPr>
                <w:rFonts w:asciiTheme="majorHAnsi" w:hAnsiTheme="majorHAnsi" w:cs="Arial"/>
              </w:rPr>
              <w:lastRenderedPageBreak/>
              <w:t xml:space="preserve">A review of Safeguards include: </w:t>
            </w:r>
          </w:p>
          <w:p w14:paraId="08CCD093" w14:textId="77777777" w:rsidR="002368D9" w:rsidRPr="00CD0FB3" w:rsidRDefault="002368D9" w:rsidP="00094725">
            <w:pPr>
              <w:numPr>
                <w:ilvl w:val="0"/>
                <w:numId w:val="35"/>
              </w:numPr>
              <w:suppressAutoHyphens w:val="0"/>
              <w:spacing w:after="0" w:line="276" w:lineRule="auto"/>
              <w:rPr>
                <w:rFonts w:asciiTheme="majorHAnsi" w:hAnsiTheme="majorHAnsi" w:cs="Arial"/>
              </w:rPr>
            </w:pPr>
            <w:r w:rsidRPr="00CD0FB3">
              <w:rPr>
                <w:rFonts w:asciiTheme="majorHAnsi" w:hAnsiTheme="majorHAnsi" w:cs="Arial"/>
              </w:rPr>
              <w:t xml:space="preserve">Child protection; </w:t>
            </w:r>
            <w:r w:rsidR="007F3A78" w:rsidRPr="00CD0FB3">
              <w:rPr>
                <w:rFonts w:asciiTheme="majorHAnsi" w:hAnsiTheme="majorHAnsi" w:cs="Arial"/>
              </w:rPr>
              <w:t>t</w:t>
            </w:r>
            <w:r w:rsidRPr="00CD0FB3">
              <w:rPr>
                <w:rFonts w:asciiTheme="majorHAnsi" w:hAnsiTheme="majorHAnsi" w:cs="Arial"/>
              </w:rPr>
              <w:t>he design will need to ensure a shared responsibility for child protection where partners are working directly with communities, families, children and young people.</w:t>
            </w:r>
          </w:p>
          <w:p w14:paraId="346A5E36" w14:textId="77777777" w:rsidR="002368D9" w:rsidRPr="00CD0FB3" w:rsidRDefault="002368D9" w:rsidP="00094725">
            <w:pPr>
              <w:numPr>
                <w:ilvl w:val="0"/>
                <w:numId w:val="35"/>
              </w:numPr>
              <w:suppressAutoHyphens w:val="0"/>
              <w:spacing w:after="0" w:line="276" w:lineRule="auto"/>
              <w:rPr>
                <w:rFonts w:asciiTheme="majorHAnsi" w:hAnsiTheme="majorHAnsi" w:cs="Arial"/>
              </w:rPr>
            </w:pPr>
            <w:r w:rsidRPr="00CD0FB3">
              <w:rPr>
                <w:rFonts w:asciiTheme="majorHAnsi" w:hAnsiTheme="majorHAnsi" w:cs="Arial"/>
              </w:rPr>
              <w:t xml:space="preserve">Displacement and resettlement; </w:t>
            </w:r>
            <w:r w:rsidR="007F3A78" w:rsidRPr="00CD0FB3">
              <w:rPr>
                <w:rFonts w:asciiTheme="majorHAnsi" w:hAnsiTheme="majorHAnsi" w:cs="Arial"/>
              </w:rPr>
              <w:t>p</w:t>
            </w:r>
            <w:r w:rsidRPr="00CD0FB3">
              <w:rPr>
                <w:rFonts w:asciiTheme="majorHAnsi" w:hAnsiTheme="majorHAnsi" w:cs="Arial"/>
              </w:rPr>
              <w:t>roject-related displacement is not anticipated</w:t>
            </w:r>
            <w:r w:rsidR="004840B0" w:rsidRPr="00CD0FB3">
              <w:rPr>
                <w:rFonts w:asciiTheme="majorHAnsi" w:hAnsiTheme="majorHAnsi" w:cs="Arial"/>
              </w:rPr>
              <w:t>,</w:t>
            </w:r>
            <w:r w:rsidRPr="00CD0FB3">
              <w:rPr>
                <w:rFonts w:asciiTheme="majorHAnsi" w:hAnsiTheme="majorHAnsi" w:cs="Arial"/>
              </w:rPr>
              <w:t xml:space="preserve"> however, internal displacement as a result of natural disaster within the investment time period is a possibility. In line with the guiding principles of DFAT’s Humanitarian Strategy, the investment’s actions will be informed by respect for international humanitarian law, refugee law and human rights law in the provision of humanitarian action and the protection of populations affected by humanitarian crises. </w:t>
            </w:r>
          </w:p>
          <w:p w14:paraId="6FAD0A0B" w14:textId="77777777" w:rsidR="004C10EA" w:rsidRPr="00CD0FB3" w:rsidRDefault="002368D9">
            <w:pPr>
              <w:numPr>
                <w:ilvl w:val="0"/>
                <w:numId w:val="35"/>
              </w:numPr>
              <w:suppressAutoHyphens w:val="0"/>
              <w:spacing w:after="0" w:line="276" w:lineRule="auto"/>
              <w:rPr>
                <w:rFonts w:asciiTheme="majorHAnsi" w:hAnsiTheme="majorHAnsi" w:cs="Arial"/>
                <w:b/>
                <w:sz w:val="22"/>
                <w:szCs w:val="22"/>
              </w:rPr>
            </w:pPr>
            <w:r w:rsidRPr="00CD0FB3">
              <w:rPr>
                <w:rFonts w:asciiTheme="majorHAnsi" w:hAnsiTheme="majorHAnsi" w:cs="Arial"/>
              </w:rPr>
              <w:t>Environmental protection</w:t>
            </w:r>
            <w:r w:rsidR="007F3A78" w:rsidRPr="00CD0FB3">
              <w:rPr>
                <w:rFonts w:asciiTheme="majorHAnsi" w:hAnsiTheme="majorHAnsi" w:cs="Arial"/>
              </w:rPr>
              <w:t>;</w:t>
            </w:r>
            <w:r w:rsidRPr="00CD0FB3">
              <w:rPr>
                <w:rFonts w:asciiTheme="majorHAnsi" w:hAnsiTheme="majorHAnsi" w:cs="Arial"/>
              </w:rPr>
              <w:t xml:space="preserve"> the investment will </w:t>
            </w:r>
            <w:r w:rsidR="004840B0" w:rsidRPr="00CD0FB3">
              <w:rPr>
                <w:rFonts w:asciiTheme="majorHAnsi" w:hAnsiTheme="majorHAnsi" w:cs="Arial"/>
              </w:rPr>
              <w:t xml:space="preserve">not </w:t>
            </w:r>
            <w:r w:rsidRPr="00CD0FB3">
              <w:rPr>
                <w:rFonts w:asciiTheme="majorHAnsi" w:hAnsiTheme="majorHAnsi" w:cs="Arial"/>
              </w:rPr>
              <w:t xml:space="preserve">have a significant impact on the environment, </w:t>
            </w:r>
            <w:r w:rsidR="004840B0" w:rsidRPr="00CD0FB3">
              <w:rPr>
                <w:rFonts w:asciiTheme="majorHAnsi" w:hAnsiTheme="majorHAnsi" w:cs="Arial"/>
              </w:rPr>
              <w:t xml:space="preserve">however, </w:t>
            </w:r>
            <w:r w:rsidRPr="00CD0FB3">
              <w:rPr>
                <w:rFonts w:asciiTheme="majorHAnsi" w:hAnsiTheme="majorHAnsi" w:cs="Arial"/>
              </w:rPr>
              <w:t xml:space="preserve">environmental management has </w:t>
            </w:r>
            <w:r w:rsidR="004840B0" w:rsidRPr="00CD0FB3">
              <w:rPr>
                <w:rFonts w:asciiTheme="majorHAnsi" w:hAnsiTheme="majorHAnsi" w:cs="Arial"/>
              </w:rPr>
              <w:t>an impact on</w:t>
            </w:r>
            <w:r w:rsidRPr="00CD0FB3">
              <w:rPr>
                <w:rFonts w:asciiTheme="majorHAnsi" w:hAnsiTheme="majorHAnsi" w:cs="Arial"/>
              </w:rPr>
              <w:t xml:space="preserve"> DRM and therefore</w:t>
            </w:r>
            <w:r w:rsidR="004840B0" w:rsidRPr="00CD0FB3">
              <w:rPr>
                <w:rFonts w:asciiTheme="majorHAnsi" w:hAnsiTheme="majorHAnsi" w:cs="Arial"/>
              </w:rPr>
              <w:t xml:space="preserve"> will </w:t>
            </w:r>
            <w:r w:rsidRPr="00CD0FB3">
              <w:rPr>
                <w:rFonts w:asciiTheme="majorHAnsi" w:hAnsiTheme="majorHAnsi" w:cs="Arial"/>
              </w:rPr>
              <w:t>require consideration</w:t>
            </w:r>
            <w:r w:rsidR="004840B0" w:rsidRPr="00CD0FB3">
              <w:rPr>
                <w:rFonts w:asciiTheme="majorHAnsi" w:hAnsiTheme="majorHAnsi" w:cs="Arial"/>
              </w:rPr>
              <w:t xml:space="preserve"> in the design</w:t>
            </w:r>
            <w:r w:rsidRPr="00CD0FB3">
              <w:rPr>
                <w:rFonts w:asciiTheme="majorHAnsi" w:hAnsiTheme="majorHAnsi" w:cs="Arial"/>
              </w:rPr>
              <w:t xml:space="preserve">. </w:t>
            </w:r>
          </w:p>
        </w:tc>
      </w:tr>
      <w:tr w:rsidR="004C10EA" w:rsidRPr="00CD0FB3" w14:paraId="41F7E476" w14:textId="77777777" w:rsidTr="00DC348A">
        <w:trPr>
          <w:cantSplit w:val="0"/>
        </w:trPr>
        <w:tc>
          <w:tcPr>
            <w:tcW w:w="9606" w:type="dxa"/>
            <w:tcBorders>
              <w:bottom w:val="single" w:sz="4" w:space="0" w:color="808080"/>
            </w:tcBorders>
            <w:shd w:val="clear" w:color="auto" w:fill="E0F3EF" w:themeFill="accent1" w:themeFillTint="33"/>
          </w:tcPr>
          <w:p w14:paraId="7D1C4E61" w14:textId="77777777" w:rsidR="004C10EA" w:rsidRPr="00CD0FB3" w:rsidRDefault="004C10EA" w:rsidP="00D80DA1">
            <w:pPr>
              <w:tabs>
                <w:tab w:val="num" w:pos="568"/>
              </w:tabs>
              <w:spacing w:line="276" w:lineRule="auto"/>
              <w:rPr>
                <w:rFonts w:asciiTheme="majorHAnsi" w:hAnsiTheme="majorHAnsi" w:cs="Arial"/>
                <w:sz w:val="22"/>
                <w:szCs w:val="22"/>
                <w:lang w:eastAsia="en-US"/>
              </w:rPr>
            </w:pPr>
            <w:r w:rsidRPr="00CD0FB3">
              <w:rPr>
                <w:rFonts w:asciiTheme="majorHAnsi" w:hAnsiTheme="majorHAnsi"/>
              </w:rPr>
              <w:lastRenderedPageBreak/>
              <w:br w:type="page"/>
            </w:r>
            <w:r w:rsidRPr="00CD0FB3">
              <w:rPr>
                <w:rFonts w:asciiTheme="majorHAnsi" w:hAnsiTheme="majorHAnsi" w:cs="Arial"/>
                <w:b/>
                <w:sz w:val="22"/>
                <w:szCs w:val="22"/>
                <w:lang w:eastAsia="en-US"/>
              </w:rPr>
              <w:t>F</w:t>
            </w:r>
            <w:r w:rsidRPr="00CD0FB3">
              <w:rPr>
                <w:rStyle w:val="FootnoteReference"/>
                <w:rFonts w:asciiTheme="majorHAnsi" w:hAnsiTheme="majorHAnsi"/>
              </w:rPr>
              <w:footnoteReference w:id="1"/>
            </w:r>
            <w:r w:rsidRPr="00CD0FB3">
              <w:rPr>
                <w:rFonts w:asciiTheme="majorHAnsi" w:hAnsiTheme="majorHAnsi" w:cs="Arial"/>
                <w:b/>
                <w:sz w:val="22"/>
                <w:szCs w:val="22"/>
                <w:lang w:eastAsia="en-US"/>
              </w:rPr>
              <w:t>: Proposed design and quality assurance process (What are the next steps?)</w:t>
            </w:r>
          </w:p>
        </w:tc>
      </w:tr>
      <w:tr w:rsidR="004C10EA" w:rsidRPr="00966957" w14:paraId="722E7C3A" w14:textId="77777777" w:rsidTr="00DC348A">
        <w:trPr>
          <w:cantSplit w:val="0"/>
        </w:trPr>
        <w:tc>
          <w:tcPr>
            <w:tcW w:w="9606" w:type="dxa"/>
          </w:tcPr>
          <w:p w14:paraId="5E045B35" w14:textId="68034714" w:rsidR="00981A40" w:rsidRPr="00CD0FB3" w:rsidRDefault="00981A40" w:rsidP="00981A40">
            <w:pPr>
              <w:suppressAutoHyphens w:val="0"/>
              <w:spacing w:after="0" w:line="276" w:lineRule="auto"/>
              <w:rPr>
                <w:rFonts w:asciiTheme="majorHAnsi" w:hAnsiTheme="majorHAnsi" w:cs="Arial"/>
              </w:rPr>
            </w:pPr>
            <w:r w:rsidRPr="00CD0FB3">
              <w:rPr>
                <w:rFonts w:asciiTheme="majorHAnsi" w:hAnsiTheme="majorHAnsi" w:cs="Arial"/>
              </w:rPr>
              <w:t>The design will cover the second and third objectives in our strategic approach (</w:t>
            </w:r>
            <w:r w:rsidR="00794EB4" w:rsidRPr="00CD0FB3">
              <w:rPr>
                <w:rFonts w:asciiTheme="majorHAnsi" w:hAnsiTheme="majorHAnsi" w:cs="Arial"/>
              </w:rPr>
              <w:t>i</w:t>
            </w:r>
            <w:r w:rsidRPr="00CD0FB3">
              <w:rPr>
                <w:rFonts w:asciiTheme="majorHAnsi" w:hAnsiTheme="majorHAnsi" w:cs="Arial"/>
              </w:rPr>
              <w:t>mproving management of disaster risks in Indonesia, and coordination on regional humanitarian responses). The first component of the strategic approach (Readiness to support Australia’s response to humanitarian crises) will be managed internally.</w:t>
            </w:r>
          </w:p>
          <w:p w14:paraId="682BE003" w14:textId="77777777" w:rsidR="00981A40" w:rsidRPr="00CD0FB3" w:rsidRDefault="00981A40" w:rsidP="00981A40">
            <w:pPr>
              <w:suppressAutoHyphens w:val="0"/>
              <w:spacing w:after="0" w:line="276" w:lineRule="auto"/>
              <w:rPr>
                <w:rFonts w:asciiTheme="majorHAnsi" w:hAnsiTheme="majorHAnsi" w:cs="Arial"/>
              </w:rPr>
            </w:pPr>
            <w:r w:rsidRPr="00CD0FB3">
              <w:rPr>
                <w:rFonts w:asciiTheme="majorHAnsi" w:hAnsiTheme="majorHAnsi" w:cs="Arial"/>
              </w:rPr>
              <w:t xml:space="preserve">The design will outline the program goal and objectives, theory of change, implementation arrangements, risk management, and explain how progress towards outcomes will be measured. The design will be prepared in partnership with </w:t>
            </w:r>
            <w:r w:rsidR="0064468B" w:rsidRPr="00CD0FB3">
              <w:rPr>
                <w:rFonts w:asciiTheme="majorHAnsi" w:hAnsiTheme="majorHAnsi" w:cs="Arial"/>
              </w:rPr>
              <w:t>GOI</w:t>
            </w:r>
            <w:r w:rsidRPr="00CD0FB3">
              <w:rPr>
                <w:rFonts w:asciiTheme="majorHAnsi" w:hAnsiTheme="majorHAnsi" w:cs="Arial"/>
              </w:rPr>
              <w:t xml:space="preserve"> and other partners and will take account of lessons from our program. </w:t>
            </w:r>
          </w:p>
          <w:p w14:paraId="07BFFE17" w14:textId="77777777" w:rsidR="00EC66A7" w:rsidRPr="00CD0FB3" w:rsidRDefault="00EC66A7" w:rsidP="00EC66A7">
            <w:pPr>
              <w:suppressAutoHyphens w:val="0"/>
              <w:spacing w:after="0" w:line="276" w:lineRule="auto"/>
              <w:rPr>
                <w:rFonts w:asciiTheme="majorHAnsi" w:hAnsiTheme="majorHAnsi" w:cs="Arial"/>
              </w:rPr>
            </w:pPr>
            <w:r w:rsidRPr="00CD0FB3">
              <w:rPr>
                <w:rFonts w:asciiTheme="majorHAnsi" w:hAnsiTheme="majorHAnsi" w:cs="Arial"/>
              </w:rPr>
              <w:t>Key steps in the design process are as follows:</w:t>
            </w:r>
          </w:p>
          <w:p w14:paraId="6B837A71" w14:textId="4C412675" w:rsidR="0098308B" w:rsidRPr="00CD0FB3" w:rsidRDefault="0098308B" w:rsidP="0098308B">
            <w:pPr>
              <w:numPr>
                <w:ilvl w:val="0"/>
                <w:numId w:val="35"/>
              </w:numPr>
              <w:suppressAutoHyphens w:val="0"/>
              <w:spacing w:after="0" w:line="276" w:lineRule="auto"/>
              <w:ind w:left="357" w:hanging="357"/>
              <w:rPr>
                <w:rFonts w:asciiTheme="majorHAnsi" w:hAnsiTheme="majorHAnsi" w:cs="Arial"/>
              </w:rPr>
            </w:pPr>
            <w:r w:rsidRPr="00CD0FB3">
              <w:rPr>
                <w:rFonts w:asciiTheme="majorHAnsi" w:hAnsiTheme="majorHAnsi" w:cs="Arial"/>
              </w:rPr>
              <w:t>February</w:t>
            </w:r>
            <w:r w:rsidR="00661DD6" w:rsidRPr="00CD0FB3">
              <w:rPr>
                <w:rFonts w:asciiTheme="majorHAnsi" w:hAnsiTheme="majorHAnsi" w:cs="Arial"/>
              </w:rPr>
              <w:t xml:space="preserve"> – </w:t>
            </w:r>
            <w:r w:rsidR="004840B0" w:rsidRPr="00CD0FB3">
              <w:rPr>
                <w:rFonts w:asciiTheme="majorHAnsi" w:hAnsiTheme="majorHAnsi" w:cs="Arial"/>
              </w:rPr>
              <w:t xml:space="preserve">April </w:t>
            </w:r>
            <w:r w:rsidR="00661DD6" w:rsidRPr="00CD0FB3">
              <w:rPr>
                <w:rFonts w:asciiTheme="majorHAnsi" w:hAnsiTheme="majorHAnsi" w:cs="Arial"/>
              </w:rPr>
              <w:t xml:space="preserve">2018: </w:t>
            </w:r>
            <w:r w:rsidR="008E7662">
              <w:rPr>
                <w:rFonts w:asciiTheme="majorHAnsi" w:hAnsiTheme="majorHAnsi" w:cs="Arial"/>
              </w:rPr>
              <w:t xml:space="preserve">Concept and planning </w:t>
            </w:r>
          </w:p>
          <w:p w14:paraId="2DFD22D5" w14:textId="2919DECD" w:rsidR="00661DD6" w:rsidRPr="00CD0FB3" w:rsidRDefault="00BA655F" w:rsidP="0098308B">
            <w:pPr>
              <w:numPr>
                <w:ilvl w:val="0"/>
                <w:numId w:val="35"/>
              </w:numPr>
              <w:suppressAutoHyphens w:val="0"/>
              <w:spacing w:after="0" w:line="276" w:lineRule="auto"/>
              <w:ind w:left="357" w:hanging="357"/>
              <w:rPr>
                <w:rFonts w:asciiTheme="majorHAnsi" w:hAnsiTheme="majorHAnsi" w:cs="Arial"/>
              </w:rPr>
            </w:pPr>
            <w:r w:rsidRPr="00CD0FB3">
              <w:rPr>
                <w:rFonts w:asciiTheme="majorHAnsi" w:hAnsiTheme="majorHAnsi" w:cs="Arial"/>
              </w:rPr>
              <w:t>April</w:t>
            </w:r>
            <w:r w:rsidR="00CD0FB3" w:rsidRPr="00CD0FB3">
              <w:rPr>
                <w:rFonts w:asciiTheme="majorHAnsi" w:hAnsiTheme="majorHAnsi" w:cs="Arial"/>
              </w:rPr>
              <w:t xml:space="preserve"> to November </w:t>
            </w:r>
            <w:r w:rsidR="00661DD6" w:rsidRPr="00CD0FB3">
              <w:rPr>
                <w:rFonts w:asciiTheme="majorHAnsi" w:hAnsiTheme="majorHAnsi" w:cs="Arial"/>
              </w:rPr>
              <w:t xml:space="preserve">2018: </w:t>
            </w:r>
            <w:r w:rsidR="00926379">
              <w:rPr>
                <w:rFonts w:asciiTheme="majorHAnsi" w:hAnsiTheme="majorHAnsi" w:cs="Arial"/>
              </w:rPr>
              <w:t>Design, q</w:t>
            </w:r>
            <w:r w:rsidR="00661DD6" w:rsidRPr="00CD0FB3">
              <w:rPr>
                <w:rFonts w:asciiTheme="majorHAnsi" w:hAnsiTheme="majorHAnsi" w:cs="Arial"/>
              </w:rPr>
              <w:t xml:space="preserve">uality </w:t>
            </w:r>
            <w:r w:rsidR="00926379">
              <w:rPr>
                <w:rFonts w:asciiTheme="majorHAnsi" w:hAnsiTheme="majorHAnsi" w:cs="Arial"/>
              </w:rPr>
              <w:t>a</w:t>
            </w:r>
            <w:r w:rsidR="00661DD6" w:rsidRPr="00CD0FB3">
              <w:rPr>
                <w:rFonts w:asciiTheme="majorHAnsi" w:hAnsiTheme="majorHAnsi" w:cs="Arial"/>
              </w:rPr>
              <w:t>ssurance</w:t>
            </w:r>
            <w:r w:rsidR="00CD0FB3" w:rsidRPr="00CD0FB3">
              <w:rPr>
                <w:rFonts w:asciiTheme="majorHAnsi" w:hAnsiTheme="majorHAnsi" w:cs="Arial"/>
              </w:rPr>
              <w:t>, approval process and tender</w:t>
            </w:r>
            <w:r w:rsidR="00661DD6" w:rsidRPr="00CD0FB3">
              <w:rPr>
                <w:rFonts w:asciiTheme="majorHAnsi" w:hAnsiTheme="majorHAnsi" w:cs="Arial"/>
              </w:rPr>
              <w:t xml:space="preserve"> </w:t>
            </w:r>
          </w:p>
          <w:p w14:paraId="632E20DD" w14:textId="65391900" w:rsidR="00661DD6" w:rsidRPr="00CD0FB3" w:rsidRDefault="00CD0FB3" w:rsidP="0098308B">
            <w:pPr>
              <w:numPr>
                <w:ilvl w:val="0"/>
                <w:numId w:val="35"/>
              </w:numPr>
              <w:suppressAutoHyphens w:val="0"/>
              <w:spacing w:after="0" w:line="276" w:lineRule="auto"/>
              <w:ind w:left="357" w:hanging="357"/>
              <w:rPr>
                <w:rFonts w:asciiTheme="majorHAnsi" w:hAnsiTheme="majorHAnsi" w:cs="Arial"/>
              </w:rPr>
            </w:pPr>
            <w:r w:rsidRPr="00CD0FB3">
              <w:rPr>
                <w:rFonts w:asciiTheme="majorHAnsi" w:hAnsiTheme="majorHAnsi" w:cs="Arial"/>
              </w:rPr>
              <w:t xml:space="preserve">January 2019: New </w:t>
            </w:r>
            <w:r w:rsidR="00661DD6" w:rsidRPr="00CD0FB3">
              <w:rPr>
                <w:rFonts w:asciiTheme="majorHAnsi" w:hAnsiTheme="majorHAnsi" w:cs="Arial"/>
              </w:rPr>
              <w:t xml:space="preserve">Subsidiary Arrangement (SA) </w:t>
            </w:r>
            <w:r w:rsidRPr="00CD0FB3">
              <w:rPr>
                <w:rFonts w:asciiTheme="majorHAnsi" w:hAnsiTheme="majorHAnsi" w:cs="Arial"/>
              </w:rPr>
              <w:t xml:space="preserve">between Australia and Indonesia </w:t>
            </w:r>
          </w:p>
          <w:p w14:paraId="1EEC8171" w14:textId="649A5597" w:rsidR="00A64028" w:rsidRPr="00CD0FB3" w:rsidRDefault="00CD0FB3" w:rsidP="00CD0FB3">
            <w:pPr>
              <w:numPr>
                <w:ilvl w:val="0"/>
                <w:numId w:val="35"/>
              </w:numPr>
              <w:suppressAutoHyphens w:val="0"/>
              <w:spacing w:after="0" w:line="276" w:lineRule="auto"/>
              <w:ind w:left="357" w:hanging="357"/>
              <w:rPr>
                <w:rFonts w:asciiTheme="majorHAnsi" w:hAnsiTheme="majorHAnsi" w:cs="Arial"/>
                <w:b/>
                <w:sz w:val="22"/>
                <w:szCs w:val="22"/>
              </w:rPr>
            </w:pPr>
            <w:r w:rsidRPr="00CD0FB3">
              <w:rPr>
                <w:rFonts w:asciiTheme="majorHAnsi" w:hAnsiTheme="majorHAnsi" w:cs="Arial"/>
              </w:rPr>
              <w:t xml:space="preserve">January </w:t>
            </w:r>
            <w:r w:rsidR="00661DD6" w:rsidRPr="00CD0FB3">
              <w:rPr>
                <w:rFonts w:asciiTheme="majorHAnsi" w:hAnsiTheme="majorHAnsi" w:cs="Arial"/>
              </w:rPr>
              <w:t>201</w:t>
            </w:r>
            <w:r w:rsidRPr="00CD0FB3">
              <w:rPr>
                <w:rFonts w:asciiTheme="majorHAnsi" w:hAnsiTheme="majorHAnsi" w:cs="Arial"/>
              </w:rPr>
              <w:t>9</w:t>
            </w:r>
            <w:r w:rsidR="00661DD6" w:rsidRPr="00CD0FB3">
              <w:rPr>
                <w:rFonts w:asciiTheme="majorHAnsi" w:hAnsiTheme="majorHAnsi" w:cs="Arial"/>
              </w:rPr>
              <w:t xml:space="preserve">: Commence implementation </w:t>
            </w:r>
          </w:p>
        </w:tc>
      </w:tr>
    </w:tbl>
    <w:p w14:paraId="7C60B567" w14:textId="77777777" w:rsidR="00130904" w:rsidRPr="00966957" w:rsidRDefault="00130904" w:rsidP="00F248FC">
      <w:pPr>
        <w:rPr>
          <w:rFonts w:asciiTheme="majorHAnsi" w:hAnsiTheme="majorHAnsi"/>
        </w:rPr>
      </w:pPr>
      <w:bookmarkStart w:id="4" w:name="Box3"/>
      <w:bookmarkEnd w:id="4"/>
    </w:p>
    <w:sectPr w:rsidR="00130904" w:rsidRPr="00966957" w:rsidSect="000F4789">
      <w:headerReference w:type="even" r:id="rId8"/>
      <w:headerReference w:type="default" r:id="rId9"/>
      <w:footerReference w:type="even" r:id="rId10"/>
      <w:footerReference w:type="default" r:id="rId11"/>
      <w:headerReference w:type="first" r:id="rId12"/>
      <w:footerReference w:type="first" r:id="rId13"/>
      <w:pgSz w:w="11907" w:h="16839" w:code="9"/>
      <w:pgMar w:top="1560"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4B6AE" w14:textId="77777777" w:rsidR="008C2CAC" w:rsidRDefault="008C2CAC" w:rsidP="00D37B04">
      <w:r>
        <w:separator/>
      </w:r>
    </w:p>
  </w:endnote>
  <w:endnote w:type="continuationSeparator" w:id="0">
    <w:p w14:paraId="6B8F5BA6" w14:textId="77777777" w:rsidR="008C2CAC" w:rsidRDefault="008C2CAC"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38A2F" w14:textId="77777777" w:rsidR="0031422F" w:rsidRDefault="00314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59914"/>
      <w:docPartObj>
        <w:docPartGallery w:val="Page Numbers (Bottom of Page)"/>
        <w:docPartUnique/>
      </w:docPartObj>
    </w:sdtPr>
    <w:sdtEndPr>
      <w:rPr>
        <w:noProof/>
      </w:rPr>
    </w:sdtEndPr>
    <w:sdtContent>
      <w:p w14:paraId="7472BF63" w14:textId="69CB2631" w:rsidR="00D80DA1" w:rsidRDefault="00D80DA1">
        <w:pPr>
          <w:pStyle w:val="Footer"/>
          <w:jc w:val="right"/>
        </w:pPr>
        <w:r>
          <w:fldChar w:fldCharType="begin"/>
        </w:r>
        <w:r>
          <w:instrText xml:space="preserve"> PAGE   \* MERGEFORMAT </w:instrText>
        </w:r>
        <w:r>
          <w:fldChar w:fldCharType="separate"/>
        </w:r>
        <w:r w:rsidR="0031422F">
          <w:rPr>
            <w:noProof/>
          </w:rPr>
          <w:t>5</w:t>
        </w:r>
        <w:r>
          <w:rPr>
            <w:noProof/>
          </w:rPr>
          <w:fldChar w:fldCharType="end"/>
        </w:r>
      </w:p>
    </w:sdtContent>
  </w:sdt>
  <w:p w14:paraId="7125339F" w14:textId="77777777" w:rsidR="00D80DA1" w:rsidRPr="00FC322F" w:rsidRDefault="00D80DA1"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CC097" w14:textId="77777777" w:rsidR="00D80DA1" w:rsidRPr="00FC322F" w:rsidRDefault="00D80DA1" w:rsidP="00FC322F">
    <w:pPr>
      <w:pStyle w:val="Footer"/>
      <w:rPr>
        <w:b/>
      </w:rPr>
    </w:pPr>
    <w:r w:rsidRPr="00FC322F">
      <w:rPr>
        <w:b/>
        <w:noProof/>
        <w:lang w:val="en-AU" w:eastAsia="en-AU"/>
      </w:rPr>
      <w:drawing>
        <wp:inline distT="0" distB="0" distL="0" distR="0" wp14:anchorId="1E70BBA6" wp14:editId="65DB7EF5">
          <wp:extent cx="108000" cy="87480"/>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CB366" w14:textId="77777777" w:rsidR="008C2CAC" w:rsidRPr="008C5A0E" w:rsidRDefault="008C2CAC" w:rsidP="00D37B04">
      <w:pPr>
        <w:pStyle w:val="Footer"/>
      </w:pPr>
    </w:p>
  </w:footnote>
  <w:footnote w:type="continuationSeparator" w:id="0">
    <w:p w14:paraId="2456F10C" w14:textId="77777777" w:rsidR="008C2CAC" w:rsidRDefault="008C2CAC" w:rsidP="00D37B04">
      <w:r>
        <w:continuationSeparator/>
      </w:r>
    </w:p>
  </w:footnote>
  <w:footnote w:id="1">
    <w:p w14:paraId="30A26AED" w14:textId="62FA1768" w:rsidR="00D80DA1" w:rsidRPr="00B43671" w:rsidRDefault="00D80DA1" w:rsidP="004C10EA">
      <w:pPr>
        <w:rPr>
          <w:rFonts w:ascii="Franklin Gothic Book" w:eastAsia="Times New Roman" w:hAnsi="Franklin Gothic Book" w:cs="Arial"/>
          <w:sz w:val="16"/>
          <w:szCs w:val="16"/>
        </w:rPr>
      </w:pPr>
    </w:p>
    <w:p w14:paraId="61ECCB7B" w14:textId="77777777" w:rsidR="00D80DA1" w:rsidRPr="00595AD7" w:rsidRDefault="00D80DA1" w:rsidP="004C10EA">
      <w:pPr>
        <w:pStyle w:val="FootnoteText"/>
        <w:rPr>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B2811" w14:textId="77777777" w:rsidR="0031422F" w:rsidRDefault="00314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52CD" w14:textId="77777777" w:rsidR="00D80DA1" w:rsidRPr="000854FD" w:rsidRDefault="00D80DA1" w:rsidP="002D5B25">
    <w:pPr>
      <w:pStyle w:val="Header"/>
    </w:pPr>
    <w:r w:rsidRPr="00943730">
      <w:rPr>
        <w:noProof/>
        <w:lang w:val="en-AU" w:eastAsia="en-AU"/>
      </w:rPr>
      <w:drawing>
        <wp:anchor distT="0" distB="0" distL="114300" distR="114300" simplePos="0" relativeHeight="251662336" behindDoc="1" locked="1" layoutInCell="1" allowOverlap="1" wp14:anchorId="281529B0" wp14:editId="4EED0081">
          <wp:simplePos x="0" y="0"/>
          <wp:positionH relativeFrom="page">
            <wp:posOffset>12065</wp:posOffset>
          </wp:positionH>
          <wp:positionV relativeFrom="page">
            <wp:posOffset>0</wp:posOffset>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072AC" w14:textId="291F406C" w:rsidR="00D80DA1" w:rsidRPr="00943730" w:rsidRDefault="00D80DA1" w:rsidP="00943730">
    <w:pPr>
      <w:pStyle w:val="Header"/>
    </w:pPr>
    <w:r w:rsidRPr="00943730">
      <w:fldChar w:fldCharType="begin"/>
    </w:r>
    <w:r w:rsidRPr="00943730">
      <w:instrText xml:space="preserve"> DATE  \@ "MMMM yyyy"  \* MERGEFORMAT </w:instrText>
    </w:r>
    <w:r w:rsidRPr="00943730">
      <w:fldChar w:fldCharType="separate"/>
    </w:r>
    <w:r w:rsidR="0031422F">
      <w:rPr>
        <w:noProof/>
      </w:rPr>
      <w:t>May 2018</w:t>
    </w:r>
    <w:r w:rsidRPr="00943730">
      <w:fldChar w:fldCharType="end"/>
    </w:r>
    <w:r w:rsidRPr="00943730">
      <w:rPr>
        <w:noProof/>
        <w:lang w:val="en-AU" w:eastAsia="en-AU"/>
      </w:rPr>
      <w:drawing>
        <wp:anchor distT="0" distB="0" distL="114300" distR="114300" simplePos="0" relativeHeight="251656192" behindDoc="1" locked="1" layoutInCell="1" allowOverlap="1" wp14:anchorId="75393E36" wp14:editId="3014864B">
          <wp:simplePos x="0" y="0"/>
          <wp:positionH relativeFrom="page">
            <wp:posOffset>12700</wp:posOffset>
          </wp:positionH>
          <wp:positionV relativeFrom="page">
            <wp:posOffset>0</wp:posOffset>
          </wp:positionV>
          <wp:extent cx="7559040" cy="1069213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88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CE8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92C3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1E3C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DA35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9C6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A6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9A2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781D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D4F8E"/>
    <w:multiLevelType w:val="hybridMultilevel"/>
    <w:tmpl w:val="3BAA71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75591D"/>
    <w:multiLevelType w:val="hybridMultilevel"/>
    <w:tmpl w:val="F5263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2381A40"/>
    <w:multiLevelType w:val="hybridMultilevel"/>
    <w:tmpl w:val="B0600260"/>
    <w:lvl w:ilvl="0" w:tplc="8B607FC2">
      <w:start w:val="2"/>
      <w:numFmt w:val="decimal"/>
      <w:lvlText w:val="%1."/>
      <w:lvlJc w:val="left"/>
      <w:pPr>
        <w:ind w:left="644" w:hanging="360"/>
      </w:pPr>
      <w:rPr>
        <w:rFonts w:hint="default"/>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F3196B"/>
    <w:multiLevelType w:val="hybridMultilevel"/>
    <w:tmpl w:val="C09C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7" w15:restartNumberingAfterBreak="0">
    <w:nsid w:val="28586763"/>
    <w:multiLevelType w:val="hybridMultilevel"/>
    <w:tmpl w:val="385EE0FE"/>
    <w:lvl w:ilvl="0" w:tplc="1BDE7310">
      <w:start w:val="1"/>
      <w:numFmt w:val="bullet"/>
      <w:lvlText w:val=""/>
      <w:lvlJc w:val="left"/>
      <w:pPr>
        <w:ind w:left="360" w:hanging="360"/>
      </w:pPr>
      <w:rPr>
        <w:rFonts w:ascii="Symbol" w:hAnsi="Symbol" w:hint="default"/>
        <w:sz w:val="20"/>
        <w:szCs w:val="20"/>
      </w:rPr>
    </w:lvl>
    <w:lvl w:ilvl="1" w:tplc="08561F20">
      <w:numFmt w:val="bullet"/>
      <w:lvlText w:val="-"/>
      <w:lvlJc w:val="left"/>
      <w:pPr>
        <w:ind w:left="1080" w:hanging="360"/>
      </w:pPr>
      <w:rPr>
        <w:rFonts w:ascii="Times New Roman" w:eastAsia="Times New Roman" w:hAnsi="Times New Roman" w:cs="Times New Roman"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437A7146"/>
    <w:multiLevelType w:val="hybridMultilevel"/>
    <w:tmpl w:val="C0762020"/>
    <w:lvl w:ilvl="0" w:tplc="1BDE7310">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9952BF"/>
    <w:multiLevelType w:val="hybridMultilevel"/>
    <w:tmpl w:val="8708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BBD349F"/>
    <w:multiLevelType w:val="hybridMultilevel"/>
    <w:tmpl w:val="EB2E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3C1EA7"/>
    <w:multiLevelType w:val="multilevel"/>
    <w:tmpl w:val="43428892"/>
    <w:numStyleLink w:val="BulletsList"/>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6"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1"/>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18"/>
  </w:num>
  <w:num w:numId="23">
    <w:abstractNumId w:val="18"/>
  </w:num>
  <w:num w:numId="24">
    <w:abstractNumId w:val="23"/>
  </w:num>
  <w:num w:numId="25">
    <w:abstractNumId w:val="23"/>
  </w:num>
  <w:num w:numId="26">
    <w:abstractNumId w:val="23"/>
  </w:num>
  <w:num w:numId="27">
    <w:abstractNumId w:val="21"/>
  </w:num>
  <w:num w:numId="28">
    <w:abstractNumId w:val="11"/>
  </w:num>
  <w:num w:numId="29">
    <w:abstractNumId w:val="11"/>
  </w:num>
  <w:num w:numId="30">
    <w:abstractNumId w:val="11"/>
  </w:num>
  <w:num w:numId="31">
    <w:abstractNumId w:val="16"/>
  </w:num>
  <w:num w:numId="32">
    <w:abstractNumId w:val="27"/>
  </w:num>
  <w:num w:numId="33">
    <w:abstractNumId w:val="28"/>
  </w:num>
  <w:num w:numId="34">
    <w:abstractNumId w:val="29"/>
  </w:num>
  <w:num w:numId="35">
    <w:abstractNumId w:val="17"/>
  </w:num>
  <w:num w:numId="36">
    <w:abstractNumId w:val="22"/>
  </w:num>
  <w:num w:numId="37">
    <w:abstractNumId w:val="25"/>
  </w:num>
  <w:num w:numId="38">
    <w:abstractNumId w:val="19"/>
  </w:num>
  <w:num w:numId="39">
    <w:abstractNumId w:val="13"/>
  </w:num>
  <w:num w:numId="40">
    <w:abstractNumId w:val="20"/>
  </w:num>
  <w:num w:numId="41">
    <w:abstractNumId w:val="15"/>
  </w:num>
  <w:num w:numId="42">
    <w:abstractNumId w:val="14"/>
  </w:num>
  <w:num w:numId="43">
    <w:abstractNumId w:val="14"/>
    <w:lvlOverride w:ilvl="0">
      <w:lvl w:ilvl="0" w:tplc="8B607FC2">
        <w:start w:val="2"/>
        <w:numFmt w:val="decimal"/>
        <w:lvlText w:val="%1."/>
        <w:lvlJc w:val="left"/>
        <w:pPr>
          <w:ind w:left="284" w:firstLine="0"/>
        </w:pPr>
        <w:rPr>
          <w:rFonts w:hint="default"/>
          <w:i w:val="0"/>
        </w:rPr>
      </w:lvl>
    </w:lvlOverride>
    <w:lvlOverride w:ilvl="1">
      <w:lvl w:ilvl="1" w:tplc="0C09000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0C1"/>
    <w:rsid w:val="0002080A"/>
    <w:rsid w:val="0002782F"/>
    <w:rsid w:val="00035BBF"/>
    <w:rsid w:val="00050806"/>
    <w:rsid w:val="000546D9"/>
    <w:rsid w:val="00054E4D"/>
    <w:rsid w:val="00060073"/>
    <w:rsid w:val="000616C6"/>
    <w:rsid w:val="00064A9F"/>
    <w:rsid w:val="00064D1B"/>
    <w:rsid w:val="00071392"/>
    <w:rsid w:val="000854FD"/>
    <w:rsid w:val="00094725"/>
    <w:rsid w:val="000A0AAC"/>
    <w:rsid w:val="000B37F5"/>
    <w:rsid w:val="000B667E"/>
    <w:rsid w:val="000C2276"/>
    <w:rsid w:val="000D66D6"/>
    <w:rsid w:val="000D6AD7"/>
    <w:rsid w:val="000F00AD"/>
    <w:rsid w:val="000F4789"/>
    <w:rsid w:val="00111C55"/>
    <w:rsid w:val="00113288"/>
    <w:rsid w:val="001214BE"/>
    <w:rsid w:val="00130533"/>
    <w:rsid w:val="00130904"/>
    <w:rsid w:val="0013101C"/>
    <w:rsid w:val="001461D6"/>
    <w:rsid w:val="001541EA"/>
    <w:rsid w:val="00154834"/>
    <w:rsid w:val="00157BCA"/>
    <w:rsid w:val="00160183"/>
    <w:rsid w:val="00175C31"/>
    <w:rsid w:val="00177EB8"/>
    <w:rsid w:val="00184F31"/>
    <w:rsid w:val="00192227"/>
    <w:rsid w:val="00193660"/>
    <w:rsid w:val="001C5DF1"/>
    <w:rsid w:val="001C7677"/>
    <w:rsid w:val="001D1FFB"/>
    <w:rsid w:val="001D663E"/>
    <w:rsid w:val="001E1DC0"/>
    <w:rsid w:val="001F30A8"/>
    <w:rsid w:val="001F5156"/>
    <w:rsid w:val="00203277"/>
    <w:rsid w:val="00206CEC"/>
    <w:rsid w:val="002368D9"/>
    <w:rsid w:val="00237706"/>
    <w:rsid w:val="00252C04"/>
    <w:rsid w:val="0028602A"/>
    <w:rsid w:val="002907AF"/>
    <w:rsid w:val="002B000A"/>
    <w:rsid w:val="002B5E10"/>
    <w:rsid w:val="002C793D"/>
    <w:rsid w:val="002D5B25"/>
    <w:rsid w:val="002F3D1D"/>
    <w:rsid w:val="002F4F2B"/>
    <w:rsid w:val="003002C0"/>
    <w:rsid w:val="00301144"/>
    <w:rsid w:val="003031C6"/>
    <w:rsid w:val="00304984"/>
    <w:rsid w:val="00312BF8"/>
    <w:rsid w:val="0031422F"/>
    <w:rsid w:val="003148B7"/>
    <w:rsid w:val="003158C3"/>
    <w:rsid w:val="00316007"/>
    <w:rsid w:val="003274CD"/>
    <w:rsid w:val="00333501"/>
    <w:rsid w:val="00344CA2"/>
    <w:rsid w:val="003457C4"/>
    <w:rsid w:val="00347DEB"/>
    <w:rsid w:val="0035119D"/>
    <w:rsid w:val="00363A11"/>
    <w:rsid w:val="00367E62"/>
    <w:rsid w:val="00372772"/>
    <w:rsid w:val="00384D40"/>
    <w:rsid w:val="0039344A"/>
    <w:rsid w:val="00395163"/>
    <w:rsid w:val="003A78AF"/>
    <w:rsid w:val="003B4F12"/>
    <w:rsid w:val="003B5338"/>
    <w:rsid w:val="003D0689"/>
    <w:rsid w:val="003D7BA4"/>
    <w:rsid w:val="003F2041"/>
    <w:rsid w:val="003F2A07"/>
    <w:rsid w:val="00402ACC"/>
    <w:rsid w:val="00410F1A"/>
    <w:rsid w:val="004120EC"/>
    <w:rsid w:val="00423F31"/>
    <w:rsid w:val="00431899"/>
    <w:rsid w:val="00442055"/>
    <w:rsid w:val="00445056"/>
    <w:rsid w:val="00452635"/>
    <w:rsid w:val="004627C8"/>
    <w:rsid w:val="0047181F"/>
    <w:rsid w:val="0047630A"/>
    <w:rsid w:val="00482AE8"/>
    <w:rsid w:val="004840B0"/>
    <w:rsid w:val="00486804"/>
    <w:rsid w:val="0049550E"/>
    <w:rsid w:val="004963CD"/>
    <w:rsid w:val="004976C7"/>
    <w:rsid w:val="004A6B58"/>
    <w:rsid w:val="004B0D4F"/>
    <w:rsid w:val="004B3775"/>
    <w:rsid w:val="004B5AB0"/>
    <w:rsid w:val="004C10EA"/>
    <w:rsid w:val="004D0BA0"/>
    <w:rsid w:val="004D1EBA"/>
    <w:rsid w:val="004D318F"/>
    <w:rsid w:val="004E058F"/>
    <w:rsid w:val="004E3B87"/>
    <w:rsid w:val="004F0146"/>
    <w:rsid w:val="004F4B52"/>
    <w:rsid w:val="00510921"/>
    <w:rsid w:val="00510AD3"/>
    <w:rsid w:val="00512FFA"/>
    <w:rsid w:val="00513348"/>
    <w:rsid w:val="00513AD8"/>
    <w:rsid w:val="0051650E"/>
    <w:rsid w:val="005204D2"/>
    <w:rsid w:val="00522396"/>
    <w:rsid w:val="0052638F"/>
    <w:rsid w:val="00533B5D"/>
    <w:rsid w:val="0053418A"/>
    <w:rsid w:val="00550920"/>
    <w:rsid w:val="00554636"/>
    <w:rsid w:val="005644E3"/>
    <w:rsid w:val="00567618"/>
    <w:rsid w:val="00567E22"/>
    <w:rsid w:val="00587E11"/>
    <w:rsid w:val="0059750B"/>
    <w:rsid w:val="005A042F"/>
    <w:rsid w:val="005A20F6"/>
    <w:rsid w:val="005D3655"/>
    <w:rsid w:val="005E4830"/>
    <w:rsid w:val="005F51B5"/>
    <w:rsid w:val="0061215C"/>
    <w:rsid w:val="00622B86"/>
    <w:rsid w:val="00623BA1"/>
    <w:rsid w:val="006346BC"/>
    <w:rsid w:val="0064468B"/>
    <w:rsid w:val="00661DD6"/>
    <w:rsid w:val="00663111"/>
    <w:rsid w:val="0066652A"/>
    <w:rsid w:val="006719C3"/>
    <w:rsid w:val="00680522"/>
    <w:rsid w:val="00681903"/>
    <w:rsid w:val="00682167"/>
    <w:rsid w:val="00687605"/>
    <w:rsid w:val="006924E1"/>
    <w:rsid w:val="00694637"/>
    <w:rsid w:val="006A7389"/>
    <w:rsid w:val="006A7F85"/>
    <w:rsid w:val="006B15F1"/>
    <w:rsid w:val="006B45F9"/>
    <w:rsid w:val="006C42AF"/>
    <w:rsid w:val="006C7782"/>
    <w:rsid w:val="00711D8E"/>
    <w:rsid w:val="00712672"/>
    <w:rsid w:val="00734E3F"/>
    <w:rsid w:val="00736985"/>
    <w:rsid w:val="007422DD"/>
    <w:rsid w:val="00745DF5"/>
    <w:rsid w:val="00752FAA"/>
    <w:rsid w:val="00755D85"/>
    <w:rsid w:val="00757181"/>
    <w:rsid w:val="0076066C"/>
    <w:rsid w:val="0076250F"/>
    <w:rsid w:val="00776009"/>
    <w:rsid w:val="00780FA5"/>
    <w:rsid w:val="00794EB4"/>
    <w:rsid w:val="007B147F"/>
    <w:rsid w:val="007B4756"/>
    <w:rsid w:val="007B6200"/>
    <w:rsid w:val="007F3395"/>
    <w:rsid w:val="007F3A78"/>
    <w:rsid w:val="00800116"/>
    <w:rsid w:val="00801B9F"/>
    <w:rsid w:val="0080204D"/>
    <w:rsid w:val="0081646E"/>
    <w:rsid w:val="00837315"/>
    <w:rsid w:val="008475F0"/>
    <w:rsid w:val="00850683"/>
    <w:rsid w:val="0085445D"/>
    <w:rsid w:val="008557A7"/>
    <w:rsid w:val="0086717A"/>
    <w:rsid w:val="00870928"/>
    <w:rsid w:val="00870C8D"/>
    <w:rsid w:val="008741CD"/>
    <w:rsid w:val="0089405C"/>
    <w:rsid w:val="00897FA2"/>
    <w:rsid w:val="008A5AFE"/>
    <w:rsid w:val="008B3925"/>
    <w:rsid w:val="008C2CAC"/>
    <w:rsid w:val="008C4F1B"/>
    <w:rsid w:val="008C5A0E"/>
    <w:rsid w:val="008C67D5"/>
    <w:rsid w:val="008C7814"/>
    <w:rsid w:val="008E0449"/>
    <w:rsid w:val="008E7662"/>
    <w:rsid w:val="008F5FA8"/>
    <w:rsid w:val="009019BA"/>
    <w:rsid w:val="0091581F"/>
    <w:rsid w:val="00926379"/>
    <w:rsid w:val="00943730"/>
    <w:rsid w:val="00955612"/>
    <w:rsid w:val="00963C90"/>
    <w:rsid w:val="00966957"/>
    <w:rsid w:val="00975CA5"/>
    <w:rsid w:val="00976C81"/>
    <w:rsid w:val="00981A40"/>
    <w:rsid w:val="0098308B"/>
    <w:rsid w:val="00986590"/>
    <w:rsid w:val="00992C76"/>
    <w:rsid w:val="009969D6"/>
    <w:rsid w:val="009A5758"/>
    <w:rsid w:val="009B4D3B"/>
    <w:rsid w:val="009D0BE6"/>
    <w:rsid w:val="009D7407"/>
    <w:rsid w:val="009E0866"/>
    <w:rsid w:val="009E273C"/>
    <w:rsid w:val="009E766C"/>
    <w:rsid w:val="009F1350"/>
    <w:rsid w:val="009F6423"/>
    <w:rsid w:val="00A03AF2"/>
    <w:rsid w:val="00A24A62"/>
    <w:rsid w:val="00A31C9F"/>
    <w:rsid w:val="00A4144F"/>
    <w:rsid w:val="00A61B4D"/>
    <w:rsid w:val="00A64028"/>
    <w:rsid w:val="00A646D6"/>
    <w:rsid w:val="00A80F95"/>
    <w:rsid w:val="00A852DC"/>
    <w:rsid w:val="00A9042C"/>
    <w:rsid w:val="00A93736"/>
    <w:rsid w:val="00A94EF2"/>
    <w:rsid w:val="00A97BF1"/>
    <w:rsid w:val="00AA298A"/>
    <w:rsid w:val="00AA4A49"/>
    <w:rsid w:val="00AC164A"/>
    <w:rsid w:val="00AC3D9E"/>
    <w:rsid w:val="00AC6643"/>
    <w:rsid w:val="00AD7120"/>
    <w:rsid w:val="00AE3CEE"/>
    <w:rsid w:val="00AE448A"/>
    <w:rsid w:val="00AF2050"/>
    <w:rsid w:val="00AF6455"/>
    <w:rsid w:val="00B03CA8"/>
    <w:rsid w:val="00B33C0A"/>
    <w:rsid w:val="00B55E19"/>
    <w:rsid w:val="00B900C3"/>
    <w:rsid w:val="00B94758"/>
    <w:rsid w:val="00BA4B6D"/>
    <w:rsid w:val="00BA655F"/>
    <w:rsid w:val="00BB26C5"/>
    <w:rsid w:val="00BC2063"/>
    <w:rsid w:val="00BF2D56"/>
    <w:rsid w:val="00BF2F0F"/>
    <w:rsid w:val="00BF4DE6"/>
    <w:rsid w:val="00C06B13"/>
    <w:rsid w:val="00C22300"/>
    <w:rsid w:val="00C229E6"/>
    <w:rsid w:val="00C27D25"/>
    <w:rsid w:val="00C3716B"/>
    <w:rsid w:val="00C42541"/>
    <w:rsid w:val="00C42CDE"/>
    <w:rsid w:val="00C5182A"/>
    <w:rsid w:val="00C51A11"/>
    <w:rsid w:val="00C63EE9"/>
    <w:rsid w:val="00C67985"/>
    <w:rsid w:val="00C87396"/>
    <w:rsid w:val="00CA16F3"/>
    <w:rsid w:val="00CA37B1"/>
    <w:rsid w:val="00CB1959"/>
    <w:rsid w:val="00CC741B"/>
    <w:rsid w:val="00CD0E4B"/>
    <w:rsid w:val="00CD0FB3"/>
    <w:rsid w:val="00CE247D"/>
    <w:rsid w:val="00CE4C4B"/>
    <w:rsid w:val="00CE4C89"/>
    <w:rsid w:val="00CF07BA"/>
    <w:rsid w:val="00CF4876"/>
    <w:rsid w:val="00CF4DEC"/>
    <w:rsid w:val="00CF744B"/>
    <w:rsid w:val="00D0296C"/>
    <w:rsid w:val="00D12FE5"/>
    <w:rsid w:val="00D138F5"/>
    <w:rsid w:val="00D14ECD"/>
    <w:rsid w:val="00D240B0"/>
    <w:rsid w:val="00D25551"/>
    <w:rsid w:val="00D32D6F"/>
    <w:rsid w:val="00D37B04"/>
    <w:rsid w:val="00D540C6"/>
    <w:rsid w:val="00D64BD1"/>
    <w:rsid w:val="00D72C2A"/>
    <w:rsid w:val="00D80DA1"/>
    <w:rsid w:val="00D92254"/>
    <w:rsid w:val="00D92C3E"/>
    <w:rsid w:val="00D96D3A"/>
    <w:rsid w:val="00DA1A37"/>
    <w:rsid w:val="00DA30F5"/>
    <w:rsid w:val="00DC348A"/>
    <w:rsid w:val="00DC778F"/>
    <w:rsid w:val="00DD5B94"/>
    <w:rsid w:val="00DD682B"/>
    <w:rsid w:val="00DE084C"/>
    <w:rsid w:val="00DF6BAC"/>
    <w:rsid w:val="00DF7B24"/>
    <w:rsid w:val="00E01000"/>
    <w:rsid w:val="00E14F51"/>
    <w:rsid w:val="00E357B7"/>
    <w:rsid w:val="00E3742D"/>
    <w:rsid w:val="00E504CC"/>
    <w:rsid w:val="00E53800"/>
    <w:rsid w:val="00E57E76"/>
    <w:rsid w:val="00E60403"/>
    <w:rsid w:val="00E6081F"/>
    <w:rsid w:val="00E8296D"/>
    <w:rsid w:val="00E8457B"/>
    <w:rsid w:val="00EA04B2"/>
    <w:rsid w:val="00EA20F3"/>
    <w:rsid w:val="00EC1468"/>
    <w:rsid w:val="00EC66A7"/>
    <w:rsid w:val="00EC70D9"/>
    <w:rsid w:val="00ED2831"/>
    <w:rsid w:val="00ED32D9"/>
    <w:rsid w:val="00ED43D1"/>
    <w:rsid w:val="00EE4EE1"/>
    <w:rsid w:val="00EE6E2B"/>
    <w:rsid w:val="00EF4574"/>
    <w:rsid w:val="00F12223"/>
    <w:rsid w:val="00F234C9"/>
    <w:rsid w:val="00F248FC"/>
    <w:rsid w:val="00F25A93"/>
    <w:rsid w:val="00F2684E"/>
    <w:rsid w:val="00F45EEE"/>
    <w:rsid w:val="00F5404C"/>
    <w:rsid w:val="00F61EFA"/>
    <w:rsid w:val="00F729EF"/>
    <w:rsid w:val="00F77CAE"/>
    <w:rsid w:val="00F82271"/>
    <w:rsid w:val="00F83428"/>
    <w:rsid w:val="00F96BB9"/>
    <w:rsid w:val="00FA7215"/>
    <w:rsid w:val="00FB6A4A"/>
    <w:rsid w:val="00FC2CDF"/>
    <w:rsid w:val="00FC322F"/>
    <w:rsid w:val="00FC445F"/>
    <w:rsid w:val="00FD4D41"/>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2E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900C3"/>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34"/>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33"/>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16"/>
      </w:numPr>
      <w:contextualSpacing/>
    </w:pPr>
  </w:style>
  <w:style w:type="paragraph" w:styleId="ListParagraph">
    <w:name w:val="List Paragraph"/>
    <w:basedOn w:val="Normal"/>
    <w:uiPriority w:val="34"/>
    <w:qFormat/>
    <w:locked/>
    <w:rsid w:val="004C10EA"/>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AU"/>
    </w:rPr>
  </w:style>
  <w:style w:type="table" w:customStyle="1" w:styleId="Tablewithnoheader">
    <w:name w:val="Table with no header"/>
    <w:basedOn w:val="TableNormal"/>
    <w:rsid w:val="004C10EA"/>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styleId="Revision">
    <w:name w:val="Revision"/>
    <w:hidden/>
    <w:uiPriority w:val="99"/>
    <w:semiHidden/>
    <w:rsid w:val="001F5156"/>
    <w:pPr>
      <w:spacing w:after="0" w:line="240" w:lineRule="auto"/>
    </w:pPr>
    <w:rPr>
      <w:color w:val="495965" w:themeColor="text2"/>
      <w:lang w:val="en-GB"/>
    </w:rPr>
  </w:style>
  <w:style w:type="paragraph" w:styleId="NormalWeb">
    <w:name w:val="Normal (Web)"/>
    <w:basedOn w:val="Normal"/>
    <w:uiPriority w:val="99"/>
    <w:unhideWhenUsed/>
    <w:rsid w:val="00367E62"/>
    <w:pPr>
      <w:suppressAutoHyphens w:val="0"/>
      <w:spacing w:before="240" w:after="240"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22409">
      <w:bodyDiv w:val="1"/>
      <w:marLeft w:val="0"/>
      <w:marRight w:val="0"/>
      <w:marTop w:val="0"/>
      <w:marBottom w:val="0"/>
      <w:divBdr>
        <w:top w:val="none" w:sz="0" w:space="0" w:color="auto"/>
        <w:left w:val="none" w:sz="0" w:space="0" w:color="auto"/>
        <w:bottom w:val="none" w:sz="0" w:space="0" w:color="auto"/>
        <w:right w:val="none" w:sz="0" w:space="0" w:color="auto"/>
      </w:divBdr>
      <w:divsChild>
        <w:div w:id="697395142">
          <w:marLeft w:val="0"/>
          <w:marRight w:val="0"/>
          <w:marTop w:val="0"/>
          <w:marBottom w:val="0"/>
          <w:divBdr>
            <w:top w:val="none" w:sz="0" w:space="0" w:color="auto"/>
            <w:left w:val="none" w:sz="0" w:space="0" w:color="auto"/>
            <w:bottom w:val="none" w:sz="0" w:space="0" w:color="auto"/>
            <w:right w:val="none" w:sz="0" w:space="0" w:color="auto"/>
          </w:divBdr>
          <w:divsChild>
            <w:div w:id="1710765441">
              <w:marLeft w:val="0"/>
              <w:marRight w:val="0"/>
              <w:marTop w:val="0"/>
              <w:marBottom w:val="0"/>
              <w:divBdr>
                <w:top w:val="none" w:sz="0" w:space="0" w:color="auto"/>
                <w:left w:val="none" w:sz="0" w:space="0" w:color="auto"/>
                <w:bottom w:val="none" w:sz="0" w:space="0" w:color="auto"/>
                <w:right w:val="none" w:sz="0" w:space="0" w:color="auto"/>
              </w:divBdr>
              <w:divsChild>
                <w:div w:id="1962034634">
                  <w:marLeft w:val="0"/>
                  <w:marRight w:val="0"/>
                  <w:marTop w:val="375"/>
                  <w:marBottom w:val="375"/>
                  <w:divBdr>
                    <w:top w:val="none" w:sz="0" w:space="0" w:color="auto"/>
                    <w:left w:val="none" w:sz="0" w:space="0" w:color="auto"/>
                    <w:bottom w:val="none" w:sz="0" w:space="0" w:color="auto"/>
                    <w:right w:val="none" w:sz="0" w:space="0" w:color="auto"/>
                  </w:divBdr>
                  <w:divsChild>
                    <w:div w:id="1220283833">
                      <w:marLeft w:val="0"/>
                      <w:marRight w:val="0"/>
                      <w:marTop w:val="0"/>
                      <w:marBottom w:val="0"/>
                      <w:divBdr>
                        <w:top w:val="none" w:sz="0" w:space="0" w:color="auto"/>
                        <w:left w:val="none" w:sz="0" w:space="0" w:color="auto"/>
                        <w:bottom w:val="none" w:sz="0" w:space="0" w:color="auto"/>
                        <w:right w:val="none" w:sz="0" w:space="0" w:color="auto"/>
                      </w:divBdr>
                      <w:divsChild>
                        <w:div w:id="1519126117">
                          <w:marLeft w:val="0"/>
                          <w:marRight w:val="0"/>
                          <w:marTop w:val="0"/>
                          <w:marBottom w:val="0"/>
                          <w:divBdr>
                            <w:top w:val="none" w:sz="0" w:space="0" w:color="auto"/>
                            <w:left w:val="none" w:sz="0" w:space="0" w:color="auto"/>
                            <w:bottom w:val="none" w:sz="0" w:space="0" w:color="auto"/>
                            <w:right w:val="none" w:sz="0" w:space="0" w:color="auto"/>
                          </w:divBdr>
                          <w:divsChild>
                            <w:div w:id="569118133">
                              <w:marLeft w:val="0"/>
                              <w:marRight w:val="0"/>
                              <w:marTop w:val="0"/>
                              <w:marBottom w:val="0"/>
                              <w:divBdr>
                                <w:top w:val="none" w:sz="0" w:space="0" w:color="auto"/>
                                <w:left w:val="none" w:sz="0" w:space="0" w:color="auto"/>
                                <w:bottom w:val="none" w:sz="0" w:space="0" w:color="auto"/>
                                <w:right w:val="none" w:sz="0" w:space="0" w:color="auto"/>
                              </w:divBdr>
                              <w:divsChild>
                                <w:div w:id="1661887399">
                                  <w:marLeft w:val="0"/>
                                  <w:marRight w:val="0"/>
                                  <w:marTop w:val="0"/>
                                  <w:marBottom w:val="0"/>
                                  <w:divBdr>
                                    <w:top w:val="none" w:sz="0" w:space="0" w:color="auto"/>
                                    <w:left w:val="none" w:sz="0" w:space="0" w:color="auto"/>
                                    <w:bottom w:val="none" w:sz="0" w:space="0" w:color="auto"/>
                                    <w:right w:val="none" w:sz="0" w:space="0" w:color="auto"/>
                                  </w:divBdr>
                                  <w:divsChild>
                                    <w:div w:id="1262031455">
                                      <w:marLeft w:val="0"/>
                                      <w:marRight w:val="0"/>
                                      <w:marTop w:val="0"/>
                                      <w:marBottom w:val="0"/>
                                      <w:divBdr>
                                        <w:top w:val="none" w:sz="0" w:space="0" w:color="auto"/>
                                        <w:left w:val="none" w:sz="0" w:space="0" w:color="auto"/>
                                        <w:bottom w:val="none" w:sz="0" w:space="0" w:color="auto"/>
                                        <w:right w:val="none" w:sz="0" w:space="0" w:color="auto"/>
                                      </w:divBdr>
                                      <w:divsChild>
                                        <w:div w:id="724644949">
                                          <w:marLeft w:val="0"/>
                                          <w:marRight w:val="0"/>
                                          <w:marTop w:val="0"/>
                                          <w:marBottom w:val="0"/>
                                          <w:divBdr>
                                            <w:top w:val="none" w:sz="0" w:space="0" w:color="auto"/>
                                            <w:left w:val="none" w:sz="0" w:space="0" w:color="auto"/>
                                            <w:bottom w:val="none" w:sz="0" w:space="0" w:color="auto"/>
                                            <w:right w:val="none" w:sz="0" w:space="0" w:color="auto"/>
                                          </w:divBdr>
                                          <w:divsChild>
                                            <w:div w:id="15142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254223">
      <w:bodyDiv w:val="1"/>
      <w:marLeft w:val="0"/>
      <w:marRight w:val="0"/>
      <w:marTop w:val="0"/>
      <w:marBottom w:val="0"/>
      <w:divBdr>
        <w:top w:val="none" w:sz="0" w:space="0" w:color="auto"/>
        <w:left w:val="none" w:sz="0" w:space="0" w:color="auto"/>
        <w:bottom w:val="none" w:sz="0" w:space="0" w:color="auto"/>
        <w:right w:val="none" w:sz="0" w:space="0" w:color="auto"/>
      </w:divBdr>
      <w:divsChild>
        <w:div w:id="274287177">
          <w:marLeft w:val="0"/>
          <w:marRight w:val="0"/>
          <w:marTop w:val="0"/>
          <w:marBottom w:val="0"/>
          <w:divBdr>
            <w:top w:val="none" w:sz="0" w:space="0" w:color="auto"/>
            <w:left w:val="none" w:sz="0" w:space="0" w:color="auto"/>
            <w:bottom w:val="none" w:sz="0" w:space="0" w:color="auto"/>
            <w:right w:val="none" w:sz="0" w:space="0" w:color="auto"/>
          </w:divBdr>
          <w:divsChild>
            <w:div w:id="971594705">
              <w:marLeft w:val="0"/>
              <w:marRight w:val="0"/>
              <w:marTop w:val="0"/>
              <w:marBottom w:val="0"/>
              <w:divBdr>
                <w:top w:val="none" w:sz="0" w:space="0" w:color="auto"/>
                <w:left w:val="none" w:sz="0" w:space="0" w:color="auto"/>
                <w:bottom w:val="none" w:sz="0" w:space="0" w:color="auto"/>
                <w:right w:val="none" w:sz="0" w:space="0" w:color="auto"/>
              </w:divBdr>
              <w:divsChild>
                <w:div w:id="1222248183">
                  <w:marLeft w:val="0"/>
                  <w:marRight w:val="0"/>
                  <w:marTop w:val="375"/>
                  <w:marBottom w:val="375"/>
                  <w:divBdr>
                    <w:top w:val="none" w:sz="0" w:space="0" w:color="auto"/>
                    <w:left w:val="none" w:sz="0" w:space="0" w:color="auto"/>
                    <w:bottom w:val="none" w:sz="0" w:space="0" w:color="auto"/>
                    <w:right w:val="none" w:sz="0" w:space="0" w:color="auto"/>
                  </w:divBdr>
                  <w:divsChild>
                    <w:div w:id="416833197">
                      <w:marLeft w:val="0"/>
                      <w:marRight w:val="0"/>
                      <w:marTop w:val="0"/>
                      <w:marBottom w:val="0"/>
                      <w:divBdr>
                        <w:top w:val="none" w:sz="0" w:space="0" w:color="auto"/>
                        <w:left w:val="none" w:sz="0" w:space="0" w:color="auto"/>
                        <w:bottom w:val="none" w:sz="0" w:space="0" w:color="auto"/>
                        <w:right w:val="none" w:sz="0" w:space="0" w:color="auto"/>
                      </w:divBdr>
                      <w:divsChild>
                        <w:div w:id="1582831651">
                          <w:marLeft w:val="0"/>
                          <w:marRight w:val="0"/>
                          <w:marTop w:val="0"/>
                          <w:marBottom w:val="0"/>
                          <w:divBdr>
                            <w:top w:val="none" w:sz="0" w:space="0" w:color="auto"/>
                            <w:left w:val="none" w:sz="0" w:space="0" w:color="auto"/>
                            <w:bottom w:val="none" w:sz="0" w:space="0" w:color="auto"/>
                            <w:right w:val="none" w:sz="0" w:space="0" w:color="auto"/>
                          </w:divBdr>
                          <w:divsChild>
                            <w:div w:id="1262185819">
                              <w:marLeft w:val="0"/>
                              <w:marRight w:val="0"/>
                              <w:marTop w:val="0"/>
                              <w:marBottom w:val="0"/>
                              <w:divBdr>
                                <w:top w:val="none" w:sz="0" w:space="0" w:color="auto"/>
                                <w:left w:val="none" w:sz="0" w:space="0" w:color="auto"/>
                                <w:bottom w:val="none" w:sz="0" w:space="0" w:color="auto"/>
                                <w:right w:val="none" w:sz="0" w:space="0" w:color="auto"/>
                              </w:divBdr>
                              <w:divsChild>
                                <w:div w:id="15928139">
                                  <w:marLeft w:val="0"/>
                                  <w:marRight w:val="0"/>
                                  <w:marTop w:val="0"/>
                                  <w:marBottom w:val="0"/>
                                  <w:divBdr>
                                    <w:top w:val="none" w:sz="0" w:space="0" w:color="auto"/>
                                    <w:left w:val="none" w:sz="0" w:space="0" w:color="auto"/>
                                    <w:bottom w:val="none" w:sz="0" w:space="0" w:color="auto"/>
                                    <w:right w:val="none" w:sz="0" w:space="0" w:color="auto"/>
                                  </w:divBdr>
                                  <w:divsChild>
                                    <w:div w:id="1276399778">
                                      <w:marLeft w:val="0"/>
                                      <w:marRight w:val="0"/>
                                      <w:marTop w:val="0"/>
                                      <w:marBottom w:val="0"/>
                                      <w:divBdr>
                                        <w:top w:val="none" w:sz="0" w:space="0" w:color="auto"/>
                                        <w:left w:val="none" w:sz="0" w:space="0" w:color="auto"/>
                                        <w:bottom w:val="none" w:sz="0" w:space="0" w:color="auto"/>
                                        <w:right w:val="none" w:sz="0" w:space="0" w:color="auto"/>
                                      </w:divBdr>
                                      <w:divsChild>
                                        <w:div w:id="1390808577">
                                          <w:marLeft w:val="0"/>
                                          <w:marRight w:val="0"/>
                                          <w:marTop w:val="0"/>
                                          <w:marBottom w:val="0"/>
                                          <w:divBdr>
                                            <w:top w:val="none" w:sz="0" w:space="0" w:color="auto"/>
                                            <w:left w:val="none" w:sz="0" w:space="0" w:color="auto"/>
                                            <w:bottom w:val="none" w:sz="0" w:space="0" w:color="auto"/>
                                            <w:right w:val="none" w:sz="0" w:space="0" w:color="auto"/>
                                          </w:divBdr>
                                          <w:divsChild>
                                            <w:div w:id="13097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0B4AD7-5948-48C9-8548-8238C1B572B5}"/>
</file>

<file path=customXml/itemProps2.xml><?xml version="1.0" encoding="utf-8"?>
<ds:datastoreItem xmlns:ds="http://schemas.openxmlformats.org/officeDocument/2006/customXml" ds:itemID="{26C9CCC4-6EEE-407C-9756-62483FF6888E}"/>
</file>

<file path=customXml/itemProps3.xml><?xml version="1.0" encoding="utf-8"?>
<ds:datastoreItem xmlns:ds="http://schemas.openxmlformats.org/officeDocument/2006/customXml" ds:itemID="{0552DA89-17CE-463E-BA7A-CDB2B0831770}"/>
</file>

<file path=customXml/itemProps4.xml><?xml version="1.0" encoding="utf-8"?>
<ds:datastoreItem xmlns:ds="http://schemas.openxmlformats.org/officeDocument/2006/customXml" ds:itemID="{DB1341DE-801A-4FB4-9004-FE25EF2D68DC}"/>
</file>

<file path=docProps/app.xml><?xml version="1.0" encoding="utf-8"?>
<Properties xmlns="http://schemas.openxmlformats.org/officeDocument/2006/extended-properties" xmlns:vt="http://schemas.openxmlformats.org/officeDocument/2006/docPropsVTypes">
  <Template>Normal.dotm</Template>
  <TotalTime>0</TotalTime>
  <Pages>5</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2018-05-30T05:37:00Z</dcterms:created>
  <dcterms:modified xsi:type="dcterms:W3CDTF">2018-05-30T05:37:00Z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7ab06326-32ce-40c7-92cd-6b72f433d562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1127800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