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7.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02024" w14:textId="77777777" w:rsidR="000F371C" w:rsidRDefault="000F371C" w:rsidP="000F371C">
      <w:pPr>
        <w:pStyle w:val="Heading1"/>
        <w:jc w:val="center"/>
      </w:pPr>
      <w:bookmarkStart w:id="0" w:name="_Toc514851137"/>
      <w:bookmarkStart w:id="1" w:name="_Toc413078488"/>
      <w:bookmarkStart w:id="2" w:name="_GoBack"/>
      <w:bookmarkEnd w:id="2"/>
    </w:p>
    <w:p w14:paraId="0767A8D7" w14:textId="77777777" w:rsidR="000F371C" w:rsidRDefault="000F371C" w:rsidP="000F371C">
      <w:pPr>
        <w:pStyle w:val="Heading1"/>
        <w:jc w:val="center"/>
      </w:pPr>
    </w:p>
    <w:p w14:paraId="53CA37EC" w14:textId="77777777" w:rsidR="000F371C" w:rsidRDefault="000F371C" w:rsidP="000F371C">
      <w:pPr>
        <w:pStyle w:val="Heading1"/>
        <w:jc w:val="center"/>
      </w:pPr>
    </w:p>
    <w:p w14:paraId="427E7413" w14:textId="77777777" w:rsidR="000F371C" w:rsidRDefault="000F371C" w:rsidP="000F371C">
      <w:pPr>
        <w:pStyle w:val="Heading1"/>
        <w:jc w:val="center"/>
      </w:pPr>
    </w:p>
    <w:p w14:paraId="5E7E67FE" w14:textId="77777777" w:rsidR="000F371C" w:rsidRDefault="000F371C" w:rsidP="000F371C">
      <w:pPr>
        <w:pStyle w:val="Heading1"/>
        <w:jc w:val="center"/>
      </w:pPr>
    </w:p>
    <w:p w14:paraId="1D8ABBD1" w14:textId="35A3F2F4" w:rsidR="007D01B9" w:rsidRPr="000F371C" w:rsidRDefault="00432460" w:rsidP="000F371C">
      <w:pPr>
        <w:jc w:val="center"/>
        <w:rPr>
          <w:sz w:val="56"/>
          <w:szCs w:val="56"/>
        </w:rPr>
      </w:pPr>
      <w:r>
        <w:rPr>
          <w:sz w:val="56"/>
          <w:szCs w:val="56"/>
        </w:rPr>
        <w:t>Invest</w:t>
      </w:r>
      <w:r w:rsidR="00A43F2C">
        <w:rPr>
          <w:sz w:val="56"/>
          <w:szCs w:val="56"/>
        </w:rPr>
        <w:t>ment</w:t>
      </w:r>
      <w:r w:rsidR="007D01B9" w:rsidRPr="000F371C">
        <w:rPr>
          <w:sz w:val="56"/>
          <w:szCs w:val="56"/>
        </w:rPr>
        <w:t xml:space="preserve"> Design</w:t>
      </w:r>
      <w:bookmarkEnd w:id="0"/>
    </w:p>
    <w:p w14:paraId="3C54A5FE" w14:textId="16498903" w:rsidR="002E3C5E" w:rsidRPr="000F371C" w:rsidRDefault="00B61425" w:rsidP="000F371C">
      <w:pPr>
        <w:jc w:val="center"/>
        <w:rPr>
          <w:i/>
          <w:sz w:val="36"/>
          <w:szCs w:val="36"/>
        </w:rPr>
      </w:pPr>
      <w:r>
        <w:rPr>
          <w:i/>
          <w:sz w:val="36"/>
          <w:szCs w:val="36"/>
        </w:rPr>
        <w:t>Australia</w:t>
      </w:r>
      <w:r w:rsidR="002A520B">
        <w:rPr>
          <w:i/>
          <w:sz w:val="36"/>
          <w:szCs w:val="36"/>
        </w:rPr>
        <w:t>-</w:t>
      </w:r>
      <w:r>
        <w:rPr>
          <w:i/>
          <w:sz w:val="36"/>
          <w:szCs w:val="36"/>
        </w:rPr>
        <w:t xml:space="preserve">Indonesia Partnership </w:t>
      </w:r>
      <w:r w:rsidR="002A520B">
        <w:rPr>
          <w:i/>
          <w:sz w:val="36"/>
          <w:szCs w:val="36"/>
        </w:rPr>
        <w:t xml:space="preserve">in </w:t>
      </w:r>
      <w:r>
        <w:rPr>
          <w:i/>
          <w:sz w:val="36"/>
          <w:szCs w:val="36"/>
        </w:rPr>
        <w:t xml:space="preserve">Disaster Risk Management </w:t>
      </w:r>
    </w:p>
    <w:p w14:paraId="1AF32DDD" w14:textId="77777777" w:rsidR="000F371C" w:rsidRDefault="000F371C" w:rsidP="000F371C">
      <w:pPr>
        <w:jc w:val="center"/>
        <w:rPr>
          <w:i/>
        </w:rPr>
      </w:pPr>
    </w:p>
    <w:p w14:paraId="0D49BD83" w14:textId="77777777" w:rsidR="000F371C" w:rsidRDefault="000F371C" w:rsidP="000F371C">
      <w:pPr>
        <w:jc w:val="center"/>
        <w:rPr>
          <w:i/>
        </w:rPr>
      </w:pPr>
    </w:p>
    <w:p w14:paraId="677F0C3D" w14:textId="47E4E1DF" w:rsidR="000F371C" w:rsidRDefault="002F5AC3" w:rsidP="000F371C">
      <w:pPr>
        <w:jc w:val="center"/>
        <w:rPr>
          <w:i/>
        </w:rPr>
      </w:pPr>
      <w:r>
        <w:rPr>
          <w:i/>
        </w:rPr>
        <w:t xml:space="preserve">DRAFT </w:t>
      </w:r>
      <w:r w:rsidR="001770F9">
        <w:rPr>
          <w:i/>
        </w:rPr>
        <w:t>November</w:t>
      </w:r>
      <w:r w:rsidR="00835DB3">
        <w:rPr>
          <w:i/>
        </w:rPr>
        <w:t xml:space="preserve"> </w:t>
      </w:r>
      <w:r w:rsidR="000F371C">
        <w:rPr>
          <w:i/>
        </w:rPr>
        <w:t>2018</w:t>
      </w:r>
    </w:p>
    <w:p w14:paraId="15EFB74A" w14:textId="77777777" w:rsidR="002E3C5E" w:rsidRDefault="002E3C5E">
      <w:pPr>
        <w:suppressAutoHyphens w:val="0"/>
        <w:spacing w:before="0" w:after="0" w:line="240" w:lineRule="auto"/>
        <w:rPr>
          <w:i/>
        </w:rPr>
      </w:pPr>
      <w:r>
        <w:rPr>
          <w:i/>
        </w:rPr>
        <w:br w:type="page"/>
      </w:r>
    </w:p>
    <w:p w14:paraId="4AD66A3F" w14:textId="77777777" w:rsidR="00F872EF" w:rsidRDefault="007D01B9">
      <w:pPr>
        <w:pStyle w:val="TOC2"/>
        <w:tabs>
          <w:tab w:val="right" w:leader="dot" w:pos="9016"/>
        </w:tabs>
        <w:rPr>
          <w:noProof/>
        </w:rPr>
      </w:pPr>
      <w:bookmarkStart w:id="3" w:name="_Toc514850518"/>
      <w:bookmarkStart w:id="4" w:name="_Toc514851138"/>
      <w:bookmarkStart w:id="5" w:name="_Toc514851587"/>
      <w:bookmarkStart w:id="6" w:name="_Toc514852252"/>
      <w:bookmarkStart w:id="7" w:name="_Toc514853169"/>
      <w:bookmarkStart w:id="8" w:name="_Toc514853522"/>
      <w:bookmarkStart w:id="9" w:name="_Toc515138480"/>
      <w:bookmarkStart w:id="10" w:name="_Toc515138614"/>
      <w:r w:rsidRPr="005A20EA">
        <w:lastRenderedPageBreak/>
        <w:t>Table of Contents</w:t>
      </w:r>
      <w:bookmarkStart w:id="11" w:name="_Toc514853170"/>
      <w:bookmarkEnd w:id="3"/>
      <w:bookmarkEnd w:id="4"/>
      <w:bookmarkEnd w:id="5"/>
      <w:bookmarkEnd w:id="6"/>
      <w:bookmarkEnd w:id="7"/>
      <w:bookmarkEnd w:id="8"/>
      <w:bookmarkEnd w:id="9"/>
      <w:bookmarkEnd w:id="10"/>
      <w:r w:rsidR="008D2909" w:rsidRPr="003144BF">
        <w:rPr>
          <w:rStyle w:val="Hyperlink"/>
          <w:b w:val="0"/>
          <w:bCs w:val="0"/>
          <w:noProof/>
        </w:rPr>
        <w:fldChar w:fldCharType="begin"/>
      </w:r>
      <w:r w:rsidR="008D2909" w:rsidRPr="003144BF">
        <w:rPr>
          <w:rStyle w:val="Hyperlink"/>
          <w:b w:val="0"/>
          <w:bCs w:val="0"/>
          <w:noProof/>
        </w:rPr>
        <w:instrText xml:space="preserve"> TOC \o "1-3" \h \z \u </w:instrText>
      </w:r>
      <w:r w:rsidR="008D2909" w:rsidRPr="003144BF">
        <w:rPr>
          <w:rStyle w:val="Hyperlink"/>
          <w:b w:val="0"/>
          <w:bCs w:val="0"/>
          <w:noProof/>
        </w:rPr>
        <w:fldChar w:fldCharType="separate"/>
      </w:r>
    </w:p>
    <w:p w14:paraId="1EB6E2AF" w14:textId="206C948E" w:rsidR="00F872EF" w:rsidRDefault="00C439A5">
      <w:pPr>
        <w:pStyle w:val="TOC2"/>
        <w:tabs>
          <w:tab w:val="right" w:leader="dot" w:pos="9016"/>
        </w:tabs>
        <w:rPr>
          <w:rFonts w:eastAsiaTheme="minorEastAsia" w:cstheme="minorBidi"/>
          <w:b w:val="0"/>
          <w:bCs w:val="0"/>
          <w:noProof/>
          <w:color w:val="auto"/>
          <w:sz w:val="22"/>
          <w:szCs w:val="22"/>
          <w:lang w:val="en-AU" w:eastAsia="en-AU"/>
        </w:rPr>
      </w:pPr>
      <w:hyperlink w:anchor="_Toc525550758" w:history="1">
        <w:r w:rsidR="00F872EF" w:rsidRPr="00D30E29">
          <w:rPr>
            <w:rStyle w:val="Hyperlink"/>
            <w:noProof/>
          </w:rPr>
          <w:t>Acronyms</w:t>
        </w:r>
        <w:r w:rsidR="00F872EF">
          <w:rPr>
            <w:noProof/>
            <w:webHidden/>
          </w:rPr>
          <w:tab/>
        </w:r>
        <w:r w:rsidR="00F872EF">
          <w:rPr>
            <w:noProof/>
            <w:webHidden/>
          </w:rPr>
          <w:fldChar w:fldCharType="begin"/>
        </w:r>
        <w:r w:rsidR="00F872EF">
          <w:rPr>
            <w:noProof/>
            <w:webHidden/>
          </w:rPr>
          <w:instrText xml:space="preserve"> PAGEREF _Toc525550758 \h </w:instrText>
        </w:r>
        <w:r w:rsidR="00F872EF">
          <w:rPr>
            <w:noProof/>
            <w:webHidden/>
          </w:rPr>
        </w:r>
        <w:r w:rsidR="00F872EF">
          <w:rPr>
            <w:noProof/>
            <w:webHidden/>
          </w:rPr>
          <w:fldChar w:fldCharType="separate"/>
        </w:r>
        <w:r w:rsidR="0024562F">
          <w:rPr>
            <w:noProof/>
            <w:webHidden/>
          </w:rPr>
          <w:t>3</w:t>
        </w:r>
        <w:r w:rsidR="00F872EF">
          <w:rPr>
            <w:noProof/>
            <w:webHidden/>
          </w:rPr>
          <w:fldChar w:fldCharType="end"/>
        </w:r>
      </w:hyperlink>
    </w:p>
    <w:p w14:paraId="69230759" w14:textId="7309B041" w:rsidR="00F872EF" w:rsidRDefault="00C439A5">
      <w:pPr>
        <w:pStyle w:val="TOC2"/>
        <w:tabs>
          <w:tab w:val="right" w:leader="dot" w:pos="9016"/>
        </w:tabs>
        <w:rPr>
          <w:rFonts w:eastAsiaTheme="minorEastAsia" w:cstheme="minorBidi"/>
          <w:b w:val="0"/>
          <w:bCs w:val="0"/>
          <w:noProof/>
          <w:color w:val="auto"/>
          <w:sz w:val="22"/>
          <w:szCs w:val="22"/>
          <w:lang w:val="en-AU" w:eastAsia="en-AU"/>
        </w:rPr>
      </w:pPr>
      <w:hyperlink w:anchor="_Toc525550759" w:history="1">
        <w:r w:rsidR="00F872EF" w:rsidRPr="00D30E29">
          <w:rPr>
            <w:rStyle w:val="Hyperlink"/>
            <w:noProof/>
          </w:rPr>
          <w:t>Glossary of Terms</w:t>
        </w:r>
        <w:r w:rsidR="00F872EF">
          <w:rPr>
            <w:noProof/>
            <w:webHidden/>
          </w:rPr>
          <w:tab/>
        </w:r>
        <w:r w:rsidR="00F872EF">
          <w:rPr>
            <w:noProof/>
            <w:webHidden/>
          </w:rPr>
          <w:fldChar w:fldCharType="begin"/>
        </w:r>
        <w:r w:rsidR="00F872EF">
          <w:rPr>
            <w:noProof/>
            <w:webHidden/>
          </w:rPr>
          <w:instrText xml:space="preserve"> PAGEREF _Toc525550759 \h </w:instrText>
        </w:r>
        <w:r w:rsidR="00F872EF">
          <w:rPr>
            <w:noProof/>
            <w:webHidden/>
          </w:rPr>
        </w:r>
        <w:r w:rsidR="00F872EF">
          <w:rPr>
            <w:noProof/>
            <w:webHidden/>
          </w:rPr>
          <w:fldChar w:fldCharType="separate"/>
        </w:r>
        <w:r w:rsidR="0024562F">
          <w:rPr>
            <w:noProof/>
            <w:webHidden/>
          </w:rPr>
          <w:t>5</w:t>
        </w:r>
        <w:r w:rsidR="00F872EF">
          <w:rPr>
            <w:noProof/>
            <w:webHidden/>
          </w:rPr>
          <w:fldChar w:fldCharType="end"/>
        </w:r>
      </w:hyperlink>
    </w:p>
    <w:p w14:paraId="7FDDCEE0" w14:textId="1C2D5AEB" w:rsidR="00F872EF" w:rsidRDefault="00C439A5">
      <w:pPr>
        <w:pStyle w:val="TOC2"/>
        <w:tabs>
          <w:tab w:val="right" w:leader="dot" w:pos="9016"/>
        </w:tabs>
        <w:rPr>
          <w:rFonts w:eastAsiaTheme="minorEastAsia" w:cstheme="minorBidi"/>
          <w:b w:val="0"/>
          <w:bCs w:val="0"/>
          <w:noProof/>
          <w:color w:val="auto"/>
          <w:sz w:val="22"/>
          <w:szCs w:val="22"/>
          <w:lang w:val="en-AU" w:eastAsia="en-AU"/>
        </w:rPr>
      </w:pPr>
      <w:hyperlink w:anchor="_Toc525550760" w:history="1">
        <w:r w:rsidR="00F872EF" w:rsidRPr="00D30E29">
          <w:rPr>
            <w:rStyle w:val="Hyperlink"/>
            <w:noProof/>
          </w:rPr>
          <w:t>B:  Executive Summary</w:t>
        </w:r>
        <w:r w:rsidR="00F872EF">
          <w:rPr>
            <w:noProof/>
            <w:webHidden/>
          </w:rPr>
          <w:tab/>
        </w:r>
        <w:r w:rsidR="00F872EF">
          <w:rPr>
            <w:noProof/>
            <w:webHidden/>
          </w:rPr>
          <w:fldChar w:fldCharType="begin"/>
        </w:r>
        <w:r w:rsidR="00F872EF">
          <w:rPr>
            <w:noProof/>
            <w:webHidden/>
          </w:rPr>
          <w:instrText xml:space="preserve"> PAGEREF _Toc525550760 \h </w:instrText>
        </w:r>
        <w:r w:rsidR="00F872EF">
          <w:rPr>
            <w:noProof/>
            <w:webHidden/>
          </w:rPr>
        </w:r>
        <w:r w:rsidR="00F872EF">
          <w:rPr>
            <w:noProof/>
            <w:webHidden/>
          </w:rPr>
          <w:fldChar w:fldCharType="separate"/>
        </w:r>
        <w:r w:rsidR="0024562F">
          <w:rPr>
            <w:noProof/>
            <w:webHidden/>
          </w:rPr>
          <w:t>6</w:t>
        </w:r>
        <w:r w:rsidR="00F872EF">
          <w:rPr>
            <w:noProof/>
            <w:webHidden/>
          </w:rPr>
          <w:fldChar w:fldCharType="end"/>
        </w:r>
      </w:hyperlink>
    </w:p>
    <w:p w14:paraId="7B5656A4" w14:textId="5CC5FB51" w:rsidR="00F872EF" w:rsidRDefault="00C439A5">
      <w:pPr>
        <w:pStyle w:val="TOC2"/>
        <w:tabs>
          <w:tab w:val="right" w:leader="dot" w:pos="9016"/>
        </w:tabs>
        <w:rPr>
          <w:rFonts w:eastAsiaTheme="minorEastAsia" w:cstheme="minorBidi"/>
          <w:b w:val="0"/>
          <w:bCs w:val="0"/>
          <w:noProof/>
          <w:color w:val="auto"/>
          <w:sz w:val="22"/>
          <w:szCs w:val="22"/>
          <w:lang w:val="en-AU" w:eastAsia="en-AU"/>
        </w:rPr>
      </w:pPr>
      <w:hyperlink w:anchor="_Toc525550761" w:history="1">
        <w:r w:rsidR="00F872EF" w:rsidRPr="00D30E29">
          <w:rPr>
            <w:rStyle w:val="Hyperlink"/>
            <w:noProof/>
          </w:rPr>
          <w:t>C:  Analysis and Strategic Context</w:t>
        </w:r>
        <w:r w:rsidR="00F872EF">
          <w:rPr>
            <w:noProof/>
            <w:webHidden/>
          </w:rPr>
          <w:tab/>
        </w:r>
        <w:r w:rsidR="00F872EF">
          <w:rPr>
            <w:noProof/>
            <w:webHidden/>
          </w:rPr>
          <w:fldChar w:fldCharType="begin"/>
        </w:r>
        <w:r w:rsidR="00F872EF">
          <w:rPr>
            <w:noProof/>
            <w:webHidden/>
          </w:rPr>
          <w:instrText xml:space="preserve"> PAGEREF _Toc525550761 \h </w:instrText>
        </w:r>
        <w:r w:rsidR="00F872EF">
          <w:rPr>
            <w:noProof/>
            <w:webHidden/>
          </w:rPr>
        </w:r>
        <w:r w:rsidR="00F872EF">
          <w:rPr>
            <w:noProof/>
            <w:webHidden/>
          </w:rPr>
          <w:fldChar w:fldCharType="separate"/>
        </w:r>
        <w:r w:rsidR="0024562F">
          <w:rPr>
            <w:noProof/>
            <w:webHidden/>
          </w:rPr>
          <w:t>8</w:t>
        </w:r>
        <w:r w:rsidR="00F872EF">
          <w:rPr>
            <w:noProof/>
            <w:webHidden/>
          </w:rPr>
          <w:fldChar w:fldCharType="end"/>
        </w:r>
      </w:hyperlink>
    </w:p>
    <w:p w14:paraId="3A46C7BE" w14:textId="7200C146" w:rsidR="00F872EF" w:rsidRDefault="00C439A5">
      <w:pPr>
        <w:pStyle w:val="TOC3"/>
        <w:rPr>
          <w:rFonts w:eastAsiaTheme="minorEastAsia" w:cstheme="minorBidi"/>
          <w:noProof/>
          <w:color w:val="auto"/>
          <w:sz w:val="22"/>
          <w:szCs w:val="22"/>
          <w:lang w:val="en-AU" w:eastAsia="en-AU"/>
        </w:rPr>
      </w:pPr>
      <w:hyperlink w:anchor="_Toc525550762" w:history="1">
        <w:r w:rsidR="00F872EF" w:rsidRPr="00D30E29">
          <w:rPr>
            <w:rStyle w:val="Hyperlink"/>
            <w:noProof/>
          </w:rPr>
          <w:t>Country/Regional and Sector Issues</w:t>
        </w:r>
        <w:r w:rsidR="00F872EF">
          <w:rPr>
            <w:noProof/>
            <w:webHidden/>
          </w:rPr>
          <w:tab/>
        </w:r>
        <w:r w:rsidR="00F872EF">
          <w:rPr>
            <w:noProof/>
            <w:webHidden/>
          </w:rPr>
          <w:fldChar w:fldCharType="begin"/>
        </w:r>
        <w:r w:rsidR="00F872EF">
          <w:rPr>
            <w:noProof/>
            <w:webHidden/>
          </w:rPr>
          <w:instrText xml:space="preserve"> PAGEREF _Toc525550762 \h </w:instrText>
        </w:r>
        <w:r w:rsidR="00F872EF">
          <w:rPr>
            <w:noProof/>
            <w:webHidden/>
          </w:rPr>
        </w:r>
        <w:r w:rsidR="00F872EF">
          <w:rPr>
            <w:noProof/>
            <w:webHidden/>
          </w:rPr>
          <w:fldChar w:fldCharType="separate"/>
        </w:r>
        <w:r w:rsidR="0024562F">
          <w:rPr>
            <w:noProof/>
            <w:webHidden/>
          </w:rPr>
          <w:t>8</w:t>
        </w:r>
        <w:r w:rsidR="00F872EF">
          <w:rPr>
            <w:noProof/>
            <w:webHidden/>
          </w:rPr>
          <w:fldChar w:fldCharType="end"/>
        </w:r>
      </w:hyperlink>
    </w:p>
    <w:p w14:paraId="486988BC" w14:textId="7E44B6B2" w:rsidR="00F872EF" w:rsidRDefault="00C439A5">
      <w:pPr>
        <w:pStyle w:val="TOC3"/>
        <w:rPr>
          <w:rFonts w:eastAsiaTheme="minorEastAsia" w:cstheme="minorBidi"/>
          <w:noProof/>
          <w:color w:val="auto"/>
          <w:sz w:val="22"/>
          <w:szCs w:val="22"/>
          <w:lang w:val="en-AU" w:eastAsia="en-AU"/>
        </w:rPr>
      </w:pPr>
      <w:hyperlink w:anchor="_Toc525550763" w:history="1">
        <w:r w:rsidR="00F872EF" w:rsidRPr="00D30E29">
          <w:rPr>
            <w:rStyle w:val="Hyperlink"/>
            <w:noProof/>
          </w:rPr>
          <w:t>Development Problem/Issue Analysis</w:t>
        </w:r>
        <w:r w:rsidR="00F872EF">
          <w:rPr>
            <w:noProof/>
            <w:webHidden/>
          </w:rPr>
          <w:tab/>
        </w:r>
        <w:r w:rsidR="00F872EF">
          <w:rPr>
            <w:noProof/>
            <w:webHidden/>
          </w:rPr>
          <w:fldChar w:fldCharType="begin"/>
        </w:r>
        <w:r w:rsidR="00F872EF">
          <w:rPr>
            <w:noProof/>
            <w:webHidden/>
          </w:rPr>
          <w:instrText xml:space="preserve"> PAGEREF _Toc525550763 \h </w:instrText>
        </w:r>
        <w:r w:rsidR="00F872EF">
          <w:rPr>
            <w:noProof/>
            <w:webHidden/>
          </w:rPr>
        </w:r>
        <w:r w:rsidR="00F872EF">
          <w:rPr>
            <w:noProof/>
            <w:webHidden/>
          </w:rPr>
          <w:fldChar w:fldCharType="separate"/>
        </w:r>
        <w:r w:rsidR="0024562F">
          <w:rPr>
            <w:noProof/>
            <w:webHidden/>
          </w:rPr>
          <w:t>11</w:t>
        </w:r>
        <w:r w:rsidR="00F872EF">
          <w:rPr>
            <w:noProof/>
            <w:webHidden/>
          </w:rPr>
          <w:fldChar w:fldCharType="end"/>
        </w:r>
      </w:hyperlink>
    </w:p>
    <w:p w14:paraId="13AF5D6E" w14:textId="066781D8" w:rsidR="00F872EF" w:rsidRDefault="00C439A5">
      <w:pPr>
        <w:pStyle w:val="TOC3"/>
        <w:rPr>
          <w:rFonts w:eastAsiaTheme="minorEastAsia" w:cstheme="minorBidi"/>
          <w:noProof/>
          <w:color w:val="auto"/>
          <w:sz w:val="22"/>
          <w:szCs w:val="22"/>
          <w:lang w:val="en-AU" w:eastAsia="en-AU"/>
        </w:rPr>
      </w:pPr>
      <w:hyperlink w:anchor="_Toc525550764" w:history="1">
        <w:r w:rsidR="00F872EF" w:rsidRPr="00D30E29">
          <w:rPr>
            <w:rStyle w:val="Hyperlink"/>
            <w:noProof/>
          </w:rPr>
          <w:t>Evidence-base/Lessons Learned</w:t>
        </w:r>
        <w:r w:rsidR="00F872EF">
          <w:rPr>
            <w:noProof/>
            <w:webHidden/>
          </w:rPr>
          <w:tab/>
        </w:r>
        <w:r w:rsidR="00F872EF">
          <w:rPr>
            <w:noProof/>
            <w:webHidden/>
          </w:rPr>
          <w:fldChar w:fldCharType="begin"/>
        </w:r>
        <w:r w:rsidR="00F872EF">
          <w:rPr>
            <w:noProof/>
            <w:webHidden/>
          </w:rPr>
          <w:instrText xml:space="preserve"> PAGEREF _Toc525550764 \h </w:instrText>
        </w:r>
        <w:r w:rsidR="00F872EF">
          <w:rPr>
            <w:noProof/>
            <w:webHidden/>
          </w:rPr>
        </w:r>
        <w:r w:rsidR="00F872EF">
          <w:rPr>
            <w:noProof/>
            <w:webHidden/>
          </w:rPr>
          <w:fldChar w:fldCharType="separate"/>
        </w:r>
        <w:r w:rsidR="0024562F">
          <w:rPr>
            <w:noProof/>
            <w:webHidden/>
          </w:rPr>
          <w:t>14</w:t>
        </w:r>
        <w:r w:rsidR="00F872EF">
          <w:rPr>
            <w:noProof/>
            <w:webHidden/>
          </w:rPr>
          <w:fldChar w:fldCharType="end"/>
        </w:r>
      </w:hyperlink>
    </w:p>
    <w:p w14:paraId="49A0033A" w14:textId="59054933" w:rsidR="00F872EF" w:rsidRDefault="00C439A5">
      <w:pPr>
        <w:pStyle w:val="TOC3"/>
        <w:rPr>
          <w:rFonts w:eastAsiaTheme="minorEastAsia" w:cstheme="minorBidi"/>
          <w:noProof/>
          <w:color w:val="auto"/>
          <w:sz w:val="22"/>
          <w:szCs w:val="22"/>
          <w:lang w:val="en-AU" w:eastAsia="en-AU"/>
        </w:rPr>
      </w:pPr>
      <w:hyperlink w:anchor="_Toc525550765" w:history="1">
        <w:r w:rsidR="00F872EF" w:rsidRPr="00D30E29">
          <w:rPr>
            <w:rStyle w:val="Hyperlink"/>
            <w:noProof/>
            <w:shd w:val="clear" w:color="auto" w:fill="FFFFFF"/>
          </w:rPr>
          <w:t>Current Other Development Partners’ DRM programs</w:t>
        </w:r>
        <w:r w:rsidR="00F872EF">
          <w:rPr>
            <w:noProof/>
            <w:webHidden/>
          </w:rPr>
          <w:tab/>
        </w:r>
        <w:r w:rsidR="00F872EF">
          <w:rPr>
            <w:noProof/>
            <w:webHidden/>
          </w:rPr>
          <w:fldChar w:fldCharType="begin"/>
        </w:r>
        <w:r w:rsidR="00F872EF">
          <w:rPr>
            <w:noProof/>
            <w:webHidden/>
          </w:rPr>
          <w:instrText xml:space="preserve"> PAGEREF _Toc525550765 \h </w:instrText>
        </w:r>
        <w:r w:rsidR="00F872EF">
          <w:rPr>
            <w:noProof/>
            <w:webHidden/>
          </w:rPr>
        </w:r>
        <w:r w:rsidR="00F872EF">
          <w:rPr>
            <w:noProof/>
            <w:webHidden/>
          </w:rPr>
          <w:fldChar w:fldCharType="separate"/>
        </w:r>
        <w:r w:rsidR="0024562F">
          <w:rPr>
            <w:noProof/>
            <w:webHidden/>
          </w:rPr>
          <w:t>19</w:t>
        </w:r>
        <w:r w:rsidR="00F872EF">
          <w:rPr>
            <w:noProof/>
            <w:webHidden/>
          </w:rPr>
          <w:fldChar w:fldCharType="end"/>
        </w:r>
      </w:hyperlink>
    </w:p>
    <w:p w14:paraId="1AA89FBD" w14:textId="42AD37E5" w:rsidR="00F872EF" w:rsidRDefault="00C439A5">
      <w:pPr>
        <w:pStyle w:val="TOC3"/>
        <w:rPr>
          <w:rFonts w:eastAsiaTheme="minorEastAsia" w:cstheme="minorBidi"/>
          <w:noProof/>
          <w:color w:val="auto"/>
          <w:sz w:val="22"/>
          <w:szCs w:val="22"/>
          <w:lang w:val="en-AU" w:eastAsia="en-AU"/>
        </w:rPr>
      </w:pPr>
      <w:hyperlink w:anchor="_Toc525550766" w:history="1">
        <w:r w:rsidR="00F872EF" w:rsidRPr="00D30E29">
          <w:rPr>
            <w:rStyle w:val="Hyperlink"/>
            <w:noProof/>
          </w:rPr>
          <w:t>Strategic Setting and Rationale for Australian/DFAT Engagement</w:t>
        </w:r>
        <w:r w:rsidR="00F872EF">
          <w:rPr>
            <w:noProof/>
            <w:webHidden/>
          </w:rPr>
          <w:tab/>
        </w:r>
        <w:r w:rsidR="00F872EF">
          <w:rPr>
            <w:noProof/>
            <w:webHidden/>
          </w:rPr>
          <w:fldChar w:fldCharType="begin"/>
        </w:r>
        <w:r w:rsidR="00F872EF">
          <w:rPr>
            <w:noProof/>
            <w:webHidden/>
          </w:rPr>
          <w:instrText xml:space="preserve"> PAGEREF _Toc525550766 \h </w:instrText>
        </w:r>
        <w:r w:rsidR="00F872EF">
          <w:rPr>
            <w:noProof/>
            <w:webHidden/>
          </w:rPr>
        </w:r>
        <w:r w:rsidR="00F872EF">
          <w:rPr>
            <w:noProof/>
            <w:webHidden/>
          </w:rPr>
          <w:fldChar w:fldCharType="separate"/>
        </w:r>
        <w:r w:rsidR="0024562F">
          <w:rPr>
            <w:noProof/>
            <w:webHidden/>
          </w:rPr>
          <w:t>20</w:t>
        </w:r>
        <w:r w:rsidR="00F872EF">
          <w:rPr>
            <w:noProof/>
            <w:webHidden/>
          </w:rPr>
          <w:fldChar w:fldCharType="end"/>
        </w:r>
      </w:hyperlink>
    </w:p>
    <w:p w14:paraId="5204DD11" w14:textId="3E310978" w:rsidR="00F872EF" w:rsidRDefault="00C439A5">
      <w:pPr>
        <w:pStyle w:val="TOC3"/>
        <w:rPr>
          <w:rFonts w:eastAsiaTheme="minorEastAsia" w:cstheme="minorBidi"/>
          <w:noProof/>
          <w:color w:val="auto"/>
          <w:sz w:val="22"/>
          <w:szCs w:val="22"/>
          <w:lang w:val="en-AU" w:eastAsia="en-AU"/>
        </w:rPr>
      </w:pPr>
      <w:hyperlink w:anchor="_Toc525550767" w:history="1">
        <w:r w:rsidR="00F872EF" w:rsidRPr="00D30E29">
          <w:rPr>
            <w:rStyle w:val="Hyperlink"/>
            <w:noProof/>
          </w:rPr>
          <w:t>Innovation and Private Sector Engagement</w:t>
        </w:r>
        <w:r w:rsidR="00F872EF">
          <w:rPr>
            <w:noProof/>
            <w:webHidden/>
          </w:rPr>
          <w:tab/>
        </w:r>
        <w:r w:rsidR="00F872EF">
          <w:rPr>
            <w:noProof/>
            <w:webHidden/>
          </w:rPr>
          <w:fldChar w:fldCharType="begin"/>
        </w:r>
        <w:r w:rsidR="00F872EF">
          <w:rPr>
            <w:noProof/>
            <w:webHidden/>
          </w:rPr>
          <w:instrText xml:space="preserve"> PAGEREF _Toc525550767 \h </w:instrText>
        </w:r>
        <w:r w:rsidR="00F872EF">
          <w:rPr>
            <w:noProof/>
            <w:webHidden/>
          </w:rPr>
        </w:r>
        <w:r w:rsidR="00F872EF">
          <w:rPr>
            <w:noProof/>
            <w:webHidden/>
          </w:rPr>
          <w:fldChar w:fldCharType="separate"/>
        </w:r>
        <w:r w:rsidR="0024562F">
          <w:rPr>
            <w:noProof/>
            <w:webHidden/>
          </w:rPr>
          <w:t>21</w:t>
        </w:r>
        <w:r w:rsidR="00F872EF">
          <w:rPr>
            <w:noProof/>
            <w:webHidden/>
          </w:rPr>
          <w:fldChar w:fldCharType="end"/>
        </w:r>
      </w:hyperlink>
    </w:p>
    <w:p w14:paraId="1FA1B2FD" w14:textId="4816C5DE" w:rsidR="00F872EF" w:rsidRDefault="00C439A5">
      <w:pPr>
        <w:pStyle w:val="TOC2"/>
        <w:tabs>
          <w:tab w:val="right" w:leader="dot" w:pos="9016"/>
        </w:tabs>
        <w:rPr>
          <w:rFonts w:eastAsiaTheme="minorEastAsia" w:cstheme="minorBidi"/>
          <w:b w:val="0"/>
          <w:bCs w:val="0"/>
          <w:noProof/>
          <w:color w:val="auto"/>
          <w:sz w:val="22"/>
          <w:szCs w:val="22"/>
          <w:lang w:val="en-AU" w:eastAsia="en-AU"/>
        </w:rPr>
      </w:pPr>
      <w:hyperlink w:anchor="_Toc525550768" w:history="1">
        <w:r w:rsidR="00F872EF" w:rsidRPr="00D30E29">
          <w:rPr>
            <w:rStyle w:val="Hyperlink"/>
            <w:noProof/>
          </w:rPr>
          <w:t>D:  Investment Description</w:t>
        </w:r>
        <w:r w:rsidR="00F872EF">
          <w:rPr>
            <w:noProof/>
            <w:webHidden/>
          </w:rPr>
          <w:tab/>
        </w:r>
        <w:r w:rsidR="00F872EF">
          <w:rPr>
            <w:noProof/>
            <w:webHidden/>
          </w:rPr>
          <w:fldChar w:fldCharType="begin"/>
        </w:r>
        <w:r w:rsidR="00F872EF">
          <w:rPr>
            <w:noProof/>
            <w:webHidden/>
          </w:rPr>
          <w:instrText xml:space="preserve"> PAGEREF _Toc525550768 \h </w:instrText>
        </w:r>
        <w:r w:rsidR="00F872EF">
          <w:rPr>
            <w:noProof/>
            <w:webHidden/>
          </w:rPr>
        </w:r>
        <w:r w:rsidR="00F872EF">
          <w:rPr>
            <w:noProof/>
            <w:webHidden/>
          </w:rPr>
          <w:fldChar w:fldCharType="separate"/>
        </w:r>
        <w:r w:rsidR="0024562F">
          <w:rPr>
            <w:noProof/>
            <w:webHidden/>
          </w:rPr>
          <w:t>22</w:t>
        </w:r>
        <w:r w:rsidR="00F872EF">
          <w:rPr>
            <w:noProof/>
            <w:webHidden/>
          </w:rPr>
          <w:fldChar w:fldCharType="end"/>
        </w:r>
      </w:hyperlink>
    </w:p>
    <w:p w14:paraId="195C5746" w14:textId="36F9A7D8" w:rsidR="00F872EF" w:rsidRDefault="00C439A5">
      <w:pPr>
        <w:pStyle w:val="TOC3"/>
        <w:rPr>
          <w:rFonts w:eastAsiaTheme="minorEastAsia" w:cstheme="minorBidi"/>
          <w:noProof/>
          <w:color w:val="auto"/>
          <w:sz w:val="22"/>
          <w:szCs w:val="22"/>
          <w:lang w:val="en-AU" w:eastAsia="en-AU"/>
        </w:rPr>
      </w:pPr>
      <w:hyperlink w:anchor="_Toc525550769" w:history="1">
        <w:r w:rsidR="00F872EF" w:rsidRPr="00D30E29">
          <w:rPr>
            <w:rStyle w:val="Hyperlink"/>
            <w:noProof/>
          </w:rPr>
          <w:t>Program goal and outcomes</w:t>
        </w:r>
        <w:r w:rsidR="00F872EF">
          <w:rPr>
            <w:noProof/>
            <w:webHidden/>
          </w:rPr>
          <w:tab/>
        </w:r>
        <w:r w:rsidR="00F872EF">
          <w:rPr>
            <w:noProof/>
            <w:webHidden/>
          </w:rPr>
          <w:fldChar w:fldCharType="begin"/>
        </w:r>
        <w:r w:rsidR="00F872EF">
          <w:rPr>
            <w:noProof/>
            <w:webHidden/>
          </w:rPr>
          <w:instrText xml:space="preserve"> PAGEREF _Toc525550769 \h </w:instrText>
        </w:r>
        <w:r w:rsidR="00F872EF">
          <w:rPr>
            <w:noProof/>
            <w:webHidden/>
          </w:rPr>
        </w:r>
        <w:r w:rsidR="00F872EF">
          <w:rPr>
            <w:noProof/>
            <w:webHidden/>
          </w:rPr>
          <w:fldChar w:fldCharType="separate"/>
        </w:r>
        <w:r w:rsidR="0024562F">
          <w:rPr>
            <w:noProof/>
            <w:webHidden/>
          </w:rPr>
          <w:t>22</w:t>
        </w:r>
        <w:r w:rsidR="00F872EF">
          <w:rPr>
            <w:noProof/>
            <w:webHidden/>
          </w:rPr>
          <w:fldChar w:fldCharType="end"/>
        </w:r>
      </w:hyperlink>
    </w:p>
    <w:p w14:paraId="068CD739" w14:textId="40E384E0" w:rsidR="00F872EF" w:rsidRDefault="00C439A5">
      <w:pPr>
        <w:pStyle w:val="TOC3"/>
        <w:rPr>
          <w:rFonts w:eastAsiaTheme="minorEastAsia" w:cstheme="minorBidi"/>
          <w:noProof/>
          <w:color w:val="auto"/>
          <w:sz w:val="22"/>
          <w:szCs w:val="22"/>
          <w:lang w:val="en-AU" w:eastAsia="en-AU"/>
        </w:rPr>
      </w:pPr>
      <w:hyperlink w:anchor="_Toc525550770" w:history="1">
        <w:r w:rsidR="00F872EF" w:rsidRPr="00D30E29">
          <w:rPr>
            <w:rStyle w:val="Hyperlink"/>
            <w:noProof/>
          </w:rPr>
          <w:t>Program logic and scope</w:t>
        </w:r>
        <w:r w:rsidR="00F872EF">
          <w:rPr>
            <w:noProof/>
            <w:webHidden/>
          </w:rPr>
          <w:tab/>
        </w:r>
        <w:r w:rsidR="00F872EF">
          <w:rPr>
            <w:noProof/>
            <w:webHidden/>
          </w:rPr>
          <w:fldChar w:fldCharType="begin"/>
        </w:r>
        <w:r w:rsidR="00F872EF">
          <w:rPr>
            <w:noProof/>
            <w:webHidden/>
          </w:rPr>
          <w:instrText xml:space="preserve"> PAGEREF _Toc525550770 \h </w:instrText>
        </w:r>
        <w:r w:rsidR="00F872EF">
          <w:rPr>
            <w:noProof/>
            <w:webHidden/>
          </w:rPr>
        </w:r>
        <w:r w:rsidR="00F872EF">
          <w:rPr>
            <w:noProof/>
            <w:webHidden/>
          </w:rPr>
          <w:fldChar w:fldCharType="separate"/>
        </w:r>
        <w:r w:rsidR="0024562F">
          <w:rPr>
            <w:noProof/>
            <w:webHidden/>
          </w:rPr>
          <w:t>25</w:t>
        </w:r>
        <w:r w:rsidR="00F872EF">
          <w:rPr>
            <w:noProof/>
            <w:webHidden/>
          </w:rPr>
          <w:fldChar w:fldCharType="end"/>
        </w:r>
      </w:hyperlink>
    </w:p>
    <w:p w14:paraId="6429616C" w14:textId="46B98957" w:rsidR="00F872EF" w:rsidRDefault="00C439A5">
      <w:pPr>
        <w:pStyle w:val="TOC3"/>
        <w:rPr>
          <w:rFonts w:eastAsiaTheme="minorEastAsia" w:cstheme="minorBidi"/>
          <w:noProof/>
          <w:color w:val="auto"/>
          <w:sz w:val="22"/>
          <w:szCs w:val="22"/>
          <w:lang w:val="en-AU" w:eastAsia="en-AU"/>
        </w:rPr>
      </w:pPr>
      <w:hyperlink w:anchor="_Toc525550771" w:history="1">
        <w:r w:rsidR="00F872EF" w:rsidRPr="00D30E29">
          <w:rPr>
            <w:rStyle w:val="Hyperlink"/>
            <w:noProof/>
          </w:rPr>
          <w:t>Delivery Approach</w:t>
        </w:r>
        <w:r w:rsidR="00F872EF">
          <w:rPr>
            <w:noProof/>
            <w:webHidden/>
          </w:rPr>
          <w:tab/>
        </w:r>
        <w:r w:rsidR="00F872EF">
          <w:rPr>
            <w:noProof/>
            <w:webHidden/>
          </w:rPr>
          <w:fldChar w:fldCharType="begin"/>
        </w:r>
        <w:r w:rsidR="00F872EF">
          <w:rPr>
            <w:noProof/>
            <w:webHidden/>
          </w:rPr>
          <w:instrText xml:space="preserve"> PAGEREF _Toc525550771 \h </w:instrText>
        </w:r>
        <w:r w:rsidR="00F872EF">
          <w:rPr>
            <w:noProof/>
            <w:webHidden/>
          </w:rPr>
        </w:r>
        <w:r w:rsidR="00F872EF">
          <w:rPr>
            <w:noProof/>
            <w:webHidden/>
          </w:rPr>
          <w:fldChar w:fldCharType="separate"/>
        </w:r>
        <w:r w:rsidR="0024562F">
          <w:rPr>
            <w:noProof/>
            <w:webHidden/>
          </w:rPr>
          <w:t>34</w:t>
        </w:r>
        <w:r w:rsidR="00F872EF">
          <w:rPr>
            <w:noProof/>
            <w:webHidden/>
          </w:rPr>
          <w:fldChar w:fldCharType="end"/>
        </w:r>
      </w:hyperlink>
    </w:p>
    <w:p w14:paraId="228B6386" w14:textId="05845E05" w:rsidR="00F872EF" w:rsidRDefault="00C439A5">
      <w:pPr>
        <w:pStyle w:val="TOC3"/>
        <w:rPr>
          <w:rFonts w:eastAsiaTheme="minorEastAsia" w:cstheme="minorBidi"/>
          <w:noProof/>
          <w:color w:val="auto"/>
          <w:sz w:val="22"/>
          <w:szCs w:val="22"/>
          <w:lang w:val="en-AU" w:eastAsia="en-AU"/>
        </w:rPr>
      </w:pPr>
      <w:hyperlink w:anchor="_Toc525550772" w:history="1">
        <w:r w:rsidR="00F872EF" w:rsidRPr="00D30E29">
          <w:rPr>
            <w:rStyle w:val="Hyperlink"/>
            <w:noProof/>
          </w:rPr>
          <w:t>Indicative Budget</w:t>
        </w:r>
        <w:r w:rsidR="00F872EF">
          <w:rPr>
            <w:noProof/>
            <w:webHidden/>
          </w:rPr>
          <w:tab/>
        </w:r>
        <w:r w:rsidR="00F872EF">
          <w:rPr>
            <w:noProof/>
            <w:webHidden/>
          </w:rPr>
          <w:fldChar w:fldCharType="begin"/>
        </w:r>
        <w:r w:rsidR="00F872EF">
          <w:rPr>
            <w:noProof/>
            <w:webHidden/>
          </w:rPr>
          <w:instrText xml:space="preserve"> PAGEREF _Toc525550772 \h </w:instrText>
        </w:r>
        <w:r w:rsidR="00F872EF">
          <w:rPr>
            <w:noProof/>
            <w:webHidden/>
          </w:rPr>
        </w:r>
        <w:r w:rsidR="00F872EF">
          <w:rPr>
            <w:noProof/>
            <w:webHidden/>
          </w:rPr>
          <w:fldChar w:fldCharType="separate"/>
        </w:r>
        <w:r w:rsidR="0024562F">
          <w:rPr>
            <w:noProof/>
            <w:webHidden/>
          </w:rPr>
          <w:t>36</w:t>
        </w:r>
        <w:r w:rsidR="00F872EF">
          <w:rPr>
            <w:noProof/>
            <w:webHidden/>
          </w:rPr>
          <w:fldChar w:fldCharType="end"/>
        </w:r>
      </w:hyperlink>
    </w:p>
    <w:p w14:paraId="5875C5BF" w14:textId="1D46F098" w:rsidR="00F872EF" w:rsidRDefault="00C439A5">
      <w:pPr>
        <w:pStyle w:val="TOC3"/>
        <w:rPr>
          <w:rFonts w:eastAsiaTheme="minorEastAsia" w:cstheme="minorBidi"/>
          <w:noProof/>
          <w:color w:val="auto"/>
          <w:sz w:val="22"/>
          <w:szCs w:val="22"/>
          <w:lang w:val="en-AU" w:eastAsia="en-AU"/>
        </w:rPr>
      </w:pPr>
      <w:hyperlink w:anchor="_Toc525550773" w:history="1">
        <w:r w:rsidR="00F872EF" w:rsidRPr="00D30E29">
          <w:rPr>
            <w:rStyle w:val="Hyperlink"/>
            <w:noProof/>
          </w:rPr>
          <w:t>Resources</w:t>
        </w:r>
        <w:r w:rsidR="00F872EF">
          <w:rPr>
            <w:noProof/>
            <w:webHidden/>
          </w:rPr>
          <w:tab/>
        </w:r>
        <w:r w:rsidR="00F872EF">
          <w:rPr>
            <w:noProof/>
            <w:webHidden/>
          </w:rPr>
          <w:fldChar w:fldCharType="begin"/>
        </w:r>
        <w:r w:rsidR="00F872EF">
          <w:rPr>
            <w:noProof/>
            <w:webHidden/>
          </w:rPr>
          <w:instrText xml:space="preserve"> PAGEREF _Toc525550773 \h </w:instrText>
        </w:r>
        <w:r w:rsidR="00F872EF">
          <w:rPr>
            <w:noProof/>
            <w:webHidden/>
          </w:rPr>
        </w:r>
        <w:r w:rsidR="00F872EF">
          <w:rPr>
            <w:noProof/>
            <w:webHidden/>
          </w:rPr>
          <w:fldChar w:fldCharType="separate"/>
        </w:r>
        <w:r w:rsidR="0024562F">
          <w:rPr>
            <w:noProof/>
            <w:webHidden/>
          </w:rPr>
          <w:t>36</w:t>
        </w:r>
        <w:r w:rsidR="00F872EF">
          <w:rPr>
            <w:noProof/>
            <w:webHidden/>
          </w:rPr>
          <w:fldChar w:fldCharType="end"/>
        </w:r>
      </w:hyperlink>
    </w:p>
    <w:p w14:paraId="393027D3" w14:textId="2A001E32" w:rsidR="00F872EF" w:rsidRDefault="00C439A5">
      <w:pPr>
        <w:pStyle w:val="TOC2"/>
        <w:tabs>
          <w:tab w:val="right" w:leader="dot" w:pos="9016"/>
        </w:tabs>
        <w:rPr>
          <w:rFonts w:eastAsiaTheme="minorEastAsia" w:cstheme="minorBidi"/>
          <w:b w:val="0"/>
          <w:bCs w:val="0"/>
          <w:noProof/>
          <w:color w:val="auto"/>
          <w:sz w:val="22"/>
          <w:szCs w:val="22"/>
          <w:lang w:val="en-AU" w:eastAsia="en-AU"/>
        </w:rPr>
      </w:pPr>
      <w:hyperlink w:anchor="_Toc525550774" w:history="1">
        <w:r w:rsidR="00F872EF" w:rsidRPr="00D30E29">
          <w:rPr>
            <w:rStyle w:val="Hyperlink"/>
            <w:noProof/>
          </w:rPr>
          <w:t>E:  Implementation Arrangements</w:t>
        </w:r>
        <w:r w:rsidR="00F872EF">
          <w:rPr>
            <w:noProof/>
            <w:webHidden/>
          </w:rPr>
          <w:tab/>
        </w:r>
        <w:r w:rsidR="00F872EF">
          <w:rPr>
            <w:noProof/>
            <w:webHidden/>
          </w:rPr>
          <w:fldChar w:fldCharType="begin"/>
        </w:r>
        <w:r w:rsidR="00F872EF">
          <w:rPr>
            <w:noProof/>
            <w:webHidden/>
          </w:rPr>
          <w:instrText xml:space="preserve"> PAGEREF _Toc525550774 \h </w:instrText>
        </w:r>
        <w:r w:rsidR="00F872EF">
          <w:rPr>
            <w:noProof/>
            <w:webHidden/>
          </w:rPr>
        </w:r>
        <w:r w:rsidR="00F872EF">
          <w:rPr>
            <w:noProof/>
            <w:webHidden/>
          </w:rPr>
          <w:fldChar w:fldCharType="separate"/>
        </w:r>
        <w:r w:rsidR="0024562F">
          <w:rPr>
            <w:noProof/>
            <w:webHidden/>
          </w:rPr>
          <w:t>37</w:t>
        </w:r>
        <w:r w:rsidR="00F872EF">
          <w:rPr>
            <w:noProof/>
            <w:webHidden/>
          </w:rPr>
          <w:fldChar w:fldCharType="end"/>
        </w:r>
      </w:hyperlink>
    </w:p>
    <w:p w14:paraId="077491AA" w14:textId="669C569B" w:rsidR="00F872EF" w:rsidRDefault="00C439A5">
      <w:pPr>
        <w:pStyle w:val="TOC3"/>
        <w:rPr>
          <w:rFonts w:eastAsiaTheme="minorEastAsia" w:cstheme="minorBidi"/>
          <w:noProof/>
          <w:color w:val="auto"/>
          <w:sz w:val="22"/>
          <w:szCs w:val="22"/>
          <w:lang w:val="en-AU" w:eastAsia="en-AU"/>
        </w:rPr>
      </w:pPr>
      <w:hyperlink w:anchor="_Toc525550775" w:history="1">
        <w:r w:rsidR="00F872EF" w:rsidRPr="00D30E29">
          <w:rPr>
            <w:rStyle w:val="Hyperlink"/>
            <w:noProof/>
          </w:rPr>
          <w:t>Governance Arrangements and Structure</w:t>
        </w:r>
        <w:r w:rsidR="00F872EF">
          <w:rPr>
            <w:noProof/>
            <w:webHidden/>
          </w:rPr>
          <w:tab/>
        </w:r>
        <w:r w:rsidR="00F872EF">
          <w:rPr>
            <w:noProof/>
            <w:webHidden/>
          </w:rPr>
          <w:fldChar w:fldCharType="begin"/>
        </w:r>
        <w:r w:rsidR="00F872EF">
          <w:rPr>
            <w:noProof/>
            <w:webHidden/>
          </w:rPr>
          <w:instrText xml:space="preserve"> PAGEREF _Toc525550775 \h </w:instrText>
        </w:r>
        <w:r w:rsidR="00F872EF">
          <w:rPr>
            <w:noProof/>
            <w:webHidden/>
          </w:rPr>
        </w:r>
        <w:r w:rsidR="00F872EF">
          <w:rPr>
            <w:noProof/>
            <w:webHidden/>
          </w:rPr>
          <w:fldChar w:fldCharType="separate"/>
        </w:r>
        <w:r w:rsidR="0024562F">
          <w:rPr>
            <w:noProof/>
            <w:webHidden/>
          </w:rPr>
          <w:t>37</w:t>
        </w:r>
        <w:r w:rsidR="00F872EF">
          <w:rPr>
            <w:noProof/>
            <w:webHidden/>
          </w:rPr>
          <w:fldChar w:fldCharType="end"/>
        </w:r>
      </w:hyperlink>
    </w:p>
    <w:p w14:paraId="1E04C93A" w14:textId="7AADB317" w:rsidR="00F872EF" w:rsidRDefault="00C439A5">
      <w:pPr>
        <w:pStyle w:val="TOC3"/>
        <w:rPr>
          <w:rFonts w:eastAsiaTheme="minorEastAsia" w:cstheme="minorBidi"/>
          <w:noProof/>
          <w:color w:val="auto"/>
          <w:sz w:val="22"/>
          <w:szCs w:val="22"/>
          <w:lang w:val="en-AU" w:eastAsia="en-AU"/>
        </w:rPr>
      </w:pPr>
      <w:hyperlink w:anchor="_Toc525550776" w:history="1">
        <w:r w:rsidR="00F872EF" w:rsidRPr="00D30E29">
          <w:rPr>
            <w:rStyle w:val="Hyperlink"/>
            <w:noProof/>
          </w:rPr>
          <w:t>Appointment of a Contractor</w:t>
        </w:r>
        <w:r w:rsidR="00F872EF">
          <w:rPr>
            <w:noProof/>
            <w:webHidden/>
          </w:rPr>
          <w:tab/>
        </w:r>
        <w:r w:rsidR="00F872EF">
          <w:rPr>
            <w:noProof/>
            <w:webHidden/>
          </w:rPr>
          <w:fldChar w:fldCharType="begin"/>
        </w:r>
        <w:r w:rsidR="00F872EF">
          <w:rPr>
            <w:noProof/>
            <w:webHidden/>
          </w:rPr>
          <w:instrText xml:space="preserve"> PAGEREF _Toc525550776 \h </w:instrText>
        </w:r>
        <w:r w:rsidR="00F872EF">
          <w:rPr>
            <w:noProof/>
            <w:webHidden/>
          </w:rPr>
        </w:r>
        <w:r w:rsidR="00F872EF">
          <w:rPr>
            <w:noProof/>
            <w:webHidden/>
          </w:rPr>
          <w:fldChar w:fldCharType="separate"/>
        </w:r>
        <w:r w:rsidR="0024562F">
          <w:rPr>
            <w:noProof/>
            <w:webHidden/>
          </w:rPr>
          <w:t>38</w:t>
        </w:r>
        <w:r w:rsidR="00F872EF">
          <w:rPr>
            <w:noProof/>
            <w:webHidden/>
          </w:rPr>
          <w:fldChar w:fldCharType="end"/>
        </w:r>
      </w:hyperlink>
    </w:p>
    <w:p w14:paraId="38A87ED4" w14:textId="7DFD6FC7" w:rsidR="00F872EF" w:rsidRDefault="00C439A5">
      <w:pPr>
        <w:pStyle w:val="TOC3"/>
        <w:rPr>
          <w:rFonts w:eastAsiaTheme="minorEastAsia" w:cstheme="minorBidi"/>
          <w:noProof/>
          <w:color w:val="auto"/>
          <w:sz w:val="22"/>
          <w:szCs w:val="22"/>
          <w:lang w:val="en-AU" w:eastAsia="en-AU"/>
        </w:rPr>
      </w:pPr>
      <w:hyperlink w:anchor="_Toc525550777" w:history="1">
        <w:r w:rsidR="00F872EF" w:rsidRPr="00D30E29">
          <w:rPr>
            <w:rStyle w:val="Hyperlink"/>
            <w:noProof/>
          </w:rPr>
          <w:t>Resourcing and Recruitment</w:t>
        </w:r>
        <w:r w:rsidR="00F872EF">
          <w:rPr>
            <w:noProof/>
            <w:webHidden/>
          </w:rPr>
          <w:tab/>
        </w:r>
        <w:r w:rsidR="00F872EF">
          <w:rPr>
            <w:noProof/>
            <w:webHidden/>
          </w:rPr>
          <w:fldChar w:fldCharType="begin"/>
        </w:r>
        <w:r w:rsidR="00F872EF">
          <w:rPr>
            <w:noProof/>
            <w:webHidden/>
          </w:rPr>
          <w:instrText xml:space="preserve"> PAGEREF _Toc525550777 \h </w:instrText>
        </w:r>
        <w:r w:rsidR="00F872EF">
          <w:rPr>
            <w:noProof/>
            <w:webHidden/>
          </w:rPr>
        </w:r>
        <w:r w:rsidR="00F872EF">
          <w:rPr>
            <w:noProof/>
            <w:webHidden/>
          </w:rPr>
          <w:fldChar w:fldCharType="separate"/>
        </w:r>
        <w:r w:rsidR="0024562F">
          <w:rPr>
            <w:noProof/>
            <w:webHidden/>
          </w:rPr>
          <w:t>39</w:t>
        </w:r>
        <w:r w:rsidR="00F872EF">
          <w:rPr>
            <w:noProof/>
            <w:webHidden/>
          </w:rPr>
          <w:fldChar w:fldCharType="end"/>
        </w:r>
      </w:hyperlink>
    </w:p>
    <w:p w14:paraId="33164CCE" w14:textId="2D4D84F0" w:rsidR="00F872EF" w:rsidRDefault="00C439A5">
      <w:pPr>
        <w:pStyle w:val="TOC3"/>
        <w:rPr>
          <w:rFonts w:eastAsiaTheme="minorEastAsia" w:cstheme="minorBidi"/>
          <w:noProof/>
          <w:color w:val="auto"/>
          <w:sz w:val="22"/>
          <w:szCs w:val="22"/>
          <w:lang w:val="en-AU" w:eastAsia="en-AU"/>
        </w:rPr>
      </w:pPr>
      <w:hyperlink w:anchor="_Toc525550778" w:history="1">
        <w:r w:rsidR="00F872EF" w:rsidRPr="00D30E29">
          <w:rPr>
            <w:rStyle w:val="Hyperlink"/>
            <w:noProof/>
          </w:rPr>
          <w:t>Communications and Reporting</w:t>
        </w:r>
        <w:r w:rsidR="00F872EF">
          <w:rPr>
            <w:noProof/>
            <w:webHidden/>
          </w:rPr>
          <w:tab/>
        </w:r>
        <w:r w:rsidR="00F872EF">
          <w:rPr>
            <w:noProof/>
            <w:webHidden/>
          </w:rPr>
          <w:fldChar w:fldCharType="begin"/>
        </w:r>
        <w:r w:rsidR="00F872EF">
          <w:rPr>
            <w:noProof/>
            <w:webHidden/>
          </w:rPr>
          <w:instrText xml:space="preserve"> PAGEREF _Toc525550778 \h </w:instrText>
        </w:r>
        <w:r w:rsidR="00F872EF">
          <w:rPr>
            <w:noProof/>
            <w:webHidden/>
          </w:rPr>
        </w:r>
        <w:r w:rsidR="00F872EF">
          <w:rPr>
            <w:noProof/>
            <w:webHidden/>
          </w:rPr>
          <w:fldChar w:fldCharType="separate"/>
        </w:r>
        <w:r w:rsidR="0024562F">
          <w:rPr>
            <w:noProof/>
            <w:webHidden/>
          </w:rPr>
          <w:t>39</w:t>
        </w:r>
        <w:r w:rsidR="00F872EF">
          <w:rPr>
            <w:noProof/>
            <w:webHidden/>
          </w:rPr>
          <w:fldChar w:fldCharType="end"/>
        </w:r>
      </w:hyperlink>
    </w:p>
    <w:p w14:paraId="798D40BE" w14:textId="7EB3E22A" w:rsidR="00F872EF" w:rsidRDefault="00C439A5">
      <w:pPr>
        <w:pStyle w:val="TOC3"/>
        <w:rPr>
          <w:rFonts w:eastAsiaTheme="minorEastAsia" w:cstheme="minorBidi"/>
          <w:noProof/>
          <w:color w:val="auto"/>
          <w:sz w:val="22"/>
          <w:szCs w:val="22"/>
          <w:lang w:val="en-AU" w:eastAsia="en-AU"/>
        </w:rPr>
      </w:pPr>
      <w:hyperlink w:anchor="_Toc525550779" w:history="1">
        <w:r w:rsidR="00F872EF" w:rsidRPr="00D30E29">
          <w:rPr>
            <w:rStyle w:val="Hyperlink"/>
            <w:noProof/>
          </w:rPr>
          <w:t>Procurement Arrangements</w:t>
        </w:r>
        <w:r w:rsidR="00F872EF">
          <w:rPr>
            <w:noProof/>
            <w:webHidden/>
          </w:rPr>
          <w:tab/>
        </w:r>
        <w:r w:rsidR="00F872EF">
          <w:rPr>
            <w:noProof/>
            <w:webHidden/>
          </w:rPr>
          <w:fldChar w:fldCharType="begin"/>
        </w:r>
        <w:r w:rsidR="00F872EF">
          <w:rPr>
            <w:noProof/>
            <w:webHidden/>
          </w:rPr>
          <w:instrText xml:space="preserve"> PAGEREF _Toc525550779 \h </w:instrText>
        </w:r>
        <w:r w:rsidR="00F872EF">
          <w:rPr>
            <w:noProof/>
            <w:webHidden/>
          </w:rPr>
        </w:r>
        <w:r w:rsidR="00F872EF">
          <w:rPr>
            <w:noProof/>
            <w:webHidden/>
          </w:rPr>
          <w:fldChar w:fldCharType="separate"/>
        </w:r>
        <w:r w:rsidR="0024562F">
          <w:rPr>
            <w:noProof/>
            <w:webHidden/>
          </w:rPr>
          <w:t>39</w:t>
        </w:r>
        <w:r w:rsidR="00F872EF">
          <w:rPr>
            <w:noProof/>
            <w:webHidden/>
          </w:rPr>
          <w:fldChar w:fldCharType="end"/>
        </w:r>
      </w:hyperlink>
    </w:p>
    <w:p w14:paraId="3AF9A4EC" w14:textId="37251CEC" w:rsidR="00F872EF" w:rsidRPr="00164471" w:rsidRDefault="00010922">
      <w:pPr>
        <w:pStyle w:val="TOC3"/>
        <w:rPr>
          <w:rStyle w:val="Hyperlink"/>
        </w:rPr>
      </w:pPr>
      <w:r w:rsidRPr="00164471">
        <w:rPr>
          <w:rStyle w:val="Hyperlink"/>
          <w:noProof/>
          <w:color w:val="auto"/>
          <w:u w:val="none"/>
        </w:rPr>
        <w:t>Knowledge, Pe</w:t>
      </w:r>
      <w:r w:rsidR="00164471">
        <w:rPr>
          <w:rStyle w:val="Hyperlink"/>
          <w:noProof/>
          <w:color w:val="auto"/>
          <w:u w:val="none"/>
        </w:rPr>
        <w:t>r</w:t>
      </w:r>
      <w:r w:rsidRPr="00164471">
        <w:rPr>
          <w:rStyle w:val="Hyperlink"/>
          <w:noProof/>
          <w:color w:val="auto"/>
          <w:u w:val="none"/>
        </w:rPr>
        <w:t xml:space="preserve">formance </w:t>
      </w:r>
      <w:hyperlink w:anchor="_Toc525550780" w:history="1">
        <w:r w:rsidR="00F872EF" w:rsidRPr="00D30E29">
          <w:rPr>
            <w:rStyle w:val="Hyperlink"/>
            <w:noProof/>
          </w:rPr>
          <w:t xml:space="preserve"> and Learning (</w:t>
        </w:r>
        <w:r>
          <w:rPr>
            <w:rStyle w:val="Hyperlink"/>
            <w:noProof/>
          </w:rPr>
          <w:t>KPL</w:t>
        </w:r>
        <w:r w:rsidR="00F872EF" w:rsidRPr="00D30E29">
          <w:rPr>
            <w:rStyle w:val="Hyperlink"/>
            <w:noProof/>
          </w:rPr>
          <w:t>)</w:t>
        </w:r>
        <w:r w:rsidR="00F872EF" w:rsidRPr="00164471">
          <w:rPr>
            <w:rStyle w:val="Hyperlink"/>
            <w:webHidden/>
          </w:rPr>
          <w:tab/>
        </w:r>
        <w:r w:rsidR="00F872EF" w:rsidRPr="00164471">
          <w:rPr>
            <w:rStyle w:val="Hyperlink"/>
            <w:webHidden/>
          </w:rPr>
          <w:fldChar w:fldCharType="begin"/>
        </w:r>
        <w:r w:rsidR="00F872EF" w:rsidRPr="00164471">
          <w:rPr>
            <w:rStyle w:val="Hyperlink"/>
            <w:webHidden/>
          </w:rPr>
          <w:instrText xml:space="preserve"> PAGEREF _Toc525550780 \h </w:instrText>
        </w:r>
        <w:r w:rsidR="00F872EF" w:rsidRPr="00164471">
          <w:rPr>
            <w:rStyle w:val="Hyperlink"/>
            <w:webHidden/>
          </w:rPr>
        </w:r>
        <w:r w:rsidR="00F872EF" w:rsidRPr="00164471">
          <w:rPr>
            <w:rStyle w:val="Hyperlink"/>
            <w:webHidden/>
          </w:rPr>
          <w:fldChar w:fldCharType="separate"/>
        </w:r>
        <w:r w:rsidR="0024562F">
          <w:rPr>
            <w:rStyle w:val="Hyperlink"/>
            <w:noProof/>
            <w:webHidden/>
          </w:rPr>
          <w:t>39</w:t>
        </w:r>
        <w:r w:rsidR="00F872EF" w:rsidRPr="00164471">
          <w:rPr>
            <w:rStyle w:val="Hyperlink"/>
            <w:webHidden/>
          </w:rPr>
          <w:fldChar w:fldCharType="end"/>
        </w:r>
      </w:hyperlink>
    </w:p>
    <w:p w14:paraId="1638BACB" w14:textId="3985F13D" w:rsidR="00F872EF" w:rsidRDefault="00C439A5">
      <w:pPr>
        <w:pStyle w:val="TOC3"/>
        <w:rPr>
          <w:rFonts w:eastAsiaTheme="minorEastAsia" w:cstheme="minorBidi"/>
          <w:noProof/>
          <w:color w:val="auto"/>
          <w:sz w:val="22"/>
          <w:szCs w:val="22"/>
          <w:lang w:val="en-AU" w:eastAsia="en-AU"/>
        </w:rPr>
      </w:pPr>
      <w:hyperlink w:anchor="_Toc525550781" w:history="1">
        <w:r w:rsidR="00F872EF" w:rsidRPr="00D30E29">
          <w:rPr>
            <w:rStyle w:val="Hyperlink"/>
            <w:noProof/>
          </w:rPr>
          <w:t>Sustainability</w:t>
        </w:r>
        <w:r w:rsidR="00F872EF">
          <w:rPr>
            <w:noProof/>
            <w:webHidden/>
          </w:rPr>
          <w:tab/>
        </w:r>
        <w:r w:rsidR="00F872EF">
          <w:rPr>
            <w:noProof/>
            <w:webHidden/>
          </w:rPr>
          <w:fldChar w:fldCharType="begin"/>
        </w:r>
        <w:r w:rsidR="00F872EF">
          <w:rPr>
            <w:noProof/>
            <w:webHidden/>
          </w:rPr>
          <w:instrText xml:space="preserve"> PAGEREF _Toc525550781 \h </w:instrText>
        </w:r>
        <w:r w:rsidR="00F872EF">
          <w:rPr>
            <w:noProof/>
            <w:webHidden/>
          </w:rPr>
        </w:r>
        <w:r w:rsidR="00F872EF">
          <w:rPr>
            <w:noProof/>
            <w:webHidden/>
          </w:rPr>
          <w:fldChar w:fldCharType="separate"/>
        </w:r>
        <w:r w:rsidR="0024562F">
          <w:rPr>
            <w:noProof/>
            <w:webHidden/>
          </w:rPr>
          <w:t>41</w:t>
        </w:r>
        <w:r w:rsidR="00F872EF">
          <w:rPr>
            <w:noProof/>
            <w:webHidden/>
          </w:rPr>
          <w:fldChar w:fldCharType="end"/>
        </w:r>
      </w:hyperlink>
    </w:p>
    <w:p w14:paraId="1962B50C" w14:textId="119333A6" w:rsidR="00F872EF" w:rsidRDefault="00C439A5">
      <w:pPr>
        <w:pStyle w:val="TOC3"/>
        <w:rPr>
          <w:rFonts w:eastAsiaTheme="minorEastAsia" w:cstheme="minorBidi"/>
          <w:noProof/>
          <w:color w:val="auto"/>
          <w:sz w:val="22"/>
          <w:szCs w:val="22"/>
          <w:lang w:val="en-AU" w:eastAsia="en-AU"/>
        </w:rPr>
      </w:pPr>
      <w:hyperlink w:anchor="_Toc525550782" w:history="1">
        <w:r w:rsidR="00F872EF" w:rsidRPr="00D30E29">
          <w:rPr>
            <w:rStyle w:val="Hyperlink"/>
            <w:noProof/>
          </w:rPr>
          <w:t>Gender Equality and Social Inclusion (GESI)</w:t>
        </w:r>
        <w:r w:rsidR="00F872EF">
          <w:rPr>
            <w:noProof/>
            <w:webHidden/>
          </w:rPr>
          <w:tab/>
        </w:r>
        <w:r w:rsidR="00F872EF">
          <w:rPr>
            <w:noProof/>
            <w:webHidden/>
          </w:rPr>
          <w:fldChar w:fldCharType="begin"/>
        </w:r>
        <w:r w:rsidR="00F872EF">
          <w:rPr>
            <w:noProof/>
            <w:webHidden/>
          </w:rPr>
          <w:instrText xml:space="preserve"> PAGEREF _Toc525550782 \h </w:instrText>
        </w:r>
        <w:r w:rsidR="00F872EF">
          <w:rPr>
            <w:noProof/>
            <w:webHidden/>
          </w:rPr>
        </w:r>
        <w:r w:rsidR="00F872EF">
          <w:rPr>
            <w:noProof/>
            <w:webHidden/>
          </w:rPr>
          <w:fldChar w:fldCharType="separate"/>
        </w:r>
        <w:r w:rsidR="0024562F">
          <w:rPr>
            <w:noProof/>
            <w:webHidden/>
          </w:rPr>
          <w:t>42</w:t>
        </w:r>
        <w:r w:rsidR="00F872EF">
          <w:rPr>
            <w:noProof/>
            <w:webHidden/>
          </w:rPr>
          <w:fldChar w:fldCharType="end"/>
        </w:r>
      </w:hyperlink>
    </w:p>
    <w:p w14:paraId="7AC842C8" w14:textId="1480BDF1" w:rsidR="00F872EF" w:rsidRDefault="00C439A5">
      <w:pPr>
        <w:pStyle w:val="TOC3"/>
        <w:rPr>
          <w:rFonts w:eastAsiaTheme="minorEastAsia" w:cstheme="minorBidi"/>
          <w:noProof/>
          <w:color w:val="auto"/>
          <w:sz w:val="22"/>
          <w:szCs w:val="22"/>
          <w:lang w:val="en-AU" w:eastAsia="en-AU"/>
        </w:rPr>
      </w:pPr>
      <w:hyperlink w:anchor="_Toc525550783" w:history="1">
        <w:r w:rsidR="00F872EF" w:rsidRPr="00D30E29">
          <w:rPr>
            <w:rStyle w:val="Hyperlink"/>
            <w:noProof/>
          </w:rPr>
          <w:t>Disability Inclusiveness</w:t>
        </w:r>
        <w:r w:rsidR="00F872EF">
          <w:rPr>
            <w:noProof/>
            <w:webHidden/>
          </w:rPr>
          <w:tab/>
        </w:r>
        <w:r w:rsidR="00F872EF">
          <w:rPr>
            <w:noProof/>
            <w:webHidden/>
          </w:rPr>
          <w:fldChar w:fldCharType="begin"/>
        </w:r>
        <w:r w:rsidR="00F872EF">
          <w:rPr>
            <w:noProof/>
            <w:webHidden/>
          </w:rPr>
          <w:instrText xml:space="preserve"> PAGEREF _Toc525550783 \h </w:instrText>
        </w:r>
        <w:r w:rsidR="00F872EF">
          <w:rPr>
            <w:noProof/>
            <w:webHidden/>
          </w:rPr>
        </w:r>
        <w:r w:rsidR="00F872EF">
          <w:rPr>
            <w:noProof/>
            <w:webHidden/>
          </w:rPr>
          <w:fldChar w:fldCharType="separate"/>
        </w:r>
        <w:r w:rsidR="0024562F">
          <w:rPr>
            <w:noProof/>
            <w:webHidden/>
          </w:rPr>
          <w:t>43</w:t>
        </w:r>
        <w:r w:rsidR="00F872EF">
          <w:rPr>
            <w:noProof/>
            <w:webHidden/>
          </w:rPr>
          <w:fldChar w:fldCharType="end"/>
        </w:r>
      </w:hyperlink>
    </w:p>
    <w:p w14:paraId="6FB6E00D" w14:textId="60F4A128" w:rsidR="00F872EF" w:rsidRDefault="00C439A5">
      <w:pPr>
        <w:pStyle w:val="TOC3"/>
        <w:rPr>
          <w:rFonts w:eastAsiaTheme="minorEastAsia" w:cstheme="minorBidi"/>
          <w:noProof/>
          <w:color w:val="auto"/>
          <w:sz w:val="22"/>
          <w:szCs w:val="22"/>
          <w:lang w:val="en-AU" w:eastAsia="en-AU"/>
        </w:rPr>
      </w:pPr>
      <w:hyperlink w:anchor="_Toc525550784" w:history="1">
        <w:r w:rsidR="00F872EF" w:rsidRPr="00D30E29">
          <w:rPr>
            <w:rStyle w:val="Hyperlink"/>
            <w:noProof/>
          </w:rPr>
          <w:t>Private Sector</w:t>
        </w:r>
        <w:r w:rsidR="00F872EF">
          <w:rPr>
            <w:noProof/>
            <w:webHidden/>
          </w:rPr>
          <w:tab/>
        </w:r>
        <w:r w:rsidR="00F872EF">
          <w:rPr>
            <w:noProof/>
            <w:webHidden/>
          </w:rPr>
          <w:fldChar w:fldCharType="begin"/>
        </w:r>
        <w:r w:rsidR="00F872EF">
          <w:rPr>
            <w:noProof/>
            <w:webHidden/>
          </w:rPr>
          <w:instrText xml:space="preserve"> PAGEREF _Toc525550784 \h </w:instrText>
        </w:r>
        <w:r w:rsidR="00F872EF">
          <w:rPr>
            <w:noProof/>
            <w:webHidden/>
          </w:rPr>
        </w:r>
        <w:r w:rsidR="00F872EF">
          <w:rPr>
            <w:noProof/>
            <w:webHidden/>
          </w:rPr>
          <w:fldChar w:fldCharType="separate"/>
        </w:r>
        <w:r w:rsidR="0024562F">
          <w:rPr>
            <w:noProof/>
            <w:webHidden/>
          </w:rPr>
          <w:t>44</w:t>
        </w:r>
        <w:r w:rsidR="00F872EF">
          <w:rPr>
            <w:noProof/>
            <w:webHidden/>
          </w:rPr>
          <w:fldChar w:fldCharType="end"/>
        </w:r>
      </w:hyperlink>
    </w:p>
    <w:p w14:paraId="55BE340E" w14:textId="174C0B2D" w:rsidR="00F872EF" w:rsidRDefault="00C439A5">
      <w:pPr>
        <w:pStyle w:val="TOC3"/>
        <w:rPr>
          <w:rFonts w:eastAsiaTheme="minorEastAsia" w:cstheme="minorBidi"/>
          <w:noProof/>
          <w:color w:val="auto"/>
          <w:sz w:val="22"/>
          <w:szCs w:val="22"/>
          <w:lang w:val="en-AU" w:eastAsia="en-AU"/>
        </w:rPr>
      </w:pPr>
      <w:hyperlink w:anchor="_Toc525550785" w:history="1">
        <w:r w:rsidR="00F872EF" w:rsidRPr="00D30E29">
          <w:rPr>
            <w:rStyle w:val="Hyperlink"/>
            <w:noProof/>
          </w:rPr>
          <w:t>Safeguards</w:t>
        </w:r>
        <w:r w:rsidR="00F872EF">
          <w:rPr>
            <w:noProof/>
            <w:webHidden/>
          </w:rPr>
          <w:tab/>
        </w:r>
        <w:r w:rsidR="00F872EF">
          <w:rPr>
            <w:noProof/>
            <w:webHidden/>
          </w:rPr>
          <w:fldChar w:fldCharType="begin"/>
        </w:r>
        <w:r w:rsidR="00F872EF">
          <w:rPr>
            <w:noProof/>
            <w:webHidden/>
          </w:rPr>
          <w:instrText xml:space="preserve"> PAGEREF _Toc525550785 \h </w:instrText>
        </w:r>
        <w:r w:rsidR="00F872EF">
          <w:rPr>
            <w:noProof/>
            <w:webHidden/>
          </w:rPr>
        </w:r>
        <w:r w:rsidR="00F872EF">
          <w:rPr>
            <w:noProof/>
            <w:webHidden/>
          </w:rPr>
          <w:fldChar w:fldCharType="separate"/>
        </w:r>
        <w:r w:rsidR="0024562F">
          <w:rPr>
            <w:noProof/>
            <w:webHidden/>
          </w:rPr>
          <w:t>44</w:t>
        </w:r>
        <w:r w:rsidR="00F872EF">
          <w:rPr>
            <w:noProof/>
            <w:webHidden/>
          </w:rPr>
          <w:fldChar w:fldCharType="end"/>
        </w:r>
      </w:hyperlink>
    </w:p>
    <w:p w14:paraId="7CDFD520" w14:textId="7B9ED4BD" w:rsidR="00F872EF" w:rsidRDefault="00C439A5">
      <w:pPr>
        <w:pStyle w:val="TOC3"/>
        <w:rPr>
          <w:rFonts w:eastAsiaTheme="minorEastAsia" w:cstheme="minorBidi"/>
          <w:noProof/>
          <w:color w:val="auto"/>
          <w:sz w:val="22"/>
          <w:szCs w:val="22"/>
          <w:lang w:val="en-AU" w:eastAsia="en-AU"/>
        </w:rPr>
      </w:pPr>
      <w:hyperlink w:anchor="_Toc525550786" w:history="1">
        <w:r w:rsidR="00F872EF" w:rsidRPr="00D30E29">
          <w:rPr>
            <w:rStyle w:val="Hyperlink"/>
            <w:noProof/>
          </w:rPr>
          <w:t>Risk Management Plan</w:t>
        </w:r>
        <w:r w:rsidR="00F872EF">
          <w:rPr>
            <w:noProof/>
            <w:webHidden/>
          </w:rPr>
          <w:tab/>
        </w:r>
        <w:r w:rsidR="00F872EF">
          <w:rPr>
            <w:noProof/>
            <w:webHidden/>
          </w:rPr>
          <w:fldChar w:fldCharType="begin"/>
        </w:r>
        <w:r w:rsidR="00F872EF">
          <w:rPr>
            <w:noProof/>
            <w:webHidden/>
          </w:rPr>
          <w:instrText xml:space="preserve"> PAGEREF _Toc525550786 \h </w:instrText>
        </w:r>
        <w:r w:rsidR="00F872EF">
          <w:rPr>
            <w:noProof/>
            <w:webHidden/>
          </w:rPr>
        </w:r>
        <w:r w:rsidR="00F872EF">
          <w:rPr>
            <w:noProof/>
            <w:webHidden/>
          </w:rPr>
          <w:fldChar w:fldCharType="separate"/>
        </w:r>
        <w:r w:rsidR="0024562F">
          <w:rPr>
            <w:noProof/>
            <w:webHidden/>
          </w:rPr>
          <w:t>44</w:t>
        </w:r>
        <w:r w:rsidR="00F872EF">
          <w:rPr>
            <w:noProof/>
            <w:webHidden/>
          </w:rPr>
          <w:fldChar w:fldCharType="end"/>
        </w:r>
      </w:hyperlink>
    </w:p>
    <w:p w14:paraId="320016E0" w14:textId="185BDC35" w:rsidR="00F872EF" w:rsidRDefault="00C439A5">
      <w:pPr>
        <w:pStyle w:val="TOC2"/>
        <w:tabs>
          <w:tab w:val="right" w:leader="dot" w:pos="9016"/>
        </w:tabs>
        <w:rPr>
          <w:rFonts w:eastAsiaTheme="minorEastAsia" w:cstheme="minorBidi"/>
          <w:b w:val="0"/>
          <w:bCs w:val="0"/>
          <w:noProof/>
          <w:color w:val="auto"/>
          <w:sz w:val="22"/>
          <w:szCs w:val="22"/>
          <w:lang w:val="en-AU" w:eastAsia="en-AU"/>
        </w:rPr>
      </w:pPr>
      <w:hyperlink w:anchor="_Toc525550787" w:history="1">
        <w:r w:rsidR="00F872EF" w:rsidRPr="00D30E29">
          <w:rPr>
            <w:rStyle w:val="Hyperlink"/>
            <w:noProof/>
          </w:rPr>
          <w:t>F:  Annexes</w:t>
        </w:r>
        <w:r w:rsidR="00F872EF">
          <w:rPr>
            <w:noProof/>
            <w:webHidden/>
          </w:rPr>
          <w:tab/>
        </w:r>
        <w:r w:rsidR="00F872EF">
          <w:rPr>
            <w:noProof/>
            <w:webHidden/>
          </w:rPr>
          <w:fldChar w:fldCharType="begin"/>
        </w:r>
        <w:r w:rsidR="00F872EF">
          <w:rPr>
            <w:noProof/>
            <w:webHidden/>
          </w:rPr>
          <w:instrText xml:space="preserve"> PAGEREF _Toc525550787 \h </w:instrText>
        </w:r>
        <w:r w:rsidR="00F872EF">
          <w:rPr>
            <w:noProof/>
            <w:webHidden/>
          </w:rPr>
        </w:r>
        <w:r w:rsidR="00F872EF">
          <w:rPr>
            <w:noProof/>
            <w:webHidden/>
          </w:rPr>
          <w:fldChar w:fldCharType="separate"/>
        </w:r>
        <w:r w:rsidR="0024562F">
          <w:rPr>
            <w:noProof/>
            <w:webHidden/>
          </w:rPr>
          <w:t>45</w:t>
        </w:r>
        <w:r w:rsidR="00F872EF">
          <w:rPr>
            <w:noProof/>
            <w:webHidden/>
          </w:rPr>
          <w:fldChar w:fldCharType="end"/>
        </w:r>
      </w:hyperlink>
    </w:p>
    <w:p w14:paraId="4C976384" w14:textId="4C0C1D06" w:rsidR="005C3CB1" w:rsidRDefault="008D2909" w:rsidP="00C55E77">
      <w:pPr>
        <w:pStyle w:val="Heading4"/>
        <w:rPr>
          <w:color w:val="000000" w:themeColor="text1"/>
        </w:rPr>
      </w:pPr>
      <w:r w:rsidRPr="003144BF">
        <w:rPr>
          <w:rStyle w:val="Hyperlink"/>
          <w:rFonts w:cstheme="minorHAnsi"/>
          <w:b/>
          <w:bCs/>
          <w:i w:val="0"/>
          <w:iCs w:val="0"/>
          <w:noProof/>
          <w:szCs w:val="20"/>
        </w:rPr>
        <w:fldChar w:fldCharType="end"/>
      </w:r>
      <w:r w:rsidR="005C3CB1">
        <w:rPr>
          <w:color w:val="000000" w:themeColor="text1"/>
        </w:rPr>
        <w:t xml:space="preserve">Annex </w:t>
      </w:r>
      <w:r w:rsidR="00E811EC">
        <w:rPr>
          <w:color w:val="000000" w:themeColor="text1"/>
        </w:rPr>
        <w:t>1</w:t>
      </w:r>
      <w:r w:rsidR="005C3CB1">
        <w:rPr>
          <w:color w:val="000000" w:themeColor="text1"/>
        </w:rPr>
        <w:t xml:space="preserve"> Indicative activities</w:t>
      </w:r>
    </w:p>
    <w:p w14:paraId="7448D193" w14:textId="392A716B" w:rsidR="00762E2A" w:rsidRPr="003144BF" w:rsidRDefault="005C3CB1" w:rsidP="00C55E77">
      <w:pPr>
        <w:pStyle w:val="Heading4"/>
        <w:rPr>
          <w:color w:val="000000" w:themeColor="text1"/>
        </w:rPr>
      </w:pPr>
      <w:r>
        <w:rPr>
          <w:color w:val="000000" w:themeColor="text1"/>
        </w:rPr>
        <w:t xml:space="preserve">Annex </w:t>
      </w:r>
      <w:r w:rsidR="00E811EC">
        <w:rPr>
          <w:color w:val="000000" w:themeColor="text1"/>
        </w:rPr>
        <w:t>2</w:t>
      </w:r>
      <w:r w:rsidR="00BC618F" w:rsidRPr="003144BF">
        <w:rPr>
          <w:color w:val="000000" w:themeColor="text1"/>
        </w:rPr>
        <w:t xml:space="preserve"> </w:t>
      </w:r>
      <w:r w:rsidR="00762E2A" w:rsidRPr="003144BF">
        <w:rPr>
          <w:color w:val="000000" w:themeColor="text1"/>
        </w:rPr>
        <w:t>MEL Framework</w:t>
      </w:r>
    </w:p>
    <w:p w14:paraId="03259C99" w14:textId="50ECBE7E" w:rsidR="008D2909" w:rsidRDefault="008D2909" w:rsidP="00C55E77">
      <w:pPr>
        <w:pStyle w:val="Heading4"/>
        <w:rPr>
          <w:rStyle w:val="Hyperlink"/>
          <w:rFonts w:asciiTheme="minorHAnsi" w:eastAsiaTheme="minorHAnsi" w:hAnsiTheme="minorHAnsi" w:cstheme="minorHAnsi"/>
          <w:b/>
          <w:bCs/>
          <w:noProof/>
          <w:szCs w:val="20"/>
        </w:rPr>
      </w:pPr>
    </w:p>
    <w:p w14:paraId="5FF65D01" w14:textId="439D7CF1" w:rsidR="008D2909" w:rsidRDefault="008D2909">
      <w:pPr>
        <w:suppressAutoHyphens w:val="0"/>
        <w:spacing w:before="0" w:after="0" w:line="240" w:lineRule="auto"/>
        <w:rPr>
          <w:rStyle w:val="Hyperlink"/>
          <w:rFonts w:cstheme="minorHAnsi"/>
          <w:b/>
          <w:bCs/>
          <w:noProof/>
          <w:szCs w:val="20"/>
        </w:rPr>
      </w:pPr>
      <w:r>
        <w:rPr>
          <w:rStyle w:val="Hyperlink"/>
          <w:rFonts w:cstheme="minorHAnsi"/>
          <w:b/>
          <w:bCs/>
          <w:noProof/>
          <w:szCs w:val="20"/>
        </w:rPr>
        <w:br w:type="page"/>
      </w:r>
    </w:p>
    <w:p w14:paraId="4FB74D81" w14:textId="004A7996" w:rsidR="007D01B9" w:rsidRPr="002D6DCB" w:rsidRDefault="007D01B9" w:rsidP="002D6DCB">
      <w:pPr>
        <w:pStyle w:val="Heading2"/>
        <w:rPr>
          <w:noProof/>
          <w:color w:val="0563C1" w:themeColor="hyperlink"/>
          <w:szCs w:val="20"/>
          <w:u w:val="single"/>
        </w:rPr>
      </w:pPr>
      <w:bookmarkStart w:id="12" w:name="_Toc525550758"/>
      <w:r>
        <w:lastRenderedPageBreak/>
        <w:t>Acronyms</w:t>
      </w:r>
      <w:bookmarkEnd w:id="11"/>
      <w:bookmarkEnd w:id="12"/>
    </w:p>
    <w:p w14:paraId="27C1C53F" w14:textId="77777777" w:rsidR="00FD07E7" w:rsidRDefault="00FD07E7" w:rsidP="002D539E">
      <w:pPr>
        <w:spacing w:after="0" w:line="240" w:lineRule="auto"/>
      </w:pPr>
      <w:r w:rsidRPr="00CA49DC">
        <w:t xml:space="preserve">AIFDR: </w:t>
      </w:r>
      <w:r>
        <w:tab/>
      </w:r>
      <w:r>
        <w:tab/>
      </w:r>
      <w:r w:rsidRPr="00CA49DC">
        <w:t>(former) Australia-Indonesia Facility for Disaster Reduction</w:t>
      </w:r>
    </w:p>
    <w:p w14:paraId="4FB8D1CC" w14:textId="77777777" w:rsidR="00FD07E7" w:rsidRPr="00E15CDB" w:rsidRDefault="00FD07E7" w:rsidP="002D539E">
      <w:pPr>
        <w:pStyle w:val="BodyText"/>
        <w:spacing w:line="240" w:lineRule="auto"/>
      </w:pPr>
      <w:r w:rsidRPr="00E15CDB">
        <w:t xml:space="preserve">AHA Centre: </w:t>
      </w:r>
      <w:r w:rsidRPr="00E15CDB">
        <w:tab/>
        <w:t>ASEAN Coordinating Centre for Humanitarian Assistance</w:t>
      </w:r>
    </w:p>
    <w:p w14:paraId="00556162" w14:textId="7F67D954" w:rsidR="00FD07E7" w:rsidRDefault="00FD07E7" w:rsidP="002D539E">
      <w:pPr>
        <w:pStyle w:val="BodyText"/>
        <w:spacing w:line="240" w:lineRule="auto"/>
      </w:pPr>
      <w:r>
        <w:t>Bappenas</w:t>
      </w:r>
      <w:r w:rsidRPr="3D4B3A45">
        <w:t xml:space="preserve">: </w:t>
      </w:r>
      <w:r w:rsidRPr="00E15CDB">
        <w:tab/>
      </w:r>
      <w:r w:rsidR="00153EF2">
        <w:t xml:space="preserve">Ministry of </w:t>
      </w:r>
      <w:r w:rsidRPr="00E15CDB">
        <w:t xml:space="preserve">National Development Planning </w:t>
      </w:r>
    </w:p>
    <w:p w14:paraId="2133F6E3" w14:textId="619335C9" w:rsidR="00FD07E7" w:rsidRDefault="00FD07E7" w:rsidP="002D539E">
      <w:pPr>
        <w:pStyle w:val="BodyText"/>
        <w:spacing w:line="240" w:lineRule="auto"/>
      </w:pPr>
      <w:r>
        <w:t>B</w:t>
      </w:r>
      <w:r w:rsidRPr="00CA49DC">
        <w:t xml:space="preserve">MKG: </w:t>
      </w:r>
      <w:r>
        <w:tab/>
      </w:r>
      <w:r>
        <w:tab/>
      </w:r>
      <w:r w:rsidRPr="00CA49DC">
        <w:t>Meteorology, Climatology and Geophysics Agency</w:t>
      </w:r>
    </w:p>
    <w:p w14:paraId="6685955C" w14:textId="4E097250" w:rsidR="00FD07E7" w:rsidRPr="00E15CDB" w:rsidRDefault="00FD07E7" w:rsidP="002D539E">
      <w:pPr>
        <w:pStyle w:val="BodyText"/>
        <w:spacing w:line="240" w:lineRule="auto"/>
      </w:pPr>
      <w:r w:rsidRPr="00E15CDB">
        <w:t xml:space="preserve">BNPB: </w:t>
      </w:r>
      <w:r w:rsidRPr="00E15CDB">
        <w:tab/>
      </w:r>
      <w:r w:rsidRPr="00E15CDB">
        <w:tab/>
        <w:t xml:space="preserve">National Disaster Management </w:t>
      </w:r>
      <w:r w:rsidR="00153EF2">
        <w:t>Authority</w:t>
      </w:r>
    </w:p>
    <w:p w14:paraId="2DBFE36F" w14:textId="31AE11EE" w:rsidR="00FD07E7" w:rsidRDefault="00FD07E7" w:rsidP="002D539E">
      <w:pPr>
        <w:pStyle w:val="BodyText"/>
        <w:spacing w:line="240" w:lineRule="auto"/>
      </w:pPr>
      <w:r>
        <w:t xml:space="preserve">BPBD: </w:t>
      </w:r>
      <w:r>
        <w:tab/>
      </w:r>
      <w:r>
        <w:tab/>
        <w:t>Provincial</w:t>
      </w:r>
      <w:r w:rsidR="00153EF2">
        <w:t>/</w:t>
      </w:r>
      <w:r>
        <w:t>District</w:t>
      </w:r>
      <w:r w:rsidR="00153EF2">
        <w:t>/</w:t>
      </w:r>
      <w:r>
        <w:t>Municipal Disaster Management Agencies</w:t>
      </w:r>
    </w:p>
    <w:p w14:paraId="3584E899" w14:textId="77777777" w:rsidR="00FD07E7" w:rsidRDefault="00FD07E7" w:rsidP="002D539E">
      <w:pPr>
        <w:pStyle w:val="BodyText"/>
        <w:spacing w:line="240" w:lineRule="auto"/>
      </w:pPr>
      <w:r w:rsidRPr="00E15CDB">
        <w:t xml:space="preserve">CBDRM: </w:t>
      </w:r>
      <w:r w:rsidRPr="00E15CDB">
        <w:tab/>
      </w:r>
      <w:r>
        <w:tab/>
      </w:r>
      <w:r w:rsidRPr="00E15CDB">
        <w:t>Community-based disaster risk management</w:t>
      </w:r>
    </w:p>
    <w:p w14:paraId="46DC162A" w14:textId="77777777" w:rsidR="00FD07E7" w:rsidRDefault="00FD07E7" w:rsidP="002D539E">
      <w:pPr>
        <w:spacing w:after="0" w:line="240" w:lineRule="auto"/>
      </w:pPr>
      <w:r w:rsidRPr="00CA49DC">
        <w:t xml:space="preserve">CSO: </w:t>
      </w:r>
      <w:r>
        <w:tab/>
      </w:r>
      <w:r>
        <w:tab/>
      </w:r>
      <w:r w:rsidRPr="00CA49DC">
        <w:t>Civil Society Organization</w:t>
      </w:r>
    </w:p>
    <w:p w14:paraId="2A5C101B" w14:textId="51C9C884" w:rsidR="00903242" w:rsidRDefault="00903242" w:rsidP="002D539E">
      <w:pPr>
        <w:pStyle w:val="BodyText"/>
        <w:spacing w:line="240" w:lineRule="auto"/>
      </w:pPr>
      <w:r>
        <w:t xml:space="preserve">DFAT: </w:t>
      </w:r>
      <w:r>
        <w:tab/>
      </w:r>
      <w:r>
        <w:tab/>
        <w:t>Australian Department of Foreign Affairs and Trade</w:t>
      </w:r>
    </w:p>
    <w:p w14:paraId="044B2845" w14:textId="015B65C6" w:rsidR="00FD07E7" w:rsidRPr="00E15CDB" w:rsidRDefault="00FD07E7" w:rsidP="002D539E">
      <w:pPr>
        <w:pStyle w:val="BodyText"/>
        <w:spacing w:line="240" w:lineRule="auto"/>
      </w:pPr>
      <w:r>
        <w:t xml:space="preserve">DPO: </w:t>
      </w:r>
      <w:r>
        <w:tab/>
      </w:r>
      <w:r>
        <w:tab/>
        <w:t>Disabled Peoples Organisation</w:t>
      </w:r>
    </w:p>
    <w:p w14:paraId="52549ED4" w14:textId="7DF2A0AA" w:rsidR="00FD07E7" w:rsidRPr="00E15CDB" w:rsidRDefault="00FD07E7" w:rsidP="002D539E">
      <w:pPr>
        <w:pStyle w:val="BodyText"/>
        <w:spacing w:line="240" w:lineRule="auto"/>
      </w:pPr>
      <w:r w:rsidRPr="00E15CDB">
        <w:t>DRM:</w:t>
      </w:r>
      <w:r w:rsidRPr="00E15CDB">
        <w:tab/>
      </w:r>
      <w:r w:rsidRPr="00E15CDB">
        <w:tab/>
        <w:t>Disaster</w:t>
      </w:r>
      <w:r>
        <w:t xml:space="preserve"> risk management</w:t>
      </w:r>
      <w:r w:rsidRPr="00E15CDB">
        <w:t xml:space="preserve"> </w:t>
      </w:r>
    </w:p>
    <w:p w14:paraId="135E1AF6" w14:textId="77777777" w:rsidR="00FD07E7" w:rsidRPr="00E62834" w:rsidRDefault="00FD07E7" w:rsidP="002D539E">
      <w:pPr>
        <w:spacing w:line="240" w:lineRule="auto"/>
        <w:rPr>
          <w:rFonts w:ascii="Calibri" w:eastAsia="Calibri" w:hAnsi="Calibri" w:cs="Calibri"/>
        </w:rPr>
      </w:pPr>
      <w:r w:rsidRPr="00753700">
        <w:rPr>
          <w:rFonts w:ascii="Calibri" w:eastAsia="Calibri" w:hAnsi="Calibri" w:cs="Calibri"/>
        </w:rPr>
        <w:t xml:space="preserve">DRR: </w:t>
      </w:r>
      <w:r>
        <w:rPr>
          <w:rFonts w:ascii="Calibri" w:eastAsia="Calibri" w:hAnsi="Calibri" w:cs="Calibri"/>
          <w:szCs w:val="20"/>
        </w:rPr>
        <w:tab/>
      </w:r>
      <w:r>
        <w:rPr>
          <w:rFonts w:ascii="Calibri" w:eastAsia="Calibri" w:hAnsi="Calibri" w:cs="Calibri"/>
          <w:szCs w:val="20"/>
        </w:rPr>
        <w:tab/>
      </w:r>
      <w:r w:rsidRPr="00753700">
        <w:rPr>
          <w:rFonts w:ascii="Calibri" w:eastAsia="Calibri" w:hAnsi="Calibri" w:cs="Calibri"/>
        </w:rPr>
        <w:t>Disaster Risk Reduction</w:t>
      </w:r>
    </w:p>
    <w:p w14:paraId="1881944C" w14:textId="18210DA1" w:rsidR="00B10536" w:rsidRDefault="00B10536" w:rsidP="002D539E">
      <w:pPr>
        <w:pStyle w:val="BodyText"/>
        <w:spacing w:line="240" w:lineRule="auto"/>
      </w:pPr>
      <w:r>
        <w:t>EOPOs</w:t>
      </w:r>
      <w:r>
        <w:tab/>
      </w:r>
      <w:r>
        <w:tab/>
        <w:t>End of Program Outcomes</w:t>
      </w:r>
    </w:p>
    <w:p w14:paraId="1C3D1115" w14:textId="2329DFF6" w:rsidR="00FD07E7" w:rsidRDefault="00FD07E7" w:rsidP="002D539E">
      <w:pPr>
        <w:pStyle w:val="BodyText"/>
        <w:spacing w:line="240" w:lineRule="auto"/>
      </w:pPr>
      <w:r w:rsidRPr="00E15CDB">
        <w:t xml:space="preserve">EWS: </w:t>
      </w:r>
      <w:r w:rsidRPr="00E15CDB">
        <w:tab/>
      </w:r>
      <w:r w:rsidRPr="00E15CDB">
        <w:tab/>
        <w:t>Early warning systems</w:t>
      </w:r>
    </w:p>
    <w:p w14:paraId="6DC51191" w14:textId="77777777" w:rsidR="00FD07E7" w:rsidRDefault="00FD07E7" w:rsidP="002D539E">
      <w:pPr>
        <w:spacing w:after="0" w:line="240" w:lineRule="auto"/>
      </w:pPr>
      <w:r w:rsidRPr="00CA49DC">
        <w:t xml:space="preserve">GESI: </w:t>
      </w:r>
      <w:r>
        <w:tab/>
      </w:r>
      <w:r>
        <w:tab/>
      </w:r>
      <w:r w:rsidRPr="00CA49DC">
        <w:t>Gender Equality and Social Inclusion</w:t>
      </w:r>
    </w:p>
    <w:p w14:paraId="3C3FD7B2" w14:textId="5DAECC0F" w:rsidR="00FD07E7" w:rsidRPr="00CA49DC" w:rsidRDefault="00FD07E7" w:rsidP="002D539E">
      <w:pPr>
        <w:spacing w:after="0" w:line="240" w:lineRule="auto"/>
      </w:pPr>
      <w:r>
        <w:t>GoA:</w:t>
      </w:r>
      <w:r>
        <w:tab/>
      </w:r>
      <w:r>
        <w:tab/>
        <w:t xml:space="preserve">Government of Australia </w:t>
      </w:r>
    </w:p>
    <w:p w14:paraId="7842906B" w14:textId="40A78B40" w:rsidR="00FD07E7" w:rsidRPr="00E15CDB" w:rsidRDefault="0094476B" w:rsidP="002D539E">
      <w:pPr>
        <w:spacing w:after="0" w:line="240" w:lineRule="auto"/>
      </w:pPr>
      <w:r>
        <w:t>GoI</w:t>
      </w:r>
      <w:r w:rsidR="00FD07E7">
        <w:t>:</w:t>
      </w:r>
      <w:r w:rsidR="00FD07E7">
        <w:tab/>
      </w:r>
      <w:r w:rsidR="00FD07E7">
        <w:tab/>
      </w:r>
      <w:r w:rsidR="00FD07E7" w:rsidRPr="00CA49DC">
        <w:t>Government</w:t>
      </w:r>
      <w:r w:rsidR="00FD07E7">
        <w:t xml:space="preserve"> of Indonesia</w:t>
      </w:r>
      <w:r w:rsidR="00FD07E7" w:rsidRPr="00CA49DC">
        <w:t xml:space="preserve"> </w:t>
      </w:r>
    </w:p>
    <w:p w14:paraId="2CAB4106" w14:textId="77777777" w:rsidR="00FD07E7" w:rsidRPr="00E15CDB" w:rsidRDefault="00FD07E7" w:rsidP="002D539E">
      <w:pPr>
        <w:pStyle w:val="BodyText"/>
        <w:spacing w:line="240" w:lineRule="auto"/>
      </w:pPr>
      <w:r w:rsidRPr="00E15CDB">
        <w:t xml:space="preserve">HFI: </w:t>
      </w:r>
      <w:r w:rsidRPr="00E15CDB">
        <w:tab/>
      </w:r>
      <w:r w:rsidRPr="00E15CDB">
        <w:tab/>
        <w:t>Humanitarian Forum Indonesia</w:t>
      </w:r>
    </w:p>
    <w:p w14:paraId="40EA493D" w14:textId="77777777" w:rsidR="00FD07E7" w:rsidRDefault="00FD07E7" w:rsidP="002D539E">
      <w:pPr>
        <w:spacing w:line="240" w:lineRule="auto"/>
      </w:pPr>
      <w:r>
        <w:t xml:space="preserve">IFRC: </w:t>
      </w:r>
      <w:r>
        <w:tab/>
      </w:r>
      <w:r>
        <w:tab/>
      </w:r>
      <w:r w:rsidRPr="00753700">
        <w:t xml:space="preserve">The </w:t>
      </w:r>
      <w:r w:rsidRPr="3D4B3A45">
        <w:rPr>
          <w:rFonts w:ascii="Calibri" w:eastAsia="Calibri" w:hAnsi="Calibri" w:cs="Calibri"/>
        </w:rPr>
        <w:t>International Federation of Red Cross</w:t>
      </w:r>
      <w:r w:rsidRPr="3D4B3A45">
        <w:t xml:space="preserve"> and Red Crescent Societies</w:t>
      </w:r>
    </w:p>
    <w:p w14:paraId="4400FB94" w14:textId="7138D095" w:rsidR="00153EF2" w:rsidRDefault="00153EF2" w:rsidP="002D539E">
      <w:pPr>
        <w:spacing w:line="240" w:lineRule="auto"/>
      </w:pPr>
      <w:r>
        <w:t xml:space="preserve">IHA: </w:t>
      </w:r>
      <w:r>
        <w:tab/>
      </w:r>
      <w:r>
        <w:tab/>
        <w:t>Indonesia Humanitarian Alliance</w:t>
      </w:r>
    </w:p>
    <w:p w14:paraId="77087CA1" w14:textId="563D27FE" w:rsidR="00FD07E7" w:rsidRDefault="00FD07E7" w:rsidP="002D539E">
      <w:pPr>
        <w:spacing w:line="240" w:lineRule="auto"/>
      </w:pPr>
      <w:r>
        <w:t>IMF</w:t>
      </w:r>
      <w:r w:rsidR="00010922">
        <w:t>:</w:t>
      </w:r>
      <w:r>
        <w:tab/>
      </w:r>
      <w:r>
        <w:tab/>
        <w:t>International Monetary Fund Monetary Fund</w:t>
      </w:r>
    </w:p>
    <w:p w14:paraId="1BA213AB" w14:textId="33420DF3" w:rsidR="00FD07E7" w:rsidRDefault="00FD07E7" w:rsidP="002D539E">
      <w:pPr>
        <w:spacing w:line="240" w:lineRule="auto"/>
      </w:pPr>
      <w:r>
        <w:t>JICA</w:t>
      </w:r>
      <w:r w:rsidR="00010922">
        <w:t>:</w:t>
      </w:r>
      <w:r>
        <w:tab/>
      </w:r>
      <w:r>
        <w:tab/>
        <w:t xml:space="preserve">Japan International Cooperation Agency </w:t>
      </w:r>
    </w:p>
    <w:p w14:paraId="2E552853" w14:textId="6A5E88A9" w:rsidR="00010922" w:rsidRDefault="00010922" w:rsidP="002D539E">
      <w:pPr>
        <w:pStyle w:val="BodyText"/>
        <w:spacing w:line="240" w:lineRule="auto"/>
      </w:pPr>
      <w:r>
        <w:t>KPLF:</w:t>
      </w:r>
      <w:r>
        <w:tab/>
      </w:r>
      <w:r>
        <w:tab/>
        <w:t>Knowledge, Performance and Learning Framework</w:t>
      </w:r>
    </w:p>
    <w:p w14:paraId="33D93F3E" w14:textId="79C8FB14" w:rsidR="00FD07E7" w:rsidRPr="00E15CDB" w:rsidRDefault="00FD07E7" w:rsidP="002D539E">
      <w:pPr>
        <w:pStyle w:val="BodyText"/>
        <w:spacing w:line="240" w:lineRule="auto"/>
      </w:pPr>
      <w:r w:rsidRPr="00E15CDB">
        <w:t xml:space="preserve">MC: </w:t>
      </w:r>
      <w:r>
        <w:tab/>
      </w:r>
      <w:r>
        <w:tab/>
      </w:r>
      <w:r w:rsidRPr="00E15CDB">
        <w:t>Managing Contractor</w:t>
      </w:r>
    </w:p>
    <w:p w14:paraId="305C093D" w14:textId="6B15F224" w:rsidR="00FD07E7" w:rsidRPr="00E15CDB" w:rsidRDefault="00FD07E7" w:rsidP="002D539E">
      <w:pPr>
        <w:pStyle w:val="BodyText"/>
        <w:spacing w:line="240" w:lineRule="auto"/>
      </w:pPr>
      <w:r>
        <w:t>MDMC</w:t>
      </w:r>
      <w:r w:rsidRPr="7F7A9C44">
        <w:t xml:space="preserve">: </w:t>
      </w:r>
      <w:r w:rsidRPr="00E15CDB">
        <w:tab/>
      </w:r>
      <w:r>
        <w:tab/>
      </w:r>
      <w:r w:rsidRPr="00E15CDB">
        <w:t xml:space="preserve">Muhammadiyah Disaster Management </w:t>
      </w:r>
      <w:r w:rsidR="00432460">
        <w:t>Centre</w:t>
      </w:r>
    </w:p>
    <w:p w14:paraId="55DB2939" w14:textId="77777777" w:rsidR="00FD07E7" w:rsidRPr="00CA49DC" w:rsidRDefault="00FD07E7" w:rsidP="002D539E">
      <w:pPr>
        <w:spacing w:after="0" w:line="240" w:lineRule="auto"/>
      </w:pPr>
      <w:r w:rsidRPr="00CA49DC">
        <w:t xml:space="preserve">MELF: </w:t>
      </w:r>
      <w:r>
        <w:tab/>
      </w:r>
      <w:r>
        <w:tab/>
        <w:t>Monitoring, Evaluation and Learning Framework</w:t>
      </w:r>
    </w:p>
    <w:p w14:paraId="24EA725B" w14:textId="77777777" w:rsidR="00153EF2" w:rsidRPr="00C62BCB" w:rsidRDefault="00153EF2" w:rsidP="00153EF2">
      <w:pPr>
        <w:pStyle w:val="BodyText"/>
        <w:spacing w:line="240" w:lineRule="auto"/>
      </w:pPr>
      <w:r w:rsidRPr="00C62BCB">
        <w:t xml:space="preserve">MoF: </w:t>
      </w:r>
      <w:r w:rsidRPr="00C62BCB">
        <w:tab/>
      </w:r>
      <w:r>
        <w:tab/>
        <w:t>Ministry of Finance</w:t>
      </w:r>
    </w:p>
    <w:p w14:paraId="5131D836" w14:textId="77777777" w:rsidR="00153EF2" w:rsidRDefault="00153EF2" w:rsidP="00153EF2">
      <w:pPr>
        <w:pStyle w:val="BodyText"/>
        <w:spacing w:line="240" w:lineRule="auto"/>
      </w:pPr>
      <w:r>
        <w:t>MoFA</w:t>
      </w:r>
      <w:r w:rsidRPr="004C753A">
        <w:t xml:space="preserve">: </w:t>
      </w:r>
      <w:r w:rsidRPr="004C753A">
        <w:tab/>
      </w:r>
      <w:r>
        <w:tab/>
      </w:r>
      <w:r w:rsidRPr="004C753A">
        <w:t>Ministry of Foreign Affairs</w:t>
      </w:r>
    </w:p>
    <w:p w14:paraId="53C95529" w14:textId="6787D3BB" w:rsidR="00FD07E7" w:rsidRPr="00C62BCB" w:rsidRDefault="00FD07E7" w:rsidP="007D356C">
      <w:pPr>
        <w:pStyle w:val="BodyText"/>
        <w:spacing w:line="240" w:lineRule="auto"/>
        <w:ind w:left="1440" w:hanging="1440"/>
      </w:pPr>
      <w:r w:rsidRPr="00C62BCB">
        <w:t xml:space="preserve">MoHA: </w:t>
      </w:r>
      <w:r w:rsidRPr="00C62BCB">
        <w:tab/>
      </w:r>
      <w:r>
        <w:t>Ministry of Home Affairs</w:t>
      </w:r>
    </w:p>
    <w:p w14:paraId="6DD4DD7C" w14:textId="7570B9A6" w:rsidR="00FD07E7" w:rsidRPr="00C62BCB" w:rsidRDefault="00FD07E7" w:rsidP="002D539E">
      <w:pPr>
        <w:pStyle w:val="BodyText"/>
        <w:spacing w:line="240" w:lineRule="auto"/>
      </w:pPr>
      <w:r w:rsidRPr="00C62BCB">
        <w:t xml:space="preserve">MoSA: </w:t>
      </w:r>
      <w:r w:rsidRPr="00C62BCB">
        <w:tab/>
      </w:r>
      <w:r>
        <w:tab/>
        <w:t>Ministry of Social Affairs</w:t>
      </w:r>
    </w:p>
    <w:p w14:paraId="0A413D20" w14:textId="4745090D" w:rsidR="00153EF2" w:rsidRDefault="00153EF2" w:rsidP="002D539E">
      <w:pPr>
        <w:pStyle w:val="BodyText"/>
        <w:spacing w:line="240" w:lineRule="auto"/>
      </w:pPr>
      <w:r>
        <w:t xml:space="preserve">MoSS: </w:t>
      </w:r>
      <w:r>
        <w:tab/>
      </w:r>
      <w:r>
        <w:tab/>
        <w:t>Ministry of State Secretariat</w:t>
      </w:r>
    </w:p>
    <w:p w14:paraId="1F231431" w14:textId="77E6A00F" w:rsidR="00FD07E7" w:rsidRDefault="00FD07E7" w:rsidP="002D539E">
      <w:pPr>
        <w:pStyle w:val="BodyText"/>
        <w:spacing w:line="240" w:lineRule="auto"/>
      </w:pPr>
      <w:r>
        <w:t>MSS</w:t>
      </w:r>
      <w:r w:rsidR="007D356C">
        <w:t>:</w:t>
      </w:r>
      <w:r>
        <w:tab/>
      </w:r>
      <w:r>
        <w:tab/>
        <w:t xml:space="preserve">Minimum Service Standards </w:t>
      </w:r>
    </w:p>
    <w:p w14:paraId="1FCA5E1D" w14:textId="77777777" w:rsidR="00FD07E7" w:rsidRPr="00CA49DC" w:rsidRDefault="00FD07E7" w:rsidP="002D539E">
      <w:pPr>
        <w:spacing w:after="0" w:line="240" w:lineRule="auto"/>
      </w:pPr>
      <w:r w:rsidRPr="00CA49DC">
        <w:t xml:space="preserve">NGO: </w:t>
      </w:r>
      <w:r>
        <w:tab/>
      </w:r>
      <w:r>
        <w:tab/>
      </w:r>
      <w:r w:rsidRPr="00CA49DC">
        <w:t>Non-Government Organization</w:t>
      </w:r>
    </w:p>
    <w:p w14:paraId="31894EDC" w14:textId="77777777" w:rsidR="00FD07E7" w:rsidRPr="00CA49DC" w:rsidRDefault="00FD07E7" w:rsidP="002D539E">
      <w:pPr>
        <w:spacing w:after="0" w:line="240" w:lineRule="auto"/>
      </w:pPr>
      <w:r w:rsidRPr="00CA49DC">
        <w:t xml:space="preserve">NTB: </w:t>
      </w:r>
      <w:r>
        <w:tab/>
      </w:r>
      <w:r>
        <w:tab/>
      </w:r>
      <w:r w:rsidRPr="00CA49DC">
        <w:t>West Nusa Tenggara province</w:t>
      </w:r>
    </w:p>
    <w:p w14:paraId="7BA31CF8" w14:textId="77777777" w:rsidR="00FD07E7" w:rsidRPr="004C753A" w:rsidRDefault="00FD07E7" w:rsidP="002D539E">
      <w:pPr>
        <w:pStyle w:val="BodyText"/>
        <w:spacing w:line="240" w:lineRule="auto"/>
      </w:pPr>
      <w:r w:rsidRPr="00CA49DC">
        <w:t xml:space="preserve">NTT: </w:t>
      </w:r>
      <w:r>
        <w:tab/>
      </w:r>
      <w:r>
        <w:tab/>
      </w:r>
      <w:r w:rsidRPr="00CA49DC">
        <w:t>East Nusa Tenggara province</w:t>
      </w:r>
    </w:p>
    <w:p w14:paraId="3B9B4823" w14:textId="5CF1766A" w:rsidR="00FD07E7" w:rsidRPr="00E15CDB" w:rsidRDefault="00FD07E7" w:rsidP="002D539E">
      <w:pPr>
        <w:pStyle w:val="BodyText"/>
        <w:spacing w:line="240" w:lineRule="auto"/>
      </w:pPr>
      <w:r w:rsidRPr="00E15CDB">
        <w:t xml:space="preserve">NU: </w:t>
      </w:r>
      <w:r w:rsidRPr="00E15CDB">
        <w:tab/>
      </w:r>
      <w:r w:rsidRPr="00E15CDB">
        <w:tab/>
        <w:t>Nahd</w:t>
      </w:r>
      <w:r>
        <w:t>l</w:t>
      </w:r>
      <w:r w:rsidRPr="00E15CDB">
        <w:t>atul</w:t>
      </w:r>
      <w:r>
        <w:t xml:space="preserve"> Ulama</w:t>
      </w:r>
      <w:r w:rsidR="006419E5">
        <w:t xml:space="preserve"> </w:t>
      </w:r>
    </w:p>
    <w:p w14:paraId="4F2B2BE0" w14:textId="777786DD" w:rsidR="00FD07E7" w:rsidRPr="00E15CDB" w:rsidRDefault="00903242" w:rsidP="002D539E">
      <w:pPr>
        <w:pStyle w:val="BodyText"/>
        <w:spacing w:line="240" w:lineRule="auto"/>
      </w:pPr>
      <w:r>
        <w:t>MFAT</w:t>
      </w:r>
      <w:r w:rsidR="00FD07E7" w:rsidRPr="00E15CDB">
        <w:t xml:space="preserve">: </w:t>
      </w:r>
      <w:r w:rsidR="00FD07E7" w:rsidRPr="00E15CDB">
        <w:tab/>
      </w:r>
      <w:r w:rsidR="00FD07E7">
        <w:tab/>
      </w:r>
      <w:r w:rsidR="00FD07E7" w:rsidRPr="00E15CDB">
        <w:t xml:space="preserve">New Zealand </w:t>
      </w:r>
      <w:r>
        <w:t xml:space="preserve">Ministry of Foreign Affairs and Trade </w:t>
      </w:r>
    </w:p>
    <w:p w14:paraId="463EFCF4" w14:textId="77777777" w:rsidR="00FD07E7" w:rsidRPr="00E15CDB" w:rsidRDefault="00FD07E7" w:rsidP="002D539E">
      <w:pPr>
        <w:pStyle w:val="BodyText"/>
        <w:spacing w:line="240" w:lineRule="auto"/>
      </w:pPr>
      <w:r w:rsidRPr="00E15CDB">
        <w:t xml:space="preserve">OFDA: </w:t>
      </w:r>
      <w:r w:rsidRPr="00E15CDB">
        <w:tab/>
      </w:r>
      <w:r w:rsidRPr="00E15CDB">
        <w:tab/>
        <w:t>USAID’s Office of Fo</w:t>
      </w:r>
      <w:r>
        <w:t xml:space="preserve">reign Disaster Assistance </w:t>
      </w:r>
    </w:p>
    <w:p w14:paraId="797AE88A" w14:textId="77777777" w:rsidR="00FD07E7" w:rsidRPr="00E15CDB" w:rsidRDefault="00FD07E7" w:rsidP="002D539E">
      <w:pPr>
        <w:pStyle w:val="BodyText"/>
        <w:spacing w:line="240" w:lineRule="auto"/>
      </w:pPr>
      <w:r w:rsidRPr="00E15CDB">
        <w:t xml:space="preserve">OCHA: </w:t>
      </w:r>
      <w:r w:rsidRPr="00E15CDB">
        <w:tab/>
      </w:r>
      <w:r w:rsidRPr="00E15CDB">
        <w:tab/>
      </w:r>
      <w:r>
        <w:t xml:space="preserve">United Nations </w:t>
      </w:r>
      <w:r w:rsidRPr="00E15CDB">
        <w:t xml:space="preserve">Office for </w:t>
      </w:r>
      <w:r>
        <w:t xml:space="preserve">the </w:t>
      </w:r>
      <w:r w:rsidRPr="00E15CDB">
        <w:t>Coordination of Humanitarian Affairs</w:t>
      </w:r>
    </w:p>
    <w:p w14:paraId="7B37F668" w14:textId="20874FED" w:rsidR="00FD07E7" w:rsidRPr="00E15CDB" w:rsidRDefault="00FD07E7" w:rsidP="002D539E">
      <w:pPr>
        <w:pStyle w:val="BodyText"/>
        <w:spacing w:line="240" w:lineRule="auto"/>
      </w:pPr>
      <w:r w:rsidRPr="00E15CDB">
        <w:t xml:space="preserve">Pusdalops: </w:t>
      </w:r>
      <w:r w:rsidR="002D539E">
        <w:tab/>
      </w:r>
      <w:r w:rsidRPr="00E15CDB">
        <w:t xml:space="preserve">Emergency Operation </w:t>
      </w:r>
      <w:r w:rsidR="00473690" w:rsidRPr="00E15CDB">
        <w:t>Centre</w:t>
      </w:r>
    </w:p>
    <w:p w14:paraId="2CF4F2C9" w14:textId="530AF903" w:rsidR="00FD07E7" w:rsidRPr="00E62834" w:rsidRDefault="00FD07E7" w:rsidP="002D539E">
      <w:pPr>
        <w:spacing w:line="240" w:lineRule="auto"/>
        <w:rPr>
          <w:rFonts w:ascii="Calibri" w:eastAsia="Calibri" w:hAnsi="Calibri" w:cs="Calibri"/>
        </w:rPr>
      </w:pPr>
      <w:r w:rsidRPr="00753700">
        <w:rPr>
          <w:rFonts w:ascii="Calibri" w:eastAsia="Calibri" w:hAnsi="Calibri" w:cs="Calibri"/>
        </w:rPr>
        <w:t>PMI:</w:t>
      </w:r>
      <w:r>
        <w:rPr>
          <w:rFonts w:ascii="Calibri" w:eastAsia="Calibri" w:hAnsi="Calibri" w:cs="Calibri"/>
          <w:szCs w:val="20"/>
        </w:rPr>
        <w:tab/>
      </w:r>
      <w:r>
        <w:rPr>
          <w:rFonts w:ascii="Calibri" w:eastAsia="Calibri" w:hAnsi="Calibri" w:cs="Calibri"/>
          <w:szCs w:val="20"/>
        </w:rPr>
        <w:tab/>
      </w:r>
      <w:r w:rsidRPr="00753700">
        <w:rPr>
          <w:rFonts w:ascii="Calibri" w:eastAsia="Calibri" w:hAnsi="Calibri" w:cs="Calibri"/>
        </w:rPr>
        <w:t>Indonesian</w:t>
      </w:r>
      <w:r w:rsidRPr="00E62834">
        <w:rPr>
          <w:rFonts w:ascii="Calibri" w:eastAsia="Calibri" w:hAnsi="Calibri" w:cs="Calibri"/>
        </w:rPr>
        <w:t xml:space="preserve"> Red Cross</w:t>
      </w:r>
    </w:p>
    <w:p w14:paraId="4C12DE5D" w14:textId="1E4D2BB7" w:rsidR="00FD07E7" w:rsidRPr="00E62834" w:rsidRDefault="00FD07E7" w:rsidP="002D539E">
      <w:pPr>
        <w:spacing w:line="240" w:lineRule="auto"/>
        <w:rPr>
          <w:rFonts w:ascii="Calibri" w:eastAsia="Calibri" w:hAnsi="Calibri" w:cs="Calibri"/>
        </w:rPr>
      </w:pPr>
      <w:r w:rsidRPr="00753700">
        <w:rPr>
          <w:rFonts w:ascii="Calibri" w:eastAsia="Calibri" w:hAnsi="Calibri" w:cs="Calibri"/>
        </w:rPr>
        <w:t>RIPB</w:t>
      </w:r>
      <w:r w:rsidR="00010922">
        <w:rPr>
          <w:rFonts w:ascii="Calibri" w:eastAsia="Calibri" w:hAnsi="Calibri" w:cs="Calibri"/>
        </w:rPr>
        <w:t>:</w:t>
      </w:r>
      <w:r>
        <w:rPr>
          <w:rFonts w:ascii="Calibri" w:eastAsia="Calibri" w:hAnsi="Calibri" w:cs="Calibri"/>
          <w:szCs w:val="20"/>
        </w:rPr>
        <w:tab/>
      </w:r>
      <w:r>
        <w:rPr>
          <w:rFonts w:ascii="Calibri" w:eastAsia="Calibri" w:hAnsi="Calibri" w:cs="Calibri"/>
          <w:szCs w:val="20"/>
        </w:rPr>
        <w:tab/>
      </w:r>
      <w:r w:rsidRPr="00753700">
        <w:rPr>
          <w:rFonts w:ascii="Calibri" w:eastAsia="Calibri" w:hAnsi="Calibri" w:cs="Calibri"/>
        </w:rPr>
        <w:t>Disaster</w:t>
      </w:r>
      <w:r w:rsidRPr="00E62834">
        <w:rPr>
          <w:rFonts w:ascii="Calibri" w:eastAsia="Calibri" w:hAnsi="Calibri" w:cs="Calibri"/>
        </w:rPr>
        <w:t xml:space="preserve"> Management Master Plan 2015-2045</w:t>
      </w:r>
      <w:r w:rsidRPr="00753700">
        <w:rPr>
          <w:rFonts w:ascii="Calibri" w:eastAsia="Calibri" w:hAnsi="Calibri" w:cs="Calibri"/>
        </w:rPr>
        <w:t xml:space="preserve"> </w:t>
      </w:r>
    </w:p>
    <w:p w14:paraId="0AE96B5B" w14:textId="227FC3C8" w:rsidR="00FD07E7" w:rsidRPr="00E62834" w:rsidRDefault="00FD07E7" w:rsidP="002D539E">
      <w:pPr>
        <w:spacing w:line="240" w:lineRule="auto"/>
        <w:rPr>
          <w:rFonts w:ascii="Calibri" w:eastAsia="Calibri" w:hAnsi="Calibri" w:cs="Calibri"/>
        </w:rPr>
      </w:pPr>
      <w:r w:rsidRPr="00753700">
        <w:rPr>
          <w:rFonts w:ascii="Calibri" w:eastAsia="Calibri" w:hAnsi="Calibri" w:cs="Calibri"/>
        </w:rPr>
        <w:t>RPJMN:</w:t>
      </w:r>
      <w:r>
        <w:rPr>
          <w:rFonts w:ascii="Calibri" w:eastAsia="Calibri" w:hAnsi="Calibri" w:cs="Calibri"/>
          <w:szCs w:val="20"/>
        </w:rPr>
        <w:tab/>
      </w:r>
      <w:r>
        <w:rPr>
          <w:rFonts w:ascii="Calibri" w:eastAsia="Calibri" w:hAnsi="Calibri" w:cs="Calibri"/>
          <w:szCs w:val="20"/>
        </w:rPr>
        <w:tab/>
      </w:r>
      <w:r w:rsidRPr="00753700">
        <w:rPr>
          <w:rFonts w:ascii="Calibri" w:eastAsia="Calibri" w:hAnsi="Calibri" w:cs="Calibri"/>
        </w:rPr>
        <w:t>Medium</w:t>
      </w:r>
      <w:r w:rsidRPr="00E62834">
        <w:rPr>
          <w:rFonts w:ascii="Calibri" w:eastAsia="Calibri" w:hAnsi="Calibri" w:cs="Calibri"/>
        </w:rPr>
        <w:t xml:space="preserve"> Term National Development Plan </w:t>
      </w:r>
    </w:p>
    <w:p w14:paraId="66CE6C99" w14:textId="39CAEDD2" w:rsidR="0007418F" w:rsidRDefault="0007418F" w:rsidP="002D539E">
      <w:pPr>
        <w:spacing w:line="240" w:lineRule="auto"/>
        <w:rPr>
          <w:rFonts w:ascii="Calibri" w:eastAsia="Calibri" w:hAnsi="Calibri" w:cs="Calibri"/>
        </w:rPr>
      </w:pPr>
      <w:r>
        <w:rPr>
          <w:rFonts w:ascii="Calibri" w:eastAsia="Calibri" w:hAnsi="Calibri" w:cs="Calibri"/>
        </w:rPr>
        <w:t xml:space="preserve">SIDS: </w:t>
      </w:r>
      <w:r>
        <w:rPr>
          <w:rFonts w:ascii="Calibri" w:eastAsia="Calibri" w:hAnsi="Calibri" w:cs="Calibri"/>
        </w:rPr>
        <w:tab/>
      </w:r>
      <w:r>
        <w:rPr>
          <w:rFonts w:ascii="Calibri" w:eastAsia="Calibri" w:hAnsi="Calibri" w:cs="Calibri"/>
        </w:rPr>
        <w:tab/>
        <w:t>Small Islands Developing States</w:t>
      </w:r>
    </w:p>
    <w:p w14:paraId="37C8462B" w14:textId="360EEFD2" w:rsidR="00FD07E7" w:rsidRPr="00E62834" w:rsidRDefault="00FD07E7" w:rsidP="002D539E">
      <w:pPr>
        <w:spacing w:line="240" w:lineRule="auto"/>
        <w:rPr>
          <w:rFonts w:ascii="Calibri" w:eastAsia="Calibri" w:hAnsi="Calibri" w:cs="Calibri"/>
        </w:rPr>
      </w:pPr>
      <w:r w:rsidRPr="00753700">
        <w:rPr>
          <w:rFonts w:ascii="Calibri" w:eastAsia="Calibri" w:hAnsi="Calibri" w:cs="Calibri"/>
        </w:rPr>
        <w:t>SOP</w:t>
      </w:r>
      <w:r w:rsidR="00010922">
        <w:rPr>
          <w:rFonts w:ascii="Calibri" w:eastAsia="Calibri" w:hAnsi="Calibri" w:cs="Calibri"/>
        </w:rPr>
        <w:t>:</w:t>
      </w:r>
      <w:r>
        <w:rPr>
          <w:rFonts w:ascii="Calibri" w:eastAsia="Calibri" w:hAnsi="Calibri" w:cs="Calibri"/>
          <w:szCs w:val="20"/>
        </w:rPr>
        <w:tab/>
      </w:r>
      <w:r>
        <w:rPr>
          <w:rFonts w:ascii="Calibri" w:eastAsia="Calibri" w:hAnsi="Calibri" w:cs="Calibri"/>
          <w:szCs w:val="20"/>
        </w:rPr>
        <w:tab/>
      </w:r>
      <w:r w:rsidRPr="00753700">
        <w:rPr>
          <w:rFonts w:ascii="Calibri" w:eastAsia="Calibri" w:hAnsi="Calibri" w:cs="Calibri"/>
        </w:rPr>
        <w:t>Standard</w:t>
      </w:r>
      <w:r w:rsidRPr="00E62834">
        <w:rPr>
          <w:rFonts w:ascii="Calibri" w:eastAsia="Calibri" w:hAnsi="Calibri" w:cs="Calibri"/>
        </w:rPr>
        <w:t xml:space="preserve"> Operating Procedure</w:t>
      </w:r>
      <w:r w:rsidRPr="00753700">
        <w:rPr>
          <w:rFonts w:ascii="Calibri" w:eastAsia="Calibri" w:hAnsi="Calibri" w:cs="Calibri"/>
        </w:rPr>
        <w:t xml:space="preserve"> </w:t>
      </w:r>
    </w:p>
    <w:p w14:paraId="1938BDBC" w14:textId="77777777" w:rsidR="00FD07E7" w:rsidRDefault="00FD07E7" w:rsidP="002D539E">
      <w:pPr>
        <w:pStyle w:val="BodyText"/>
        <w:spacing w:line="240" w:lineRule="auto"/>
      </w:pPr>
      <w:r w:rsidRPr="00E15CDB">
        <w:t xml:space="preserve">TATTs: </w:t>
      </w:r>
      <w:r w:rsidRPr="00E15CDB">
        <w:tab/>
      </w:r>
      <w:r>
        <w:tab/>
      </w:r>
      <w:r w:rsidRPr="00E15CDB">
        <w:t>Technical Assis</w:t>
      </w:r>
      <w:r>
        <w:t xml:space="preserve">tance and Training Teams </w:t>
      </w:r>
    </w:p>
    <w:p w14:paraId="30D38E2B" w14:textId="47141440" w:rsidR="00FD07E7" w:rsidRDefault="00FD07E7" w:rsidP="002D539E">
      <w:pPr>
        <w:pStyle w:val="BodyText"/>
        <w:spacing w:line="240" w:lineRule="auto"/>
      </w:pPr>
      <w:r>
        <w:t>ToC</w:t>
      </w:r>
      <w:r w:rsidR="00010922">
        <w:t>:</w:t>
      </w:r>
      <w:r>
        <w:tab/>
      </w:r>
      <w:r>
        <w:tab/>
        <w:t xml:space="preserve">Theory of Change </w:t>
      </w:r>
    </w:p>
    <w:p w14:paraId="3F01DC4A" w14:textId="0DDE9385" w:rsidR="00FD07E7" w:rsidRDefault="00FD07E7" w:rsidP="002D539E">
      <w:pPr>
        <w:pStyle w:val="BodyText"/>
        <w:spacing w:line="240" w:lineRule="auto"/>
      </w:pPr>
      <w:r>
        <w:t>UNDP</w:t>
      </w:r>
      <w:r w:rsidRPr="7F7A9C44">
        <w:t>:</w:t>
      </w:r>
      <w:r>
        <w:tab/>
      </w:r>
      <w:r>
        <w:tab/>
        <w:t>Unite</w:t>
      </w:r>
      <w:r w:rsidR="00432460">
        <w:t>d Nations Development Program</w:t>
      </w:r>
    </w:p>
    <w:p w14:paraId="456CE676" w14:textId="614756AE" w:rsidR="00FD07E7" w:rsidRPr="00E15CDB" w:rsidRDefault="00FD07E7" w:rsidP="002D539E">
      <w:pPr>
        <w:pStyle w:val="BodyText"/>
        <w:spacing w:line="240" w:lineRule="auto"/>
      </w:pPr>
      <w:r>
        <w:t>UNISDR:</w:t>
      </w:r>
      <w:r>
        <w:tab/>
      </w:r>
      <w:r>
        <w:tab/>
      </w:r>
      <w:r w:rsidR="00153EF2">
        <w:t xml:space="preserve">The </w:t>
      </w:r>
      <w:r>
        <w:t>United Nations Offi</w:t>
      </w:r>
      <w:r w:rsidR="002D539E">
        <w:t>ce for Disaster Risk Reduction</w:t>
      </w:r>
    </w:p>
    <w:p w14:paraId="7DD22610" w14:textId="77777777" w:rsidR="00FD07E7" w:rsidRPr="00E15CDB" w:rsidRDefault="00FD07E7" w:rsidP="002D539E">
      <w:pPr>
        <w:pStyle w:val="BodyText"/>
        <w:spacing w:line="240" w:lineRule="auto"/>
      </w:pPr>
      <w:r w:rsidRPr="00E15CDB">
        <w:t xml:space="preserve">UNFPA: </w:t>
      </w:r>
      <w:r w:rsidRPr="00E15CDB">
        <w:tab/>
      </w:r>
      <w:r>
        <w:tab/>
      </w:r>
      <w:r w:rsidRPr="00E15CDB">
        <w:t>United Nations Population Fund</w:t>
      </w:r>
    </w:p>
    <w:p w14:paraId="020B34EB" w14:textId="599EB7C6" w:rsidR="00FD07E7" w:rsidRPr="00E15CDB" w:rsidRDefault="00FD07E7" w:rsidP="002D539E">
      <w:pPr>
        <w:pStyle w:val="BodyText"/>
        <w:spacing w:line="240" w:lineRule="auto"/>
      </w:pPr>
      <w:r>
        <w:t xml:space="preserve">USAID: </w:t>
      </w:r>
      <w:r>
        <w:tab/>
      </w:r>
      <w:r>
        <w:tab/>
        <w:t>U</w:t>
      </w:r>
      <w:r w:rsidR="00153EF2">
        <w:t xml:space="preserve">nited States Agency for </w:t>
      </w:r>
      <w:r>
        <w:t xml:space="preserve">International Development </w:t>
      </w:r>
    </w:p>
    <w:p w14:paraId="02F9CDA7" w14:textId="5C360132" w:rsidR="00FD07E7" w:rsidRPr="00E15CDB" w:rsidRDefault="00FD07E7" w:rsidP="002D539E">
      <w:pPr>
        <w:pStyle w:val="BodyText"/>
        <w:spacing w:line="240" w:lineRule="auto"/>
      </w:pPr>
      <w:r w:rsidRPr="00E15CDB">
        <w:t xml:space="preserve">WFP: </w:t>
      </w:r>
      <w:r w:rsidRPr="00E15CDB">
        <w:tab/>
      </w:r>
      <w:r w:rsidRPr="00E15CDB">
        <w:tab/>
        <w:t>World Food Program</w:t>
      </w:r>
    </w:p>
    <w:p w14:paraId="44532E93" w14:textId="77777777" w:rsidR="00FD07E7" w:rsidRPr="00E15CDB" w:rsidRDefault="00FD07E7" w:rsidP="002D539E">
      <w:pPr>
        <w:pStyle w:val="BodyText"/>
        <w:spacing w:line="240" w:lineRule="auto"/>
      </w:pPr>
      <w:r w:rsidRPr="00E15CDB">
        <w:t xml:space="preserve">WHO: </w:t>
      </w:r>
      <w:r w:rsidRPr="00E15CDB">
        <w:tab/>
      </w:r>
      <w:r w:rsidRPr="00E15CDB">
        <w:tab/>
        <w:t>World Health Organisation</w:t>
      </w:r>
    </w:p>
    <w:p w14:paraId="7C575D97" w14:textId="26C67D4D" w:rsidR="007D01B9" w:rsidRPr="00E15CDB" w:rsidRDefault="007D01B9" w:rsidP="007D01B9">
      <w:pPr>
        <w:pStyle w:val="BodyText"/>
      </w:pPr>
    </w:p>
    <w:p w14:paraId="3EAE730D" w14:textId="77777777" w:rsidR="007D01B9" w:rsidRPr="00C62BCB" w:rsidRDefault="007D01B9" w:rsidP="007D01B9">
      <w:pPr>
        <w:rPr>
          <w:rFonts w:ascii="Arial" w:hAnsi="Arial" w:cs="Arial"/>
        </w:rPr>
      </w:pPr>
    </w:p>
    <w:p w14:paraId="458083AD" w14:textId="77777777" w:rsidR="007D01B9" w:rsidRPr="00C62BCB" w:rsidRDefault="007D01B9" w:rsidP="007D01B9">
      <w:pPr>
        <w:rPr>
          <w:rFonts w:ascii="Arial" w:hAnsi="Arial" w:cs="Arial"/>
        </w:rPr>
      </w:pPr>
    </w:p>
    <w:p w14:paraId="6E486866" w14:textId="77777777" w:rsidR="007D01B9" w:rsidRPr="00C62BCB" w:rsidRDefault="007D01B9" w:rsidP="007D01B9">
      <w:pPr>
        <w:rPr>
          <w:rFonts w:ascii="Arial" w:hAnsi="Arial" w:cs="Arial"/>
        </w:rPr>
      </w:pPr>
      <w:r w:rsidRPr="00C62BCB">
        <w:rPr>
          <w:rFonts w:ascii="Arial" w:hAnsi="Arial" w:cs="Arial"/>
        </w:rPr>
        <w:br/>
      </w:r>
    </w:p>
    <w:p w14:paraId="6ADA081D" w14:textId="77777777" w:rsidR="007D01B9" w:rsidRPr="00C62BCB" w:rsidRDefault="007D01B9" w:rsidP="007D01B9">
      <w:pPr>
        <w:rPr>
          <w:rFonts w:ascii="Arial" w:hAnsi="Arial" w:cs="Arial"/>
        </w:rPr>
      </w:pPr>
    </w:p>
    <w:p w14:paraId="49763280" w14:textId="77777777" w:rsidR="007D01B9" w:rsidRPr="00C62BCB" w:rsidRDefault="007D01B9" w:rsidP="007D01B9">
      <w:pPr>
        <w:rPr>
          <w:rFonts w:ascii="Arial" w:hAnsi="Arial" w:cs="Arial"/>
        </w:rPr>
      </w:pPr>
    </w:p>
    <w:p w14:paraId="567C3CFA" w14:textId="77777777" w:rsidR="007D01B9" w:rsidRPr="00C62BCB" w:rsidRDefault="007D01B9" w:rsidP="007D01B9">
      <w:pPr>
        <w:rPr>
          <w:rFonts w:ascii="Arial" w:hAnsi="Arial" w:cs="Arial"/>
        </w:rPr>
      </w:pPr>
    </w:p>
    <w:p w14:paraId="773C32E9" w14:textId="77777777" w:rsidR="007D01B9" w:rsidRPr="00C62BCB" w:rsidRDefault="007D01B9" w:rsidP="007D01B9">
      <w:pPr>
        <w:rPr>
          <w:rFonts w:ascii="Arial" w:hAnsi="Arial" w:cs="Arial"/>
        </w:rPr>
      </w:pPr>
    </w:p>
    <w:p w14:paraId="7F9CF65A" w14:textId="77777777" w:rsidR="006419E5" w:rsidRDefault="006419E5" w:rsidP="007D01B9">
      <w:pPr>
        <w:pStyle w:val="Heading2"/>
      </w:pPr>
      <w:bookmarkStart w:id="13" w:name="_Toc514853171"/>
      <w:r>
        <w:br w:type="page"/>
      </w:r>
    </w:p>
    <w:p w14:paraId="73F7AC2A" w14:textId="6002E261" w:rsidR="007D01B9" w:rsidRPr="00054AD5" w:rsidRDefault="007D01B9" w:rsidP="00054AD5">
      <w:pPr>
        <w:pStyle w:val="Heading2"/>
      </w:pPr>
      <w:bookmarkStart w:id="14" w:name="_Toc525550759"/>
      <w:r w:rsidRPr="00C62BCB">
        <w:t>Glossary of Terms</w:t>
      </w:r>
      <w:bookmarkEnd w:id="13"/>
      <w:bookmarkEnd w:id="14"/>
    </w:p>
    <w:p w14:paraId="5A0A6669" w14:textId="1ED8BEF9" w:rsidR="006419E5" w:rsidRPr="00E15CDB" w:rsidRDefault="006419E5" w:rsidP="006419E5">
      <w:pPr>
        <w:pStyle w:val="BodyText"/>
      </w:pPr>
      <w:r w:rsidRPr="00E15CDB">
        <w:rPr>
          <w:rStyle w:val="Strong"/>
          <w:bCs w:val="0"/>
        </w:rPr>
        <w:t>Community-based disaster risk management</w:t>
      </w:r>
      <w:r w:rsidRPr="00E15CDB">
        <w:rPr>
          <w:rStyle w:val="apple-converted-space"/>
        </w:rPr>
        <w:t xml:space="preserve"> (CBDRM): an approach that </w:t>
      </w:r>
      <w:r w:rsidRPr="00E15CDB">
        <w:t>promotes the involvement of potentially affected communities in disaster risk management at the local level. This includes community assessments of hazards, vulnerabilities and capacities, and their involvement in planning, implementation, monitoring and evaluation of local action for disaster risk reduction</w:t>
      </w:r>
      <w:r w:rsidR="0007418F">
        <w:t xml:space="preserve"> (UNISDR</w:t>
      </w:r>
      <w:r w:rsidR="00C2264B">
        <w:rPr>
          <w:rStyle w:val="FootnoteReference"/>
        </w:rPr>
        <w:footnoteReference w:id="1"/>
      </w:r>
      <w:r w:rsidR="0007418F">
        <w:t>)</w:t>
      </w:r>
      <w:r w:rsidR="00F77BF3">
        <w:t>.</w:t>
      </w:r>
    </w:p>
    <w:p w14:paraId="6708112C" w14:textId="5FC126B7" w:rsidR="00F77BF3" w:rsidRPr="00E15CDB" w:rsidRDefault="00F77BF3" w:rsidP="00F77BF3">
      <w:pPr>
        <w:pStyle w:val="BodyText"/>
      </w:pPr>
      <w:r w:rsidRPr="00164471">
        <w:rPr>
          <w:b/>
        </w:rPr>
        <w:t>Disaster risk governance:</w:t>
      </w:r>
      <w:r>
        <w:t xml:space="preserve"> </w:t>
      </w:r>
      <w:r w:rsidRPr="000D2F2D">
        <w:t>The system of institutions, mechanisms, policy and legal frameworks and other arrangements to guide, coordinate and oversee disaster risk reduction and related areas of policy</w:t>
      </w:r>
      <w:r>
        <w:t xml:space="preserve"> (UNISDR).</w:t>
      </w:r>
    </w:p>
    <w:p w14:paraId="44B517FE" w14:textId="7C2307D5" w:rsidR="006419E5" w:rsidRDefault="006419E5" w:rsidP="006419E5">
      <w:pPr>
        <w:pStyle w:val="BodyText"/>
      </w:pPr>
      <w:r w:rsidRPr="00E15CDB">
        <w:rPr>
          <w:rStyle w:val="Strong"/>
          <w:bCs w:val="0"/>
        </w:rPr>
        <w:t>Disaster risk information:</w:t>
      </w:r>
      <w:r w:rsidRPr="00E15CDB">
        <w:t xml:space="preserve"> comprehensive information on all dimensions of disaster risk, including hazards, exposure, vulnerability and capacity, related to persons, communities, organi</w:t>
      </w:r>
      <w:r>
        <w:t>s</w:t>
      </w:r>
      <w:r w:rsidRPr="00E15CDB">
        <w:t>ations and countries and their assets. It includes all studies, information and mapping required to understand the disaster risk drivers and underlying risk factors</w:t>
      </w:r>
      <w:r w:rsidR="00F77BF3">
        <w:t xml:space="preserve"> (UNISDR).</w:t>
      </w:r>
    </w:p>
    <w:p w14:paraId="1BD54F8F" w14:textId="6F9FEB75" w:rsidR="00D051C6" w:rsidRDefault="007D01B9" w:rsidP="007D01B9">
      <w:pPr>
        <w:pStyle w:val="BodyText"/>
        <w:rPr>
          <w:rStyle w:val="apple-converted-space"/>
        </w:rPr>
      </w:pPr>
      <w:r w:rsidRPr="00E15CDB">
        <w:rPr>
          <w:b/>
        </w:rPr>
        <w:t>Disaster risk management (DRM):</w:t>
      </w:r>
      <w:r w:rsidRPr="00E15CDB">
        <w:t xml:space="preserve"> </w:t>
      </w:r>
      <w:r w:rsidR="00451CA8">
        <w:t>the application of disaster risk reduction policies and strategies to prevent new disaster risk (</w:t>
      </w:r>
      <w:r w:rsidR="00412E88">
        <w:t>e.g.</w:t>
      </w:r>
      <w:r w:rsidR="00451CA8">
        <w:t xml:space="preserve"> bet</w:t>
      </w:r>
      <w:r w:rsidR="00D619E6">
        <w:t>ter land</w:t>
      </w:r>
      <w:r w:rsidR="00451CA8">
        <w:t>-use planning or disaster resistant water supply systems), reduce existing disaster risk (</w:t>
      </w:r>
      <w:r w:rsidR="00412E88">
        <w:t>e.g.</w:t>
      </w:r>
      <w:r w:rsidR="00451CA8">
        <w:t xml:space="preserve"> retrofitting critical infrastructure or relocation of exposed populations or assets) and manage residual risk (strengthen resilience of individuals and societies, including preparedness, response and recovery activities and a range of financing instruments such as contingency funds, insurance and social safety nets</w:t>
      </w:r>
      <w:r w:rsidR="00D619E6">
        <w:t>)</w:t>
      </w:r>
      <w:r w:rsidR="00F77BF3">
        <w:rPr>
          <w:rStyle w:val="apple-converted-space"/>
        </w:rPr>
        <w:t xml:space="preserve"> (UNISDR).</w:t>
      </w:r>
      <w:r w:rsidR="00D051C6">
        <w:rPr>
          <w:rStyle w:val="apple-converted-space"/>
        </w:rPr>
        <w:t xml:space="preserve"> </w:t>
      </w:r>
      <w:r w:rsidR="00D41D0A" w:rsidRPr="007C7BBD">
        <w:rPr>
          <w:rStyle w:val="apple-converted-space"/>
        </w:rPr>
        <w:t>The goal, or end result of DRM is disaster risk reduction</w:t>
      </w:r>
      <w:r w:rsidR="00D41D0A" w:rsidRPr="00F174E3">
        <w:rPr>
          <w:rStyle w:val="FootnoteReference"/>
        </w:rPr>
        <w:footnoteReference w:id="2"/>
      </w:r>
      <w:r w:rsidR="00D41D0A">
        <w:rPr>
          <w:rStyle w:val="apple-converted-space"/>
        </w:rPr>
        <w:t>.</w:t>
      </w:r>
    </w:p>
    <w:p w14:paraId="660B9DA4" w14:textId="22BCEC7C" w:rsidR="007D01B9" w:rsidRPr="00054AD5" w:rsidRDefault="006419E5" w:rsidP="007D01B9">
      <w:pPr>
        <w:pStyle w:val="BodyText"/>
        <w:rPr>
          <w:rFonts w:eastAsiaTheme="minorEastAsia"/>
          <w:szCs w:val="20"/>
        </w:rPr>
      </w:pPr>
      <w:r w:rsidRPr="00C00A2A">
        <w:rPr>
          <w:rFonts w:eastAsiaTheme="minorEastAsia"/>
          <w:b/>
          <w:bCs/>
          <w:szCs w:val="20"/>
        </w:rPr>
        <w:t xml:space="preserve">Disaster risk management </w:t>
      </w:r>
      <w:r w:rsidR="00054AD5">
        <w:rPr>
          <w:rFonts w:eastAsiaTheme="minorEastAsia"/>
          <w:b/>
          <w:bCs/>
          <w:szCs w:val="20"/>
        </w:rPr>
        <w:t xml:space="preserve">ecosystem: </w:t>
      </w:r>
      <w:r w:rsidR="00054AD5" w:rsidRPr="007C7BBD">
        <w:rPr>
          <w:rFonts w:eastAsiaTheme="minorEastAsia"/>
          <w:bCs/>
          <w:szCs w:val="20"/>
        </w:rPr>
        <w:t xml:space="preserve">A framework which </w:t>
      </w:r>
      <w:r w:rsidRPr="007C7BBD">
        <w:rPr>
          <w:rFonts w:eastAsiaTheme="minorEastAsia"/>
          <w:bCs/>
          <w:szCs w:val="20"/>
        </w:rPr>
        <w:t xml:space="preserve">promotes DRM as </w:t>
      </w:r>
      <w:r w:rsidR="00054AD5">
        <w:rPr>
          <w:rFonts w:eastAsiaTheme="minorEastAsia"/>
          <w:szCs w:val="20"/>
        </w:rPr>
        <w:t xml:space="preserve">a network of </w:t>
      </w:r>
      <w:r w:rsidRPr="00C00A2A">
        <w:rPr>
          <w:rFonts w:eastAsiaTheme="minorEastAsia"/>
          <w:szCs w:val="20"/>
        </w:rPr>
        <w:t xml:space="preserve">organisms that interact </w:t>
      </w:r>
      <w:r>
        <w:rPr>
          <w:rFonts w:eastAsiaTheme="minorEastAsia"/>
          <w:szCs w:val="20"/>
        </w:rPr>
        <w:t xml:space="preserve">in </w:t>
      </w:r>
      <w:r w:rsidRPr="00C00A2A">
        <w:rPr>
          <w:rFonts w:eastAsiaTheme="minorEastAsia"/>
          <w:szCs w:val="20"/>
        </w:rPr>
        <w:t xml:space="preserve">an ecosystem ranging from local to national </w:t>
      </w:r>
      <w:r w:rsidR="00054AD5">
        <w:rPr>
          <w:rFonts w:eastAsiaTheme="minorEastAsia"/>
          <w:szCs w:val="20"/>
        </w:rPr>
        <w:t xml:space="preserve">levels and across state and non-state actors, rather than a more conventional approach </w:t>
      </w:r>
      <w:r w:rsidR="00DD5D9E">
        <w:rPr>
          <w:rFonts w:eastAsiaTheme="minorEastAsia"/>
          <w:szCs w:val="20"/>
        </w:rPr>
        <w:t>centring</w:t>
      </w:r>
      <w:r w:rsidR="00054AD5">
        <w:rPr>
          <w:rFonts w:eastAsiaTheme="minorEastAsia"/>
          <w:szCs w:val="20"/>
        </w:rPr>
        <w:t xml:space="preserve"> on </w:t>
      </w:r>
      <w:r w:rsidRPr="00C00A2A">
        <w:rPr>
          <w:rFonts w:eastAsiaTheme="minorEastAsia"/>
          <w:szCs w:val="20"/>
        </w:rPr>
        <w:t>disaster management agencies.</w:t>
      </w:r>
      <w:r>
        <w:rPr>
          <w:rFonts w:eastAsiaTheme="minorEastAsia"/>
          <w:szCs w:val="20"/>
        </w:rPr>
        <w:t xml:space="preserve"> </w:t>
      </w:r>
      <w:r w:rsidRPr="00C00A2A">
        <w:rPr>
          <w:rFonts w:eastAsiaTheme="minorEastAsia"/>
          <w:szCs w:val="20"/>
        </w:rPr>
        <w:t xml:space="preserve">The ecosystems approach allows </w:t>
      </w:r>
      <w:r>
        <w:rPr>
          <w:rFonts w:eastAsiaTheme="minorEastAsia"/>
          <w:szCs w:val="20"/>
        </w:rPr>
        <w:t>policy makers</w:t>
      </w:r>
      <w:r w:rsidRPr="00C00A2A">
        <w:rPr>
          <w:rFonts w:eastAsiaTheme="minorEastAsia"/>
          <w:szCs w:val="20"/>
        </w:rPr>
        <w:t xml:space="preserve"> to view all stakeholders as </w:t>
      </w:r>
      <w:r w:rsidR="00054AD5">
        <w:rPr>
          <w:rFonts w:eastAsiaTheme="minorEastAsia"/>
          <w:szCs w:val="20"/>
        </w:rPr>
        <w:t xml:space="preserve">a </w:t>
      </w:r>
      <w:r w:rsidRPr="00C00A2A">
        <w:rPr>
          <w:rFonts w:eastAsiaTheme="minorEastAsia"/>
          <w:szCs w:val="20"/>
        </w:rPr>
        <w:t>connected system where e</w:t>
      </w:r>
      <w:r w:rsidR="00054AD5">
        <w:rPr>
          <w:rFonts w:eastAsiaTheme="minorEastAsia"/>
          <w:szCs w:val="20"/>
        </w:rPr>
        <w:t>ach</w:t>
      </w:r>
      <w:r w:rsidRPr="00C00A2A">
        <w:rPr>
          <w:rFonts w:eastAsiaTheme="minorEastAsia"/>
          <w:szCs w:val="20"/>
        </w:rPr>
        <w:t xml:space="preserve"> component</w:t>
      </w:r>
      <w:r>
        <w:rPr>
          <w:rFonts w:eastAsiaTheme="minorEastAsia"/>
          <w:szCs w:val="20"/>
        </w:rPr>
        <w:t xml:space="preserve"> interacts with other components. Every organism or organisation in that ecosystem has a role to play in reducing disaster risk</w:t>
      </w:r>
      <w:r w:rsidRPr="00C00A2A">
        <w:rPr>
          <w:rFonts w:eastAsiaTheme="minorEastAsia"/>
          <w:szCs w:val="20"/>
        </w:rPr>
        <w:t>. Government</w:t>
      </w:r>
      <w:r>
        <w:rPr>
          <w:rFonts w:eastAsiaTheme="minorEastAsia"/>
          <w:szCs w:val="20"/>
        </w:rPr>
        <w:t xml:space="preserve"> organisations and institutions</w:t>
      </w:r>
      <w:r w:rsidRPr="00C00A2A">
        <w:rPr>
          <w:rFonts w:eastAsiaTheme="minorEastAsia"/>
          <w:szCs w:val="20"/>
        </w:rPr>
        <w:t xml:space="preserve"> (such as relevant national ministries and disaster management authority</w:t>
      </w:r>
      <w:r>
        <w:rPr>
          <w:rFonts w:eastAsiaTheme="minorEastAsia"/>
          <w:szCs w:val="20"/>
        </w:rPr>
        <w:t>)</w:t>
      </w:r>
      <w:r w:rsidRPr="00C00A2A">
        <w:rPr>
          <w:rFonts w:eastAsiaTheme="minorEastAsia"/>
          <w:szCs w:val="20"/>
        </w:rPr>
        <w:t xml:space="preserve"> are equally important </w:t>
      </w:r>
      <w:r w:rsidR="00054AD5">
        <w:rPr>
          <w:rFonts w:eastAsiaTheme="minorEastAsia"/>
          <w:szCs w:val="20"/>
        </w:rPr>
        <w:t>as other</w:t>
      </w:r>
      <w:r w:rsidRPr="00C00A2A">
        <w:rPr>
          <w:rFonts w:eastAsiaTheme="minorEastAsia"/>
          <w:szCs w:val="20"/>
        </w:rPr>
        <w:t xml:space="preserve"> stakeholders </w:t>
      </w:r>
      <w:r>
        <w:rPr>
          <w:rFonts w:eastAsiaTheme="minorEastAsia"/>
          <w:szCs w:val="20"/>
        </w:rPr>
        <w:t xml:space="preserve">including civil society, </w:t>
      </w:r>
      <w:r w:rsidRPr="00C00A2A">
        <w:rPr>
          <w:rFonts w:eastAsiaTheme="minorEastAsia"/>
          <w:szCs w:val="20"/>
        </w:rPr>
        <w:t>sub-national governments</w:t>
      </w:r>
      <w:r w:rsidR="00054AD5">
        <w:rPr>
          <w:rFonts w:eastAsiaTheme="minorEastAsia"/>
          <w:szCs w:val="20"/>
        </w:rPr>
        <w:t>, the private sector</w:t>
      </w:r>
      <w:r w:rsidRPr="00C00A2A">
        <w:rPr>
          <w:rFonts w:eastAsiaTheme="minorEastAsia"/>
          <w:szCs w:val="20"/>
        </w:rPr>
        <w:t xml:space="preserve"> and other parties including international humanitarian communities. Ultimately, grassroots organisations are integral part of a DRM ecosystem</w:t>
      </w:r>
      <w:r w:rsidR="00D051C6">
        <w:rPr>
          <w:rFonts w:eastAsiaTheme="minorEastAsia"/>
          <w:szCs w:val="20"/>
        </w:rPr>
        <w:t>.</w:t>
      </w:r>
    </w:p>
    <w:p w14:paraId="25E938E8" w14:textId="73A4A1F6" w:rsidR="00054AD5" w:rsidRPr="00C00A2A" w:rsidRDefault="00054AD5" w:rsidP="00054AD5">
      <w:pPr>
        <w:rPr>
          <w:rFonts w:ascii="Calibri" w:eastAsia="Calibri" w:hAnsi="Calibri" w:cs="Calibri"/>
        </w:rPr>
      </w:pPr>
      <w:r w:rsidRPr="00753700">
        <w:rPr>
          <w:rFonts w:ascii="Calibri" w:eastAsia="Calibri" w:hAnsi="Calibri" w:cs="Calibri"/>
          <w:b/>
          <w:bCs/>
        </w:rPr>
        <w:t>Disaster risk reduction</w:t>
      </w:r>
      <w:r w:rsidR="00153EF2">
        <w:rPr>
          <w:rFonts w:ascii="Calibri" w:eastAsia="Calibri" w:hAnsi="Calibri" w:cs="Calibri"/>
          <w:b/>
          <w:bCs/>
        </w:rPr>
        <w:t xml:space="preserve"> (DRR):</w:t>
      </w:r>
      <w:r w:rsidRPr="00753700">
        <w:rPr>
          <w:rFonts w:ascii="Calibri" w:eastAsia="Calibri" w:hAnsi="Calibri" w:cs="Calibri"/>
          <w:b/>
          <w:bCs/>
        </w:rPr>
        <w:t xml:space="preserve"> </w:t>
      </w:r>
      <w:r w:rsidRPr="00753700">
        <w:rPr>
          <w:rFonts w:ascii="Calibri" w:eastAsia="Calibri" w:hAnsi="Calibri" w:cs="Calibri"/>
        </w:rPr>
        <w:t xml:space="preserve">is </w:t>
      </w:r>
      <w:r w:rsidR="00F77BF3">
        <w:rPr>
          <w:rFonts w:ascii="Calibri" w:eastAsia="Calibri" w:hAnsi="Calibri" w:cs="Calibri"/>
        </w:rPr>
        <w:t>the</w:t>
      </w:r>
      <w:r w:rsidRPr="00753700">
        <w:rPr>
          <w:rFonts w:ascii="Calibri" w:eastAsia="Calibri" w:hAnsi="Calibri" w:cs="Calibri"/>
        </w:rPr>
        <w:t xml:space="preserve"> policy objective</w:t>
      </w:r>
      <w:r w:rsidR="00F77BF3">
        <w:rPr>
          <w:rFonts w:ascii="Calibri" w:eastAsia="Calibri" w:hAnsi="Calibri" w:cs="Calibri"/>
        </w:rPr>
        <w:t xml:space="preserve"> or goal</w:t>
      </w:r>
      <w:r w:rsidRPr="00753700">
        <w:rPr>
          <w:rFonts w:ascii="Calibri" w:eastAsia="Calibri" w:hAnsi="Calibri" w:cs="Calibri"/>
        </w:rPr>
        <w:t xml:space="preserve"> of disaster ri</w:t>
      </w:r>
      <w:r w:rsidRPr="00852B3C">
        <w:rPr>
          <w:rFonts w:ascii="Calibri" w:eastAsia="Calibri" w:hAnsi="Calibri" w:cs="Calibri"/>
        </w:rPr>
        <w:t>sk management, and its goals and objectives are defined in disaster risk reduction strategies and plans</w:t>
      </w:r>
      <w:r>
        <w:rPr>
          <w:rFonts w:ascii="Calibri" w:eastAsia="Calibri" w:hAnsi="Calibri" w:cs="Calibri"/>
        </w:rPr>
        <w:t xml:space="preserve"> which aim to prevent new and reduce</w:t>
      </w:r>
      <w:r w:rsidRPr="00852B3C">
        <w:rPr>
          <w:rFonts w:ascii="Calibri" w:eastAsia="Calibri" w:hAnsi="Calibri" w:cs="Calibri"/>
        </w:rPr>
        <w:t xml:space="preserve"> existing disaster risk and managing residual risk, all of which contribute to strengthening resilience and therefore to the achievement of sustainable development</w:t>
      </w:r>
      <w:r w:rsidR="00D051C6">
        <w:rPr>
          <w:rFonts w:ascii="Calibri" w:eastAsia="Calibri" w:hAnsi="Calibri" w:cs="Calibri"/>
        </w:rPr>
        <w:t xml:space="preserve"> (UNISDR).</w:t>
      </w:r>
    </w:p>
    <w:p w14:paraId="6EFCEE7F" w14:textId="0DE6606B" w:rsidR="007D01B9" w:rsidRPr="00E15CDB" w:rsidRDefault="007D01B9" w:rsidP="007D01B9">
      <w:pPr>
        <w:pStyle w:val="BodyText"/>
      </w:pPr>
      <w:r w:rsidRPr="00E15CDB">
        <w:rPr>
          <w:b/>
        </w:rPr>
        <w:t>Early warning system</w:t>
      </w:r>
      <w:r w:rsidR="00153EF2">
        <w:rPr>
          <w:b/>
        </w:rPr>
        <w:t xml:space="preserve"> (EWS)</w:t>
      </w:r>
      <w:r w:rsidRPr="00E15CDB">
        <w:rPr>
          <w:b/>
        </w:rPr>
        <w:t>:</w:t>
      </w:r>
      <w:r w:rsidRPr="00E15CDB">
        <w:t xml:space="preserve"> an integrated system of hazard monitoring, forecasting and prediction, disaster risk assessment, communication and preparedness activities systems and processes that enables individuals, communities, governments, businesses and others to take timely action to reduce disaster risks in advance of hazardous events</w:t>
      </w:r>
      <w:r w:rsidR="00D051C6">
        <w:t xml:space="preserve"> (UNISDR).</w:t>
      </w:r>
    </w:p>
    <w:p w14:paraId="46084E14" w14:textId="5A0D9AB2" w:rsidR="00054AD5" w:rsidRDefault="00054AD5" w:rsidP="00054AD5">
      <w:r w:rsidRPr="00054AD5">
        <w:rPr>
          <w:rFonts w:ascii="Calibri" w:eastAsia="Calibri" w:hAnsi="Calibri" w:cs="Calibri"/>
          <w:b/>
          <w:bCs/>
        </w:rPr>
        <w:t xml:space="preserve">Hazard: </w:t>
      </w:r>
      <w:r w:rsidRPr="007C7BBD">
        <w:rPr>
          <w:rFonts w:ascii="Calibri" w:eastAsia="Calibri" w:hAnsi="Calibri" w:cs="Calibri"/>
          <w:bCs/>
        </w:rPr>
        <w:t>a</w:t>
      </w:r>
      <w:r w:rsidRPr="00054AD5">
        <w:rPr>
          <w:rFonts w:ascii="Calibri" w:eastAsia="Calibri" w:hAnsi="Calibri" w:cs="Calibri"/>
        </w:rPr>
        <w:t xml:space="preserve"> process, phenomenon or human activity that may cause loss of life, injury or other health impacts, property damage, social and economic disruption or environmental degradation. Hazards may be natural, anthropogenic or socio</w:t>
      </w:r>
      <w:r w:rsidR="00A43F2C">
        <w:rPr>
          <w:rFonts w:ascii="Calibri" w:eastAsia="Calibri" w:hAnsi="Calibri" w:cs="Calibri"/>
        </w:rPr>
        <w:t>-</w:t>
      </w:r>
      <w:r w:rsidRPr="00054AD5">
        <w:rPr>
          <w:rFonts w:ascii="Calibri" w:eastAsia="Calibri" w:hAnsi="Calibri" w:cs="Calibri"/>
        </w:rPr>
        <w:t>natural in origin. Natural hazards are predominantly associated with natural processes and phenomena (such as earthquakes and cyclones). Anthropogenic hazards, or human-induced hazards, are induced entirely or predominantly by human activities and choices (floods and landslides can be categorised as anthropogenic hazards)</w:t>
      </w:r>
      <w:r w:rsidR="00D051C6">
        <w:rPr>
          <w:rFonts w:ascii="Calibri" w:eastAsia="Calibri" w:hAnsi="Calibri" w:cs="Calibri"/>
        </w:rPr>
        <w:t xml:space="preserve"> (UNISDR).</w:t>
      </w:r>
    </w:p>
    <w:p w14:paraId="34507805" w14:textId="56F496D9" w:rsidR="00054AD5" w:rsidRDefault="00054AD5" w:rsidP="00054AD5">
      <w:r w:rsidRPr="00054AD5">
        <w:rPr>
          <w:b/>
          <w:bCs/>
          <w:lang w:val="en-SG"/>
        </w:rPr>
        <w:t xml:space="preserve">Resilience: </w:t>
      </w:r>
      <w:r w:rsidRPr="00054AD5">
        <w:rPr>
          <w:lang w:val="en-SG"/>
        </w:rPr>
        <w:t>The ability of a system, community or society exposed to hazards to resist, absorb, accommodate, adapt to, transform and recover from the effects of a natural hazard (earthquake and/or tsunami) in a timely and efficient manner, including through the preservation and restoration of its essential basic structures and functions through risk management</w:t>
      </w:r>
      <w:r w:rsidR="00C2264B">
        <w:rPr>
          <w:lang w:val="en-SG"/>
        </w:rPr>
        <w:t xml:space="preserve"> (UNISDR)</w:t>
      </w:r>
      <w:r w:rsidR="008D1773">
        <w:rPr>
          <w:lang w:val="en-SG"/>
        </w:rPr>
        <w:t>.</w:t>
      </w:r>
    </w:p>
    <w:p w14:paraId="785662FD" w14:textId="77777777" w:rsidR="007D01B9" w:rsidRDefault="007D01B9" w:rsidP="007D01B9"/>
    <w:p w14:paraId="252070A2" w14:textId="77777777" w:rsidR="007D01B9" w:rsidRPr="00C62BCB" w:rsidRDefault="007D01B9" w:rsidP="007D01B9">
      <w:pPr>
        <w:pStyle w:val="NormalWeb"/>
        <w:spacing w:before="0" w:beforeAutospacing="0" w:after="0" w:afterAutospacing="0"/>
        <w:rPr>
          <w:rFonts w:ascii="Arial" w:hAnsi="Arial" w:cs="Arial"/>
          <w:b/>
          <w:bCs/>
          <w:sz w:val="22"/>
        </w:rPr>
      </w:pPr>
    </w:p>
    <w:p w14:paraId="688DBFE8" w14:textId="77777777" w:rsidR="007D01B9" w:rsidRPr="00C62BCB" w:rsidRDefault="007D01B9" w:rsidP="007D01B9">
      <w:pPr>
        <w:pStyle w:val="NormalWeb"/>
        <w:spacing w:before="0" w:beforeAutospacing="0" w:after="0" w:afterAutospacing="0"/>
        <w:rPr>
          <w:rFonts w:ascii="Arial" w:hAnsi="Arial" w:cs="Arial"/>
          <w:color w:val="000000"/>
          <w:sz w:val="22"/>
        </w:rPr>
      </w:pPr>
    </w:p>
    <w:p w14:paraId="210804F2" w14:textId="0E090DE6" w:rsidR="007D01B9" w:rsidRPr="00971E71" w:rsidRDefault="007D01B9" w:rsidP="00971E71">
      <w:pPr>
        <w:spacing w:before="0" w:after="0" w:line="0" w:lineRule="atLeast"/>
        <w:rPr>
          <w:rFonts w:ascii="Arial" w:hAnsi="Arial" w:cs="Arial"/>
          <w:sz w:val="2"/>
          <w:szCs w:val="2"/>
        </w:rPr>
      </w:pPr>
    </w:p>
    <w:tbl>
      <w:tblPr>
        <w:tblpPr w:leftFromText="180" w:rightFromText="180" w:bottomFromText="16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18065A" w:rsidRPr="003F0C80" w14:paraId="0BA0C180" w14:textId="77777777" w:rsidTr="00BE130B">
        <w:trPr>
          <w:cantSplit/>
          <w:trHeight w:val="289"/>
        </w:trPr>
        <w:tc>
          <w:tcPr>
            <w:tcW w:w="9838" w:type="dxa"/>
            <w:tcBorders>
              <w:top w:val="single" w:sz="4" w:space="0" w:color="808080"/>
              <w:left w:val="single" w:sz="4" w:space="0" w:color="808080"/>
              <w:bottom w:val="single" w:sz="4" w:space="0" w:color="808080"/>
              <w:right w:val="single" w:sz="4" w:space="0" w:color="808080"/>
            </w:tcBorders>
            <w:shd w:val="clear" w:color="auto" w:fill="B4C6E7" w:themeFill="accent1" w:themeFillTint="66"/>
            <w:hideMark/>
          </w:tcPr>
          <w:p w14:paraId="18804341" w14:textId="547FE686" w:rsidR="0018065A" w:rsidRPr="003F0C80" w:rsidRDefault="0018065A" w:rsidP="00BE130B">
            <w:pPr>
              <w:pStyle w:val="BodyText"/>
              <w:rPr>
                <w:rFonts w:asciiTheme="majorHAnsi" w:hAnsiTheme="majorHAnsi"/>
                <w:b/>
                <w:i/>
              </w:rPr>
            </w:pPr>
            <w:r w:rsidRPr="003F0C80">
              <w:rPr>
                <w:rFonts w:asciiTheme="majorHAnsi" w:hAnsiTheme="majorHAnsi"/>
                <w:b/>
              </w:rPr>
              <w:t>Investment Design Title:</w:t>
            </w:r>
            <w:r>
              <w:rPr>
                <w:rFonts w:asciiTheme="majorHAnsi" w:hAnsiTheme="majorHAnsi"/>
                <w:b/>
              </w:rPr>
              <w:t xml:space="preserve"> Australia Indonesia Partnership in Disaster Risk Management</w:t>
            </w:r>
          </w:p>
        </w:tc>
      </w:tr>
      <w:tr w:rsidR="0018065A" w:rsidRPr="003F0C80" w14:paraId="7EBF3B8D" w14:textId="77777777" w:rsidTr="00BE130B">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Mar>
              <w:top w:w="28" w:type="dxa"/>
              <w:left w:w="108" w:type="dxa"/>
              <w:bottom w:w="28" w:type="dxa"/>
              <w:right w:w="108" w:type="dxa"/>
            </w:tcMar>
            <w:hideMark/>
          </w:tcPr>
          <w:p w14:paraId="312BF769" w14:textId="1D328816" w:rsidR="0018065A" w:rsidRPr="003F0C80" w:rsidRDefault="0018065A" w:rsidP="00BE130B">
            <w:pPr>
              <w:pStyle w:val="BodyText"/>
              <w:rPr>
                <w:rFonts w:asciiTheme="majorHAnsi" w:hAnsiTheme="majorHAnsi"/>
                <w:b/>
              </w:rPr>
            </w:pPr>
            <w:r w:rsidRPr="003F0C80">
              <w:rPr>
                <w:rFonts w:asciiTheme="majorHAnsi" w:hAnsiTheme="majorHAnsi"/>
                <w:b/>
              </w:rPr>
              <w:t>Start date:</w:t>
            </w:r>
            <w:r>
              <w:rPr>
                <w:rFonts w:asciiTheme="majorHAnsi" w:hAnsiTheme="majorHAnsi"/>
                <w:b/>
              </w:rPr>
              <w:t xml:space="preserve"> </w:t>
            </w:r>
            <w:r w:rsidRPr="00D70CF4">
              <w:rPr>
                <w:rFonts w:asciiTheme="majorHAnsi" w:hAnsiTheme="majorHAnsi"/>
              </w:rPr>
              <w:t>March 2019</w:t>
            </w:r>
            <w:r w:rsidRPr="003F0C80">
              <w:rPr>
                <w:rFonts w:asciiTheme="majorHAnsi" w:hAnsiTheme="majorHAnsi"/>
                <w:b/>
              </w:rPr>
              <w:tab/>
            </w:r>
            <w:r w:rsidRPr="003F0C80">
              <w:rPr>
                <w:rFonts w:asciiTheme="majorHAnsi" w:hAnsiTheme="majorHAnsi"/>
                <w:b/>
              </w:rPr>
              <w:tab/>
              <w:t xml:space="preserve">End Date: </w:t>
            </w:r>
            <w:r w:rsidRPr="00D70CF4">
              <w:rPr>
                <w:rFonts w:asciiTheme="majorHAnsi" w:hAnsiTheme="majorHAnsi"/>
              </w:rPr>
              <w:t>March 2024</w:t>
            </w:r>
          </w:p>
        </w:tc>
      </w:tr>
      <w:tr w:rsidR="0018065A" w:rsidRPr="003F0C80" w14:paraId="3E2EE201" w14:textId="77777777" w:rsidTr="00BE130B">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Mar>
              <w:top w:w="28" w:type="dxa"/>
              <w:left w:w="108" w:type="dxa"/>
              <w:bottom w:w="28" w:type="dxa"/>
              <w:right w:w="108" w:type="dxa"/>
            </w:tcMar>
            <w:hideMark/>
          </w:tcPr>
          <w:p w14:paraId="095C8A36" w14:textId="781AD1F5" w:rsidR="0018065A" w:rsidRPr="003F0C80" w:rsidRDefault="0018065A" w:rsidP="007A1D4C">
            <w:pPr>
              <w:pStyle w:val="BodyText"/>
              <w:rPr>
                <w:rFonts w:asciiTheme="majorHAnsi" w:hAnsiTheme="majorHAnsi"/>
                <w:b/>
              </w:rPr>
            </w:pPr>
            <w:r w:rsidRPr="003F0C80">
              <w:rPr>
                <w:rFonts w:asciiTheme="majorHAnsi" w:hAnsiTheme="majorHAnsi"/>
                <w:b/>
              </w:rPr>
              <w:t xml:space="preserve">Total proposed funding allocation: </w:t>
            </w:r>
            <w:r w:rsidRPr="003F0C80">
              <w:rPr>
                <w:rFonts w:asciiTheme="majorHAnsi" w:hAnsiTheme="majorHAnsi"/>
              </w:rPr>
              <w:t>$</w:t>
            </w:r>
            <w:r w:rsidRPr="00D70CF4">
              <w:rPr>
                <w:rFonts w:asciiTheme="majorHAnsi" w:hAnsiTheme="majorHAnsi"/>
              </w:rPr>
              <w:t xml:space="preserve">25million </w:t>
            </w:r>
          </w:p>
        </w:tc>
      </w:tr>
      <w:tr w:rsidR="0018065A" w:rsidRPr="003F0C80" w14:paraId="69EA34E6" w14:textId="77777777" w:rsidTr="00BE130B">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Mar>
              <w:top w:w="28" w:type="dxa"/>
              <w:left w:w="108" w:type="dxa"/>
              <w:bottom w:w="28" w:type="dxa"/>
              <w:right w:w="108" w:type="dxa"/>
            </w:tcMar>
            <w:hideMark/>
          </w:tcPr>
          <w:p w14:paraId="27A11688" w14:textId="75A63979" w:rsidR="0018065A" w:rsidRPr="003F0C80" w:rsidRDefault="0018065A" w:rsidP="007A1D4C">
            <w:pPr>
              <w:pStyle w:val="BodyText"/>
              <w:rPr>
                <w:rFonts w:asciiTheme="majorHAnsi" w:hAnsiTheme="majorHAnsi"/>
                <w:b/>
              </w:rPr>
            </w:pPr>
            <w:r w:rsidRPr="003F0C80">
              <w:rPr>
                <w:rFonts w:asciiTheme="majorHAnsi" w:hAnsiTheme="majorHAnsi"/>
                <w:b/>
              </w:rPr>
              <w:t xml:space="preserve">Investment Concept (IC) approved by: </w:t>
            </w:r>
            <w:r w:rsidRPr="00D70CF4">
              <w:rPr>
                <w:rFonts w:asciiTheme="majorHAnsi" w:hAnsiTheme="majorHAnsi"/>
              </w:rPr>
              <w:t>Fleur Davies and</w:t>
            </w:r>
            <w:r>
              <w:rPr>
                <w:rFonts w:asciiTheme="majorHAnsi" w:hAnsiTheme="majorHAnsi"/>
                <w:b/>
              </w:rPr>
              <w:t xml:space="preserve"> </w:t>
            </w:r>
            <w:r w:rsidR="00FA1F22" w:rsidRPr="00D70CF4">
              <w:rPr>
                <w:rFonts w:asciiTheme="majorHAnsi" w:hAnsiTheme="majorHAnsi"/>
              </w:rPr>
              <w:t>Jeremy Bruer</w:t>
            </w:r>
            <w:r w:rsidRPr="003F0C80">
              <w:rPr>
                <w:rFonts w:asciiTheme="majorHAnsi" w:hAnsiTheme="majorHAnsi"/>
                <w:b/>
              </w:rPr>
              <w:t xml:space="preserve">                                      IC Endorsed by AIC: </w:t>
            </w:r>
            <w:r w:rsidRPr="003F0C80">
              <w:rPr>
                <w:rFonts w:asciiTheme="majorHAnsi" w:hAnsiTheme="majorHAnsi"/>
              </w:rPr>
              <w:t>NA</w:t>
            </w:r>
          </w:p>
        </w:tc>
      </w:tr>
      <w:tr w:rsidR="0018065A" w:rsidRPr="003F0C80" w14:paraId="600C04AE" w14:textId="77777777" w:rsidTr="00BE130B">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Mar>
              <w:top w:w="28" w:type="dxa"/>
              <w:left w:w="108" w:type="dxa"/>
              <w:bottom w:w="28" w:type="dxa"/>
              <w:right w:w="108" w:type="dxa"/>
            </w:tcMar>
            <w:hideMark/>
          </w:tcPr>
          <w:p w14:paraId="58FC3F0F" w14:textId="48899D9B" w:rsidR="0018065A" w:rsidRPr="00D70CF4" w:rsidRDefault="0018065A" w:rsidP="007A1D4C">
            <w:pPr>
              <w:pStyle w:val="BodyText"/>
              <w:rPr>
                <w:rFonts w:asciiTheme="majorHAnsi" w:hAnsiTheme="majorHAnsi"/>
              </w:rPr>
            </w:pPr>
            <w:r w:rsidRPr="003F0C80">
              <w:rPr>
                <w:rFonts w:asciiTheme="majorHAnsi" w:hAnsiTheme="majorHAnsi"/>
                <w:b/>
              </w:rPr>
              <w:t xml:space="preserve">Quality Assurance (QA) Completed: </w:t>
            </w:r>
            <w:r>
              <w:rPr>
                <w:rFonts w:asciiTheme="majorHAnsi" w:hAnsiTheme="majorHAnsi"/>
              </w:rPr>
              <w:t>Independent Appraisal</w:t>
            </w:r>
          </w:p>
        </w:tc>
      </w:tr>
      <w:tr w:rsidR="0018065A" w:rsidRPr="003F0C80" w14:paraId="048498BC" w14:textId="77777777" w:rsidTr="00BE130B">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Mar>
              <w:top w:w="28" w:type="dxa"/>
              <w:left w:w="108" w:type="dxa"/>
              <w:bottom w:w="28" w:type="dxa"/>
              <w:right w:w="108" w:type="dxa"/>
            </w:tcMar>
          </w:tcPr>
          <w:p w14:paraId="481C6612" w14:textId="4D21FE7C" w:rsidR="0018065A" w:rsidRPr="003F0C80" w:rsidRDefault="0018065A" w:rsidP="007A1D4C">
            <w:pPr>
              <w:pStyle w:val="BodyText"/>
              <w:rPr>
                <w:rFonts w:asciiTheme="majorHAnsi" w:hAnsiTheme="majorHAnsi"/>
                <w:b/>
              </w:rPr>
            </w:pPr>
            <w:r w:rsidRPr="003F0C80">
              <w:rPr>
                <w:rFonts w:asciiTheme="majorHAnsi" w:hAnsiTheme="majorHAnsi"/>
                <w:b/>
              </w:rPr>
              <w:t xml:space="preserve">Delegate approving design at post: </w:t>
            </w:r>
            <w:r>
              <w:rPr>
                <w:rFonts w:asciiTheme="majorHAnsi" w:hAnsiTheme="majorHAnsi"/>
              </w:rPr>
              <w:t>Fleur Davies</w:t>
            </w:r>
            <w:r w:rsidRPr="003F0C80">
              <w:rPr>
                <w:rFonts w:asciiTheme="majorHAnsi" w:hAnsiTheme="majorHAnsi"/>
                <w:b/>
              </w:rPr>
              <w:tab/>
              <w:t xml:space="preserve">                                       </w:t>
            </w:r>
          </w:p>
        </w:tc>
      </w:tr>
      <w:tr w:rsidR="0018065A" w:rsidRPr="003F0C80" w14:paraId="613D4670" w14:textId="77777777" w:rsidTr="00BE130B">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Mar>
              <w:top w:w="28" w:type="dxa"/>
              <w:left w:w="108" w:type="dxa"/>
              <w:bottom w:w="28" w:type="dxa"/>
              <w:right w:w="108" w:type="dxa"/>
            </w:tcMar>
          </w:tcPr>
          <w:p w14:paraId="6DE40FC1" w14:textId="5DB5D548" w:rsidR="0018065A" w:rsidRPr="003F0C80" w:rsidRDefault="0018065A" w:rsidP="007A1D4C">
            <w:pPr>
              <w:pStyle w:val="BodyText"/>
              <w:rPr>
                <w:rFonts w:asciiTheme="majorHAnsi" w:hAnsiTheme="majorHAnsi"/>
                <w:b/>
              </w:rPr>
            </w:pPr>
            <w:r w:rsidRPr="003F0C80">
              <w:rPr>
                <w:rFonts w:asciiTheme="majorHAnsi" w:hAnsiTheme="majorHAnsi"/>
                <w:b/>
              </w:rPr>
              <w:t xml:space="preserve">Delegate approving design at desk/in Canberra: </w:t>
            </w:r>
            <w:r>
              <w:rPr>
                <w:rFonts w:asciiTheme="majorHAnsi" w:hAnsiTheme="majorHAnsi"/>
              </w:rPr>
              <w:t xml:space="preserve">Tom Connor </w:t>
            </w:r>
            <w:r w:rsidRPr="003F0C80">
              <w:rPr>
                <w:rFonts w:asciiTheme="majorHAnsi" w:hAnsiTheme="majorHAnsi"/>
                <w:b/>
              </w:rPr>
              <w:tab/>
              <w:t xml:space="preserve">                                       </w:t>
            </w:r>
          </w:p>
        </w:tc>
      </w:tr>
    </w:tbl>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7D01B9" w:rsidRPr="0072601F" w14:paraId="52F380F4" w14:textId="77777777" w:rsidTr="00A43F2C">
        <w:trPr>
          <w:cantSplit/>
          <w:trHeight w:val="289"/>
        </w:trPr>
        <w:tc>
          <w:tcPr>
            <w:tcW w:w="9838" w:type="dxa"/>
            <w:tcBorders>
              <w:top w:val="nil"/>
              <w:bottom w:val="single" w:sz="4" w:space="0" w:color="808080"/>
            </w:tcBorders>
            <w:shd w:val="clear" w:color="auto" w:fill="B4C6E7" w:themeFill="accent1" w:themeFillTint="66"/>
          </w:tcPr>
          <w:p w14:paraId="1F2B15E4" w14:textId="565C6601" w:rsidR="007D01B9" w:rsidRPr="00102F45" w:rsidRDefault="007D01B9" w:rsidP="007A1D4C">
            <w:pPr>
              <w:pStyle w:val="BodyText"/>
              <w:rPr>
                <w:rFonts w:asciiTheme="majorHAnsi" w:hAnsiTheme="majorHAnsi"/>
                <w:b/>
              </w:rPr>
            </w:pPr>
            <w:r>
              <w:rPr>
                <w:rFonts w:asciiTheme="majorHAnsi" w:hAnsiTheme="majorHAnsi"/>
                <w:b/>
              </w:rPr>
              <w:t xml:space="preserve">A: </w:t>
            </w:r>
            <w:r w:rsidRPr="0072601F">
              <w:rPr>
                <w:rFonts w:asciiTheme="majorHAnsi" w:hAnsiTheme="majorHAnsi"/>
                <w:b/>
              </w:rPr>
              <w:t>Investment Design Title</w:t>
            </w:r>
            <w:r w:rsidR="00A43F2C">
              <w:rPr>
                <w:rFonts w:asciiTheme="majorHAnsi" w:hAnsiTheme="majorHAnsi"/>
                <w:b/>
              </w:rPr>
              <w:t xml:space="preserve">: </w:t>
            </w:r>
            <w:r w:rsidR="000C726C">
              <w:rPr>
                <w:rFonts w:asciiTheme="majorHAnsi" w:hAnsiTheme="majorHAnsi"/>
                <w:b/>
              </w:rPr>
              <w:t xml:space="preserve">Australia Indonesia Partnership in Disaster Risk Management </w:t>
            </w:r>
          </w:p>
        </w:tc>
      </w:tr>
      <w:tr w:rsidR="007D01B9" w:rsidRPr="0072601F" w14:paraId="373F30B6" w14:textId="77777777" w:rsidTr="006F2D06">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62A6E229" w14:textId="5F7B5DEB" w:rsidR="007D01B9" w:rsidRPr="0072601F" w:rsidRDefault="00A43F2C" w:rsidP="00F174E3">
            <w:pPr>
              <w:pStyle w:val="BodyText"/>
              <w:rPr>
                <w:rFonts w:asciiTheme="majorHAnsi" w:hAnsiTheme="majorHAnsi"/>
                <w:b/>
              </w:rPr>
            </w:pPr>
            <w:r>
              <w:rPr>
                <w:rFonts w:asciiTheme="majorHAnsi" w:hAnsiTheme="majorHAnsi"/>
                <w:b/>
              </w:rPr>
              <w:t xml:space="preserve">Start date: </w:t>
            </w:r>
            <w:r w:rsidR="00153EF2">
              <w:rPr>
                <w:rFonts w:asciiTheme="majorHAnsi" w:hAnsiTheme="majorHAnsi"/>
                <w:b/>
              </w:rPr>
              <w:t xml:space="preserve">March </w:t>
            </w:r>
            <w:r w:rsidR="007D01B9">
              <w:rPr>
                <w:rFonts w:asciiTheme="majorHAnsi" w:hAnsiTheme="majorHAnsi"/>
                <w:b/>
              </w:rPr>
              <w:t>2019</w:t>
            </w:r>
            <w:r w:rsidR="007D01B9" w:rsidRPr="0072601F">
              <w:rPr>
                <w:rFonts w:asciiTheme="majorHAnsi" w:hAnsiTheme="majorHAnsi"/>
                <w:b/>
              </w:rPr>
              <w:tab/>
            </w:r>
            <w:r>
              <w:rPr>
                <w:rFonts w:asciiTheme="majorHAnsi" w:hAnsiTheme="majorHAnsi"/>
                <w:b/>
              </w:rPr>
              <w:t xml:space="preserve">                                                                 </w:t>
            </w:r>
            <w:r w:rsidR="007D01B9" w:rsidRPr="0072601F">
              <w:rPr>
                <w:rFonts w:asciiTheme="majorHAnsi" w:hAnsiTheme="majorHAnsi"/>
                <w:b/>
              </w:rPr>
              <w:t xml:space="preserve">End Date: </w:t>
            </w:r>
            <w:r w:rsidR="007D01B9">
              <w:rPr>
                <w:rFonts w:asciiTheme="majorHAnsi" w:hAnsiTheme="majorHAnsi"/>
                <w:b/>
              </w:rPr>
              <w:t xml:space="preserve"> </w:t>
            </w:r>
            <w:r w:rsidR="00153EF2">
              <w:rPr>
                <w:rFonts w:asciiTheme="majorHAnsi" w:hAnsiTheme="majorHAnsi"/>
                <w:b/>
              </w:rPr>
              <w:t xml:space="preserve">March </w:t>
            </w:r>
            <w:r w:rsidR="007D01B9">
              <w:rPr>
                <w:rFonts w:asciiTheme="majorHAnsi" w:hAnsiTheme="majorHAnsi"/>
                <w:b/>
              </w:rPr>
              <w:t>202</w:t>
            </w:r>
            <w:r w:rsidR="00153EF2">
              <w:rPr>
                <w:rFonts w:asciiTheme="majorHAnsi" w:hAnsiTheme="majorHAnsi"/>
                <w:b/>
              </w:rPr>
              <w:t>4</w:t>
            </w:r>
          </w:p>
        </w:tc>
      </w:tr>
      <w:tr w:rsidR="007D01B9" w:rsidRPr="0072601F" w14:paraId="43EA217F" w14:textId="77777777" w:rsidTr="006F2D06">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0E3C8C96" w14:textId="7BAB2EEF" w:rsidR="007D01B9" w:rsidRPr="0072601F" w:rsidRDefault="007D01B9" w:rsidP="007A1D4C">
            <w:pPr>
              <w:pStyle w:val="BodyText"/>
              <w:rPr>
                <w:rFonts w:asciiTheme="majorHAnsi" w:hAnsiTheme="majorHAnsi"/>
                <w:b/>
              </w:rPr>
            </w:pPr>
            <w:r w:rsidRPr="0072601F">
              <w:rPr>
                <w:rFonts w:asciiTheme="majorHAnsi" w:hAnsiTheme="majorHAnsi"/>
                <w:b/>
              </w:rPr>
              <w:t xml:space="preserve">Total proposed funding allocation: </w:t>
            </w:r>
          </w:p>
        </w:tc>
      </w:tr>
    </w:tbl>
    <w:tbl>
      <w:tblPr>
        <w:tblW w:w="9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7D01B9" w:rsidRPr="0072601F" w14:paraId="17A005BF" w14:textId="77777777" w:rsidTr="006F2D06">
        <w:trPr>
          <w:cantSplit/>
          <w:trHeight w:val="360"/>
          <w:jc w:val="center"/>
        </w:trPr>
        <w:tc>
          <w:tcPr>
            <w:tcW w:w="9838" w:type="dxa"/>
            <w:shd w:val="clear" w:color="auto" w:fill="B4C6E7" w:themeFill="accent1" w:themeFillTint="66"/>
          </w:tcPr>
          <w:p w14:paraId="285D1FF7" w14:textId="79B65A12" w:rsidR="007D01B9" w:rsidRPr="0072601F" w:rsidRDefault="007D01B9" w:rsidP="006F2D06">
            <w:pPr>
              <w:pStyle w:val="Heading2"/>
            </w:pPr>
            <w:r w:rsidRPr="0072601F">
              <w:br w:type="page"/>
            </w:r>
            <w:bookmarkStart w:id="15" w:name="_Toc514853172"/>
            <w:bookmarkStart w:id="16" w:name="_Toc525550760"/>
            <w:r w:rsidR="006E3D3D">
              <w:t xml:space="preserve">B:  </w:t>
            </w:r>
            <w:r w:rsidRPr="0072601F">
              <w:t>Executive Summary</w:t>
            </w:r>
            <w:bookmarkEnd w:id="15"/>
            <w:bookmarkEnd w:id="16"/>
            <w:r w:rsidRPr="0072601F">
              <w:t xml:space="preserve"> </w:t>
            </w:r>
          </w:p>
        </w:tc>
      </w:tr>
    </w:tbl>
    <w:p w14:paraId="3468762A" w14:textId="15263477" w:rsidR="00217CD2" w:rsidRPr="007C7BBD" w:rsidRDefault="00164471" w:rsidP="00D70CF4">
      <w:pPr>
        <w:rPr>
          <w:i/>
        </w:rPr>
      </w:pPr>
      <w:r>
        <w:t xml:space="preserve">Preventing, reducing and managing disaster risks can protect economies from unexpected shocks, safeguard assets and infrastructure to help rapid economic and social recovery, and protect human capital from loss of life, injury and long-term vulnerability. </w:t>
      </w:r>
      <w:r w:rsidR="002F5AC3">
        <w:t xml:space="preserve">Indonesia faces high </w:t>
      </w:r>
      <w:r w:rsidR="005E4347">
        <w:t xml:space="preserve">levels of disaster risk </w:t>
      </w:r>
      <w:r w:rsidR="002F5AC3">
        <w:t xml:space="preserve">with </w:t>
      </w:r>
      <w:r w:rsidR="006C43BA">
        <w:t xml:space="preserve">approximately </w:t>
      </w:r>
      <w:r w:rsidR="002F5AC3">
        <w:t xml:space="preserve">90% of </w:t>
      </w:r>
      <w:r w:rsidR="00DF7F1C">
        <w:t xml:space="preserve">the population </w:t>
      </w:r>
      <w:r>
        <w:t xml:space="preserve">of 262 million </w:t>
      </w:r>
      <w:r w:rsidR="002F5AC3">
        <w:t xml:space="preserve">exposed to a range of hazards including earthquakes, flooding, tsunami, volcanoes, forest fire, drought, epidemics and disease outbreaks. </w:t>
      </w:r>
    </w:p>
    <w:p w14:paraId="155D2B17" w14:textId="3E31F8DA" w:rsidR="00153EF2" w:rsidRPr="007C7BBD" w:rsidRDefault="00153EF2" w:rsidP="00225D8F">
      <w:pPr>
        <w:pStyle w:val="BodyText"/>
      </w:pPr>
      <w:r w:rsidRPr="00F174E3">
        <w:t>D</w:t>
      </w:r>
      <w:r w:rsidR="00CE20DF">
        <w:t xml:space="preserve">isaster </w:t>
      </w:r>
      <w:r w:rsidR="00B52F79">
        <w:t>r</w:t>
      </w:r>
      <w:r w:rsidR="00CE20DF">
        <w:t xml:space="preserve">isk </w:t>
      </w:r>
      <w:r w:rsidR="00B52F79">
        <w:t>m</w:t>
      </w:r>
      <w:r w:rsidR="00CE20DF">
        <w:t>anagement (D</w:t>
      </w:r>
      <w:r w:rsidRPr="00F174E3">
        <w:t>RM</w:t>
      </w:r>
      <w:r w:rsidR="00CE20DF">
        <w:t>)</w:t>
      </w:r>
      <w:r w:rsidRPr="00F174E3">
        <w:t xml:space="preserve"> is an </w:t>
      </w:r>
      <w:r w:rsidRPr="007C7BBD">
        <w:t>Indonesian national development priority</w:t>
      </w:r>
      <w:r w:rsidRPr="00F174E3">
        <w:t xml:space="preserve">, a shared responsibility across all levels of government, civil society organisations (CSOs), universities, media, the private sector and communities. </w:t>
      </w:r>
      <w:r w:rsidRPr="007C7BBD">
        <w:t xml:space="preserve">Indonesia has an active </w:t>
      </w:r>
      <w:r w:rsidR="00D41D0A">
        <w:t xml:space="preserve">DRM </w:t>
      </w:r>
      <w:r w:rsidRPr="007C7BBD">
        <w:t>“ecosystem” with a large range of state and non-state stakeholders engaged in disaster response as well as preventing and reducing risk. These stakeholders</w:t>
      </w:r>
      <w:r w:rsidR="00DD7190">
        <w:t>, including the Ministry of Foreign Affairs (MoFA),</w:t>
      </w:r>
      <w:r w:rsidRPr="007C7BBD">
        <w:t xml:space="preserve"> are also involved in responding to humanitarian cris</w:t>
      </w:r>
      <w:r w:rsidR="003B12FC">
        <w:t>e</w:t>
      </w:r>
      <w:r w:rsidRPr="007C7BBD">
        <w:t>s in other countries</w:t>
      </w:r>
      <w:r w:rsidR="001770F9">
        <w:t xml:space="preserve">. </w:t>
      </w:r>
    </w:p>
    <w:p w14:paraId="324ADD1C" w14:textId="16A77F6B" w:rsidR="00153EF2" w:rsidRDefault="00153EF2" w:rsidP="00153EF2">
      <w:pPr>
        <w:pStyle w:val="BodyText"/>
      </w:pPr>
      <w:r w:rsidRPr="007C7BBD">
        <w:t xml:space="preserve">The national and subnational disaster management agencies, BNPB and BPBDs, are important hubs in </w:t>
      </w:r>
      <w:r w:rsidR="008307A1" w:rsidRPr="007C7BBD">
        <w:t>th</w:t>
      </w:r>
      <w:r w:rsidR="008307A1">
        <w:t>e</w:t>
      </w:r>
      <w:r w:rsidR="008307A1" w:rsidRPr="007C7BBD">
        <w:t xml:space="preserve"> </w:t>
      </w:r>
      <w:r w:rsidR="003B2662">
        <w:t>“</w:t>
      </w:r>
      <w:r w:rsidRPr="007C7BBD">
        <w:t>ecosystem</w:t>
      </w:r>
      <w:r w:rsidR="003B2662">
        <w:t>”</w:t>
      </w:r>
      <w:r w:rsidRPr="00F174E3">
        <w:t xml:space="preserve"> with responsibility to lead and coordinate disaster risk management, response and recovery in Indonesia. </w:t>
      </w:r>
      <w:r w:rsidR="00F174E3">
        <w:t>The</w:t>
      </w:r>
      <w:r w:rsidR="00164471">
        <w:t xml:space="preserve">y have a </w:t>
      </w:r>
      <w:r w:rsidR="00F174E3">
        <w:t>challeng</w:t>
      </w:r>
      <w:r w:rsidR="00164471">
        <w:t xml:space="preserve">ing role </w:t>
      </w:r>
      <w:r w:rsidR="003B12FC">
        <w:t>in</w:t>
      </w:r>
      <w:r w:rsidR="00164471">
        <w:t xml:space="preserve"> </w:t>
      </w:r>
      <w:r w:rsidR="00F174E3">
        <w:t>lead</w:t>
      </w:r>
      <w:r w:rsidR="003B12FC">
        <w:t>ing</w:t>
      </w:r>
      <w:r w:rsidR="00F174E3">
        <w:t xml:space="preserve"> and coordinating the range of state and non-state stakeholders</w:t>
      </w:r>
      <w:r w:rsidR="00164471">
        <w:t>,</w:t>
      </w:r>
      <w:r w:rsidR="00F174E3">
        <w:t xml:space="preserve"> as evidenced in recent </w:t>
      </w:r>
      <w:r w:rsidR="00472DB0">
        <w:t xml:space="preserve">disaster </w:t>
      </w:r>
      <w:r w:rsidR="00F174E3">
        <w:t>events</w:t>
      </w:r>
      <w:r w:rsidR="00225D8F">
        <w:t xml:space="preserve"> in Lombok and Central Sulawesi</w:t>
      </w:r>
      <w:r w:rsidR="00F174E3">
        <w:t>.</w:t>
      </w:r>
      <w:r w:rsidRPr="00F174E3">
        <w:t xml:space="preserve"> </w:t>
      </w:r>
      <w:r w:rsidR="007F1ED8">
        <w:t>Th</w:t>
      </w:r>
      <w:r w:rsidR="001770F9">
        <w:t>e</w:t>
      </w:r>
      <w:r w:rsidR="007F1ED8">
        <w:t xml:space="preserve">se recent experiences serve as another reminder for Indonesia of the importance of building community resilience to </w:t>
      </w:r>
      <w:r w:rsidR="00164471">
        <w:t>prepare for</w:t>
      </w:r>
      <w:r w:rsidR="007F1ED8">
        <w:t xml:space="preserve"> and respond to disaster</w:t>
      </w:r>
      <w:r w:rsidR="008307A1">
        <w:t>s</w:t>
      </w:r>
      <w:r w:rsidR="007F1ED8">
        <w:t>.</w:t>
      </w:r>
    </w:p>
    <w:p w14:paraId="22F3FA70" w14:textId="2A7CBECF" w:rsidR="00C64839" w:rsidRDefault="00D41D0A" w:rsidP="00C64839">
      <w:pPr>
        <w:rPr>
          <w:rStyle w:val="apple-converted-space"/>
        </w:rPr>
      </w:pPr>
      <w:r w:rsidRPr="00635D4F">
        <w:t xml:space="preserve">DRM </w:t>
      </w:r>
      <w:r w:rsidR="00C64839" w:rsidRPr="00635D4F">
        <w:t>continues to be a critical development issue</w:t>
      </w:r>
      <w:r w:rsidR="007A1D4C" w:rsidRPr="00635D4F">
        <w:t xml:space="preserve"> for Indonesia</w:t>
      </w:r>
      <w:r w:rsidR="00C96CB2">
        <w:t xml:space="preserve"> and over the years Indonesia has invested heavily in improving disaster response preparedness</w:t>
      </w:r>
      <w:r w:rsidR="00C64839" w:rsidRPr="00635D4F">
        <w:t xml:space="preserve">. </w:t>
      </w:r>
      <w:r w:rsidR="00C64839">
        <w:t>While Indonesia has made progress in developing its DRM capacity there is still the need to strengthen DRM government structures and coordination between state and non-state actors</w:t>
      </w:r>
      <w:r w:rsidR="00C96CB2">
        <w:t xml:space="preserve"> in particular during </w:t>
      </w:r>
      <w:r w:rsidR="001770F9">
        <w:t>the</w:t>
      </w:r>
      <w:r w:rsidR="00C96CB2">
        <w:t xml:space="preserve"> disaster response period</w:t>
      </w:r>
      <w:r w:rsidR="00C64839">
        <w:t xml:space="preserve">. </w:t>
      </w:r>
    </w:p>
    <w:p w14:paraId="513C6A4B" w14:textId="39E7CDA0" w:rsidR="00CF00F9" w:rsidRPr="00453009" w:rsidRDefault="00E920ED" w:rsidP="00CF00F9">
      <w:pPr>
        <w:rPr>
          <w:rFonts w:cstheme="minorHAnsi"/>
        </w:rPr>
      </w:pPr>
      <w:r w:rsidRPr="007C7BBD">
        <w:t xml:space="preserve">The </w:t>
      </w:r>
      <w:r w:rsidR="001005A6" w:rsidRPr="00D70CF4">
        <w:rPr>
          <w:b/>
        </w:rPr>
        <w:t xml:space="preserve">Australia – Indonesia Partnership </w:t>
      </w:r>
      <w:r w:rsidR="00B1142D" w:rsidRPr="00D70CF4">
        <w:rPr>
          <w:b/>
        </w:rPr>
        <w:t>in Disaster Risk Management (AIP-DRM)</w:t>
      </w:r>
      <w:r w:rsidR="00F174E3">
        <w:t xml:space="preserve"> </w:t>
      </w:r>
      <w:r w:rsidR="005E4347">
        <w:t>is a five year,</w:t>
      </w:r>
      <w:r w:rsidR="00F37523">
        <w:t xml:space="preserve"> $</w:t>
      </w:r>
      <w:r>
        <w:t>2</w:t>
      </w:r>
      <w:r w:rsidR="0018065A">
        <w:t>5 million</w:t>
      </w:r>
      <w:r w:rsidR="00953571">
        <w:t xml:space="preserve"> investment</w:t>
      </w:r>
      <w:r w:rsidR="00CF00F9">
        <w:t xml:space="preserve"> and will be delivered from 2019 – 2024</w:t>
      </w:r>
      <w:r w:rsidR="009323C7">
        <w:t>, with the option of a two year extension</w:t>
      </w:r>
      <w:r w:rsidR="00CF00F9">
        <w:t xml:space="preserve">. </w:t>
      </w:r>
      <w:r w:rsidR="00AF366D">
        <w:t>The goal of the investment is t</w:t>
      </w:r>
      <w:r w:rsidR="00AF366D" w:rsidRPr="00AF366D">
        <w:t>o strengthen Indonesia’s management of disaster risk and engagement between Australia and Indonesia</w:t>
      </w:r>
      <w:r w:rsidR="00AF366D">
        <w:t>.</w:t>
      </w:r>
      <w:r w:rsidR="00AF366D" w:rsidRPr="00AF366D">
        <w:t xml:space="preserve"> </w:t>
      </w:r>
      <w:r w:rsidR="00CF00F9" w:rsidRPr="00453009">
        <w:rPr>
          <w:rFonts w:cstheme="minorHAnsi"/>
        </w:rPr>
        <w:t>The investment has</w:t>
      </w:r>
      <w:r w:rsidR="00CF00F9">
        <w:rPr>
          <w:rFonts w:cstheme="minorHAnsi"/>
        </w:rPr>
        <w:t xml:space="preserve"> </w:t>
      </w:r>
      <w:r w:rsidR="001770F9">
        <w:rPr>
          <w:rFonts w:cstheme="minorHAnsi"/>
        </w:rPr>
        <w:t xml:space="preserve">both </w:t>
      </w:r>
      <w:r w:rsidR="00CF00F9">
        <w:rPr>
          <w:rFonts w:cstheme="minorHAnsi"/>
        </w:rPr>
        <w:t>a</w:t>
      </w:r>
      <w:r w:rsidR="00CF00F9" w:rsidRPr="00453009">
        <w:rPr>
          <w:rFonts w:cstheme="minorHAnsi"/>
        </w:rPr>
        <w:t xml:space="preserve"> </w:t>
      </w:r>
      <w:r w:rsidR="001770F9" w:rsidRPr="00453009">
        <w:rPr>
          <w:rFonts w:cstheme="minorHAnsi"/>
        </w:rPr>
        <w:t>domestic focus</w:t>
      </w:r>
      <w:r w:rsidR="00CF00F9" w:rsidRPr="00453009">
        <w:rPr>
          <w:rFonts w:cstheme="minorHAnsi"/>
        </w:rPr>
        <w:t xml:space="preserve"> on improving Indonesia’s ability to prevent, prepare for, respond to and recover from rapid and slow onset disasters in Indonesia</w:t>
      </w:r>
      <w:r w:rsidR="003B2662">
        <w:rPr>
          <w:rFonts w:cstheme="minorHAnsi"/>
        </w:rPr>
        <w:t>;</w:t>
      </w:r>
      <w:r w:rsidR="004846E5">
        <w:rPr>
          <w:rFonts w:cstheme="minorHAnsi"/>
        </w:rPr>
        <w:t xml:space="preserve"> and a regional focus to strengthen </w:t>
      </w:r>
      <w:r w:rsidR="00164471">
        <w:rPr>
          <w:rFonts w:cstheme="minorHAnsi"/>
        </w:rPr>
        <w:t xml:space="preserve">cooperation between </w:t>
      </w:r>
      <w:r w:rsidR="004846E5">
        <w:rPr>
          <w:rFonts w:cstheme="minorHAnsi"/>
        </w:rPr>
        <w:t>Australia and Indonesia on regional humanitarian issues</w:t>
      </w:r>
      <w:r w:rsidR="00CF00F9">
        <w:rPr>
          <w:rFonts w:cstheme="minorHAnsi"/>
        </w:rPr>
        <w:t xml:space="preserve">. </w:t>
      </w:r>
    </w:p>
    <w:p w14:paraId="59273159" w14:textId="58D78AB3" w:rsidR="00DB4AE9" w:rsidRPr="001B16A2" w:rsidRDefault="00275991" w:rsidP="00E920ED">
      <w:r>
        <w:t>The investment</w:t>
      </w:r>
      <w:r w:rsidR="005E4347">
        <w:t xml:space="preserve"> </w:t>
      </w:r>
      <w:r>
        <w:t xml:space="preserve">responds to </w:t>
      </w:r>
      <w:r w:rsidR="005E4347">
        <w:t>Government of Indonesia</w:t>
      </w:r>
      <w:r w:rsidR="00B1142D">
        <w:t>’s</w:t>
      </w:r>
      <w:r w:rsidR="005E4347">
        <w:t xml:space="preserve"> (GoI) </w:t>
      </w:r>
      <w:r w:rsidR="00B1142D">
        <w:t xml:space="preserve">and Government of Australia’s (GoA) </w:t>
      </w:r>
      <w:r w:rsidR="005E4347">
        <w:t>policies</w:t>
      </w:r>
      <w:r w:rsidR="00B1142D">
        <w:t xml:space="preserve"> and priorities</w:t>
      </w:r>
      <w:r w:rsidR="0094476B">
        <w:t xml:space="preserve">. </w:t>
      </w:r>
      <w:r w:rsidR="00270A0C">
        <w:t>AIP-DRM supports GoI’s priorities under the Medium Term Development Plan (RPJMN 2015-2019), BNPB Strategy on Disaster Management (2015-2019) and</w:t>
      </w:r>
      <w:r w:rsidR="00270A0C" w:rsidRPr="0063060B">
        <w:t xml:space="preserve"> </w:t>
      </w:r>
      <w:r w:rsidR="00270A0C">
        <w:t xml:space="preserve">Indonesia’s Disaster </w:t>
      </w:r>
      <w:r w:rsidR="00CF5F11">
        <w:t xml:space="preserve">Management </w:t>
      </w:r>
      <w:r w:rsidR="00270A0C">
        <w:t>M</w:t>
      </w:r>
      <w:r w:rsidR="00270A0C" w:rsidRPr="0063060B">
        <w:t xml:space="preserve">aster </w:t>
      </w:r>
      <w:r w:rsidR="00270A0C">
        <w:t>P</w:t>
      </w:r>
      <w:r w:rsidR="00270A0C" w:rsidRPr="0063060B">
        <w:t xml:space="preserve">lan </w:t>
      </w:r>
      <w:r w:rsidR="00270A0C">
        <w:t xml:space="preserve">(2015-2045). It will be aligned to future GOI priorities in DRM. </w:t>
      </w:r>
      <w:r w:rsidR="001B16A2">
        <w:t xml:space="preserve">The Australian Foreign Policy White Paper </w:t>
      </w:r>
      <w:r w:rsidR="005349D9">
        <w:t xml:space="preserve">commits </w:t>
      </w:r>
      <w:r w:rsidR="001B16A2">
        <w:t>Australia to boosting resilience to natural disasters through the aid program.</w:t>
      </w:r>
      <w:r w:rsidR="001B16A2">
        <w:rPr>
          <w:rStyle w:val="FootnoteReference"/>
        </w:rPr>
        <w:footnoteReference w:id="3"/>
      </w:r>
      <w:r w:rsidR="001B16A2">
        <w:t xml:space="preserve"> </w:t>
      </w:r>
      <w:r w:rsidR="005349D9">
        <w:t xml:space="preserve">The program will support the Comprehensive Strategic Partnership between Australia and Indonesia, including through contributing to the enhanced economic and development partnership; securing our and the region’s shared interest; and contributing to Indo-Pacific stability and prosperity. </w:t>
      </w:r>
      <w:r w:rsidR="008D1773">
        <w:t>AIP-DRM</w:t>
      </w:r>
      <w:r w:rsidR="0018065A">
        <w:t xml:space="preserve"> also</w:t>
      </w:r>
      <w:r w:rsidR="006C43BA">
        <w:t xml:space="preserve"> responds directly to</w:t>
      </w:r>
      <w:r w:rsidR="007A1D4C">
        <w:t xml:space="preserve"> the</w:t>
      </w:r>
      <w:r w:rsidR="006C43BA">
        <w:t xml:space="preserve"> Sendai Framework</w:t>
      </w:r>
      <w:r w:rsidR="0018065A">
        <w:t xml:space="preserve"> </w:t>
      </w:r>
      <w:r w:rsidR="007A1D4C">
        <w:t>for</w:t>
      </w:r>
      <w:r w:rsidR="0018065A">
        <w:t xml:space="preserve"> Disaster Risk Reduction</w:t>
      </w:r>
      <w:r w:rsidR="006C43BA">
        <w:t xml:space="preserve"> </w:t>
      </w:r>
      <w:r w:rsidR="00164471">
        <w:t>(</w:t>
      </w:r>
      <w:r w:rsidR="006C43BA">
        <w:t>Priority 2 and Priority 4</w:t>
      </w:r>
      <w:r w:rsidR="00164471">
        <w:t>)</w:t>
      </w:r>
      <w:r w:rsidR="007A1D4C">
        <w:t>.</w:t>
      </w:r>
      <w:r w:rsidR="006C43BA">
        <w:t xml:space="preserve"> </w:t>
      </w:r>
      <w:r w:rsidR="00B1142D">
        <w:t xml:space="preserve">This </w:t>
      </w:r>
      <w:r w:rsidR="0018065A">
        <w:t xml:space="preserve">investment design </w:t>
      </w:r>
      <w:r w:rsidR="00B1142D">
        <w:t>is the result of an extensive consultation and design process undertaken in partnership with GoI</w:t>
      </w:r>
      <w:r w:rsidR="00F174E3">
        <w:t>.</w:t>
      </w:r>
    </w:p>
    <w:p w14:paraId="278A339A" w14:textId="0D17ABB4" w:rsidR="00DB4AE9" w:rsidRDefault="00B1142D" w:rsidP="001770F9">
      <w:r w:rsidRPr="005349D9">
        <w:t>AIP-DRM</w:t>
      </w:r>
      <w:r w:rsidRPr="005349D9">
        <w:rPr>
          <w:b/>
        </w:rPr>
        <w:t xml:space="preserve"> </w:t>
      </w:r>
      <w:r w:rsidR="0094476B" w:rsidRPr="00635D4F">
        <w:t>builds on previous Australian assistanc</w:t>
      </w:r>
      <w:r w:rsidR="001770F9">
        <w:t xml:space="preserve">e in DRM with a </w:t>
      </w:r>
      <w:r w:rsidR="0094476B" w:rsidRPr="00635D4F">
        <w:t xml:space="preserve">long-term </w:t>
      </w:r>
      <w:r w:rsidR="00D41D0A" w:rsidRPr="00635D4F">
        <w:t>partnership</w:t>
      </w:r>
      <w:r w:rsidR="00D41D0A">
        <w:t xml:space="preserve"> </w:t>
      </w:r>
      <w:r w:rsidR="0094476B">
        <w:t xml:space="preserve">that will identify and pursue opportunities for </w:t>
      </w:r>
      <w:r w:rsidR="005E4347">
        <w:t xml:space="preserve">organisational </w:t>
      </w:r>
      <w:r w:rsidR="0094476B">
        <w:t>reform</w:t>
      </w:r>
      <w:r w:rsidR="005E4347">
        <w:t xml:space="preserve"> and implementation of Indonesian DRM policies and plans</w:t>
      </w:r>
      <w:r w:rsidR="0094476B">
        <w:t xml:space="preserve">. Australia has the ability and relationships to work across the DRM ecosystem: at regional, national and sub-national levels. Working in this way </w:t>
      </w:r>
      <w:r w:rsidR="00646021">
        <w:t>enables engagement at the national level with</w:t>
      </w:r>
      <w:r w:rsidR="0094476B">
        <w:t xml:space="preserve"> BNPB, while </w:t>
      </w:r>
      <w:r w:rsidR="00646021">
        <w:t xml:space="preserve">also </w:t>
      </w:r>
      <w:r w:rsidR="0094476B">
        <w:t>ensuring the investment delivers meaningfu</w:t>
      </w:r>
      <w:r w:rsidR="00F37523">
        <w:t>l change to communities and deepens</w:t>
      </w:r>
      <w:r w:rsidR="00646021">
        <w:t xml:space="preserve"> GoI-GoA</w:t>
      </w:r>
      <w:r w:rsidR="0094476B" w:rsidRPr="16039843">
        <w:t xml:space="preserve"> </w:t>
      </w:r>
      <w:r w:rsidR="0094476B">
        <w:t>relationships.</w:t>
      </w:r>
      <w:r w:rsidR="001C70E3">
        <w:t xml:space="preserve"> </w:t>
      </w:r>
      <w:r w:rsidR="00DB4AE9">
        <w:t xml:space="preserve">The investment seeks to support implementation of GoI policies, program and plans rather than deliver a discrete set of program interventions. </w:t>
      </w:r>
    </w:p>
    <w:p w14:paraId="11B81EC8" w14:textId="34D1255C" w:rsidR="00761D18" w:rsidRPr="00CC70B6" w:rsidRDefault="00761D18" w:rsidP="00761D18">
      <w:pPr>
        <w:autoSpaceDE w:val="0"/>
        <w:autoSpaceDN w:val="0"/>
        <w:adjustRightInd w:val="0"/>
        <w:spacing w:line="240" w:lineRule="auto"/>
        <w:rPr>
          <w:b/>
        </w:rPr>
      </w:pPr>
      <w:r w:rsidRPr="00CC70B6">
        <w:rPr>
          <w:b/>
        </w:rPr>
        <w:t xml:space="preserve">There are </w:t>
      </w:r>
      <w:r w:rsidR="00492675">
        <w:rPr>
          <w:b/>
        </w:rPr>
        <w:t xml:space="preserve">three </w:t>
      </w:r>
      <w:r w:rsidR="00C772DC">
        <w:rPr>
          <w:b/>
        </w:rPr>
        <w:t xml:space="preserve">pillars, each with an </w:t>
      </w:r>
      <w:r w:rsidRPr="00CC70B6">
        <w:rPr>
          <w:b/>
        </w:rPr>
        <w:t>end-of-program outcome envisaged by 202</w:t>
      </w:r>
      <w:r>
        <w:rPr>
          <w:b/>
        </w:rPr>
        <w:t>4</w:t>
      </w:r>
      <w:r w:rsidRPr="00CC70B6">
        <w:rPr>
          <w:b/>
        </w:rPr>
        <w:t xml:space="preserve"> </w:t>
      </w:r>
    </w:p>
    <w:p w14:paraId="0723A74C" w14:textId="665582A6" w:rsidR="00761D18" w:rsidRPr="00761D18" w:rsidRDefault="00761D18" w:rsidP="00761D18">
      <w:r w:rsidRPr="00A101D1">
        <w:rPr>
          <w:i/>
        </w:rPr>
        <w:t>Outcome 1: BNPB’s institutional capacity and organisational systems are strengthened resulting in better leadership in DRM</w:t>
      </w:r>
      <w:r>
        <w:rPr>
          <w:i/>
        </w:rPr>
        <w:t xml:space="preserve"> (Pillar 1)</w:t>
      </w:r>
      <w:r w:rsidR="00971E71">
        <w:rPr>
          <w:i/>
        </w:rPr>
        <w:t xml:space="preserve">: </w:t>
      </w:r>
      <w:r w:rsidR="00D01DEA" w:rsidRPr="00D01DEA">
        <w:t>BNPB is instrumental in Indonesia’s DRM ecosystem because</w:t>
      </w:r>
      <w:r w:rsidR="00CF5F11">
        <w:t>,</w:t>
      </w:r>
      <w:r w:rsidR="00D01DEA" w:rsidRPr="00D01DEA">
        <w:t xml:space="preserve"> by law</w:t>
      </w:r>
      <w:r w:rsidR="00CF5F11">
        <w:t>,</w:t>
      </w:r>
      <w:r w:rsidR="00D01DEA" w:rsidRPr="00D01DEA">
        <w:t xml:space="preserve"> it serves as the national institutional hub for DRM</w:t>
      </w:r>
      <w:r w:rsidR="00D01DEA">
        <w:t xml:space="preserve">. </w:t>
      </w:r>
      <w:r w:rsidRPr="00761D18">
        <w:t xml:space="preserve">A </w:t>
      </w:r>
      <w:r w:rsidR="001D0A7A">
        <w:t xml:space="preserve">Management </w:t>
      </w:r>
      <w:r w:rsidR="00815BE0">
        <w:t>Support Office</w:t>
      </w:r>
      <w:r w:rsidR="007F1ED8">
        <w:t xml:space="preserve"> (</w:t>
      </w:r>
      <w:r w:rsidR="001D0A7A">
        <w:t>M</w:t>
      </w:r>
      <w:r w:rsidR="007F1ED8">
        <w:t>SO)</w:t>
      </w:r>
      <w:r>
        <w:t>,</w:t>
      </w:r>
      <w:r w:rsidRPr="00761D18">
        <w:t xml:space="preserve"> staffed by technical advisors and BNPB staff</w:t>
      </w:r>
      <w:r>
        <w:t>,</w:t>
      </w:r>
      <w:r w:rsidRPr="00761D18">
        <w:t xml:space="preserve"> will be located within BNPB and sit across all </w:t>
      </w:r>
      <w:r w:rsidR="008E39B0" w:rsidRPr="00761D18">
        <w:t>d</w:t>
      </w:r>
      <w:r w:rsidR="008E39B0">
        <w:t>eputies</w:t>
      </w:r>
      <w:r w:rsidR="008E39B0" w:rsidRPr="00761D18">
        <w:t xml:space="preserve"> </w:t>
      </w:r>
      <w:r w:rsidRPr="00761D18">
        <w:t xml:space="preserve">to support </w:t>
      </w:r>
      <w:r>
        <w:t xml:space="preserve">senior management in </w:t>
      </w:r>
      <w:r w:rsidRPr="00761D18">
        <w:t xml:space="preserve">change management, organisational reform and technical </w:t>
      </w:r>
      <w:r w:rsidR="007F1ED8">
        <w:t>matters</w:t>
      </w:r>
      <w:r w:rsidRPr="00761D18">
        <w:t>. BNPB staff capacity development and national policy and planning will also be</w:t>
      </w:r>
      <w:r w:rsidR="0067398D">
        <w:t xml:space="preserve"> supported</w:t>
      </w:r>
      <w:r w:rsidRPr="00761D18">
        <w:t>.</w:t>
      </w:r>
      <w:r w:rsidR="007F1ED8">
        <w:t xml:space="preserve"> The </w:t>
      </w:r>
      <w:r w:rsidR="00806170">
        <w:t xml:space="preserve">capacity building </w:t>
      </w:r>
      <w:r w:rsidR="007F1ED8">
        <w:t xml:space="preserve">will </w:t>
      </w:r>
      <w:r w:rsidR="00806170">
        <w:t>focus on</w:t>
      </w:r>
      <w:r w:rsidR="007F1ED8">
        <w:t xml:space="preserve"> fundamental issues such as coordination, logistics, reporting and assessment, in particular during the disaster period.</w:t>
      </w:r>
      <w:r w:rsidR="00DD7190">
        <w:t xml:space="preserve"> It will support the further implementation of the National Disaster Response Framework (NDRF), </w:t>
      </w:r>
      <w:r w:rsidR="003E642B">
        <w:t>including the role of</w:t>
      </w:r>
      <w:r w:rsidR="00DD7190">
        <w:t xml:space="preserve"> BNPB and other national ministries under the NDRF. </w:t>
      </w:r>
    </w:p>
    <w:p w14:paraId="14035111" w14:textId="3085D249" w:rsidR="00761D18" w:rsidRDefault="00761D18" w:rsidP="00D70CF4">
      <w:r w:rsidRPr="00A101D1">
        <w:rPr>
          <w:i/>
        </w:rPr>
        <w:t>Outcome 2: Target provinces, districts and villages are better able to prevent, prepare for, respond to and recover from disasters</w:t>
      </w:r>
      <w:r>
        <w:rPr>
          <w:i/>
        </w:rPr>
        <w:t xml:space="preserve"> (Pillar 2)</w:t>
      </w:r>
      <w:r w:rsidR="00971E71">
        <w:rPr>
          <w:i/>
        </w:rPr>
        <w:t xml:space="preserve">: </w:t>
      </w:r>
      <w:r w:rsidR="00F872EF">
        <w:t>The</w:t>
      </w:r>
      <w:r w:rsidR="00D01DEA">
        <w:t xml:space="preserve"> program will </w:t>
      </w:r>
      <w:r w:rsidR="00D01DEA" w:rsidRPr="00D01DEA">
        <w:t>reinforce and support Indonesia’s increasing prioritisation of local disaster risk governance</w:t>
      </w:r>
      <w:r w:rsidR="000368C4">
        <w:t xml:space="preserve"> and </w:t>
      </w:r>
      <w:r w:rsidR="00DD7190">
        <w:t xml:space="preserve">DRM </w:t>
      </w:r>
      <w:r w:rsidR="000368C4">
        <w:t>including logistics management</w:t>
      </w:r>
      <w:r w:rsidR="00D01DEA">
        <w:t xml:space="preserve">. </w:t>
      </w:r>
      <w:r w:rsidR="00D85E44">
        <w:t>It</w:t>
      </w:r>
      <w:r>
        <w:t xml:space="preserve"> will target </w:t>
      </w:r>
      <w:r w:rsidR="003E642B">
        <w:t xml:space="preserve">up to </w:t>
      </w:r>
      <w:r>
        <w:t xml:space="preserve">six provinces </w:t>
      </w:r>
      <w:r w:rsidR="005349D9">
        <w:t xml:space="preserve">and </w:t>
      </w:r>
      <w:r w:rsidR="000368C4">
        <w:t xml:space="preserve">selected </w:t>
      </w:r>
      <w:r w:rsidR="005349D9">
        <w:t xml:space="preserve">districts and villages </w:t>
      </w:r>
      <w:r w:rsidR="000368C4">
        <w:t xml:space="preserve">in each target province. The focus will be to provide </w:t>
      </w:r>
      <w:r>
        <w:t>capacity building support to BPBDs and their Emergency Operation Centres</w:t>
      </w:r>
      <w:r w:rsidR="000368C4">
        <w:t xml:space="preserve"> (pusdalops)</w:t>
      </w:r>
      <w:r w:rsidR="003C43E9">
        <w:t>;</w:t>
      </w:r>
      <w:r w:rsidR="000368C4">
        <w:t xml:space="preserve"> to </w:t>
      </w:r>
      <w:r w:rsidR="003E642B">
        <w:t>the community through ci</w:t>
      </w:r>
      <w:r>
        <w:t xml:space="preserve">vil </w:t>
      </w:r>
      <w:r w:rsidR="003E642B">
        <w:t>society o</w:t>
      </w:r>
      <w:r>
        <w:t>rganisations (CSOs)</w:t>
      </w:r>
      <w:r w:rsidR="007D524C" w:rsidRPr="003E642B">
        <w:t>;</w:t>
      </w:r>
      <w:r w:rsidRPr="003E642B">
        <w:t xml:space="preserve"> and </w:t>
      </w:r>
      <w:r w:rsidR="000368C4" w:rsidRPr="003E642B">
        <w:t xml:space="preserve">also </w:t>
      </w:r>
      <w:r w:rsidRPr="003E642B">
        <w:t>to strengthen DRR platforms.</w:t>
      </w:r>
      <w:r>
        <w:t xml:space="preserve"> </w:t>
      </w:r>
      <w:r w:rsidR="00C772DC">
        <w:t>Thi</w:t>
      </w:r>
      <w:r w:rsidR="007D524C">
        <w:t>s</w:t>
      </w:r>
      <w:r w:rsidR="00C772DC">
        <w:t xml:space="preserve"> will include supporting the Minimum Service Standards (MSS) for Disaster and Fire Management and Resilient Village</w:t>
      </w:r>
      <w:r w:rsidR="002F518A">
        <w:t>/City</w:t>
      </w:r>
      <w:r w:rsidR="00C772DC">
        <w:t xml:space="preserve"> model</w:t>
      </w:r>
      <w:r w:rsidR="0067398D">
        <w:t>s</w:t>
      </w:r>
      <w:r w:rsidR="00C772DC">
        <w:t xml:space="preserve">. </w:t>
      </w:r>
    </w:p>
    <w:p w14:paraId="152F57EB" w14:textId="06BF1A52" w:rsidR="00761D18" w:rsidRPr="00D70CF4" w:rsidRDefault="00761D18" w:rsidP="00F007ED">
      <w:r>
        <w:rPr>
          <w:i/>
        </w:rPr>
        <w:t xml:space="preserve">Outcome 3: </w:t>
      </w:r>
      <w:r w:rsidRPr="00D70CF4">
        <w:rPr>
          <w:i/>
        </w:rPr>
        <w:t>Strengthened cooperation between Australia and Indonesia on regional humanitarian preparedness and response</w:t>
      </w:r>
      <w:r w:rsidRPr="00CE20DF">
        <w:rPr>
          <w:i/>
        </w:rPr>
        <w:t xml:space="preserve"> (Pillar 3)</w:t>
      </w:r>
      <w:r w:rsidR="00971E71">
        <w:rPr>
          <w:i/>
        </w:rPr>
        <w:t xml:space="preserve">: </w:t>
      </w:r>
      <w:r w:rsidR="00F872EF">
        <w:t xml:space="preserve">The </w:t>
      </w:r>
      <w:r w:rsidR="000C6836">
        <w:t xml:space="preserve">program </w:t>
      </w:r>
      <w:r w:rsidR="000C6836" w:rsidRPr="00D70CF4">
        <w:t xml:space="preserve">will support Indonesia’s role in responding to international humanitarian crises and </w:t>
      </w:r>
      <w:r w:rsidR="00CD3EC2">
        <w:t>Indonesia’s</w:t>
      </w:r>
      <w:r w:rsidR="00C772DC">
        <w:t xml:space="preserve"> support to </w:t>
      </w:r>
      <w:r w:rsidR="000C6836">
        <w:t xml:space="preserve">regional </w:t>
      </w:r>
      <w:r w:rsidR="000C6836" w:rsidRPr="00D70CF4">
        <w:t>resilience building and disaster prevention. It will build closer links between Indonesian and Australian humanitarian actors</w:t>
      </w:r>
      <w:r w:rsidR="000C6836">
        <w:t xml:space="preserve">. </w:t>
      </w:r>
      <w:r w:rsidR="0034509E">
        <w:t xml:space="preserve">This will include support to </w:t>
      </w:r>
      <w:r w:rsidR="00DD7190">
        <w:t xml:space="preserve">the </w:t>
      </w:r>
      <w:r w:rsidR="0034509E">
        <w:t>c</w:t>
      </w:r>
      <w:r w:rsidR="0034509E" w:rsidRPr="00761D18">
        <w:t xml:space="preserve">apacity </w:t>
      </w:r>
      <w:r w:rsidR="00C772DC" w:rsidRPr="00761D18">
        <w:t xml:space="preserve">development </w:t>
      </w:r>
      <w:r w:rsidR="0034509E">
        <w:t xml:space="preserve">of a pool of humanitarian </w:t>
      </w:r>
      <w:r w:rsidR="00DD7190">
        <w:t xml:space="preserve">staff surge capacity from relevant </w:t>
      </w:r>
      <w:r w:rsidR="003E642B">
        <w:t xml:space="preserve">Indonesian </w:t>
      </w:r>
      <w:r w:rsidR="0034509E">
        <w:t xml:space="preserve">agencies; </w:t>
      </w:r>
      <w:r w:rsidR="00C772DC" w:rsidRPr="00761D18">
        <w:t xml:space="preserve">and </w:t>
      </w:r>
      <w:r w:rsidR="00DD7190">
        <w:t xml:space="preserve">the </w:t>
      </w:r>
      <w:r w:rsidR="0034509E">
        <w:t xml:space="preserve">formulation of the </w:t>
      </w:r>
      <w:r w:rsidR="00DD7190">
        <w:t xml:space="preserve">relevant </w:t>
      </w:r>
      <w:r w:rsidR="00C772DC" w:rsidRPr="00761D18">
        <w:t>policy and planning</w:t>
      </w:r>
      <w:r w:rsidR="00DD7190">
        <w:t xml:space="preserve"> tools.</w:t>
      </w:r>
      <w:r w:rsidR="00F007ED">
        <w:t xml:space="preserve"> </w:t>
      </w:r>
    </w:p>
    <w:p w14:paraId="7BCEE148" w14:textId="257F32FD" w:rsidR="00D85E44" w:rsidRDefault="00DD7190" w:rsidP="00D85E44">
      <w:r>
        <w:rPr>
          <w:bCs/>
          <w:i/>
        </w:rPr>
        <w:t xml:space="preserve">Cross cutting themes: </w:t>
      </w:r>
      <w:r w:rsidR="000C6836">
        <w:rPr>
          <w:bCs/>
          <w:i/>
        </w:rPr>
        <w:t>Strengthened l</w:t>
      </w:r>
      <w:r w:rsidR="000C6836" w:rsidRPr="00D70CF4">
        <w:rPr>
          <w:bCs/>
          <w:i/>
        </w:rPr>
        <w:t>earning, innovation and inclusion for DRM</w:t>
      </w:r>
      <w:r w:rsidR="00971E71">
        <w:rPr>
          <w:bCs/>
          <w:i/>
        </w:rPr>
        <w:t xml:space="preserve">: </w:t>
      </w:r>
      <w:r w:rsidR="00D01DEA">
        <w:t>The program will support structured learning across BPBD capacity building</w:t>
      </w:r>
      <w:r w:rsidR="002F518A">
        <w:t xml:space="preserve"> planning</w:t>
      </w:r>
      <w:r w:rsidR="00D01DEA">
        <w:t>; lessons from after action reviews, evaluations and other research; and documentation of the Resilient Village</w:t>
      </w:r>
      <w:r w:rsidR="003425B6">
        <w:t>/</w:t>
      </w:r>
      <w:r w:rsidR="00D01DEA">
        <w:t>Resilient City and other existing models.</w:t>
      </w:r>
      <w:r w:rsidR="00C772DC">
        <w:t xml:space="preserve"> This may include support to policy and implementation of gender mainstreaming in emergencies and use of cash transfers in emergencies. Innovative ideas and models will also be explored to support DRM</w:t>
      </w:r>
      <w:r w:rsidR="0013011D">
        <w:t xml:space="preserve"> and climate change resilience</w:t>
      </w:r>
      <w:r w:rsidR="00C772DC">
        <w:t>.</w:t>
      </w:r>
      <w:r>
        <w:t xml:space="preserve"> </w:t>
      </w:r>
      <w:r w:rsidR="00D85E44" w:rsidRPr="00635D4F">
        <w:t>Gender and disability</w:t>
      </w:r>
      <w:r w:rsidR="00D85E44">
        <w:t xml:space="preserve"> inclusion will be mainstreamed across all pillars, recognising both the specific experiences of women, people with disabilities and other marginalised people during disasters, as well as the value of including diverse voices in DRM leadership structures.</w:t>
      </w:r>
    </w:p>
    <w:p w14:paraId="71B4692B" w14:textId="26EC08C5" w:rsidR="00F007ED" w:rsidRDefault="00F007ED" w:rsidP="00F007ED">
      <w:r>
        <w:t xml:space="preserve">AIP-DRM </w:t>
      </w:r>
      <w:r w:rsidRPr="002D2DDC">
        <w:t>will be implemented in accordance with the Australia-Indonesia General Agreement on Development Cooperation</w:t>
      </w:r>
      <w:r>
        <w:t xml:space="preserve">. The program will be subject to a </w:t>
      </w:r>
      <w:r w:rsidR="00971E71">
        <w:t xml:space="preserve">single </w:t>
      </w:r>
      <w:r>
        <w:t>Subsidiary Arrangement with BNPB</w:t>
      </w:r>
      <w:r w:rsidR="00DD7190">
        <w:t xml:space="preserve"> </w:t>
      </w:r>
      <w:r>
        <w:t xml:space="preserve">as </w:t>
      </w:r>
      <w:r w:rsidRPr="002D2DDC">
        <w:t xml:space="preserve">the key Indonesian </w:t>
      </w:r>
      <w:r>
        <w:t>c</w:t>
      </w:r>
      <w:r w:rsidRPr="002D2DDC">
        <w:t>ounterpart.</w:t>
      </w:r>
      <w:r>
        <w:t xml:space="preserve"> The </w:t>
      </w:r>
      <w:r w:rsidRPr="00635D4F">
        <w:t>governance structure</w:t>
      </w:r>
      <w:r>
        <w:t xml:space="preserve"> for the program provides for strategic engagement between GoI, DFAT and program partners.</w:t>
      </w:r>
      <w:r w:rsidR="00BB014C">
        <w:t xml:space="preserve"> It will include a high-level </w:t>
      </w:r>
      <w:r w:rsidR="0058331B">
        <w:t>Steering Committee co-</w:t>
      </w:r>
      <w:r w:rsidR="00BB014C">
        <w:t>chaired by GOI</w:t>
      </w:r>
      <w:r w:rsidR="005349D9">
        <w:t xml:space="preserve"> and</w:t>
      </w:r>
      <w:r w:rsidR="00BB014C">
        <w:t xml:space="preserve"> GOA</w:t>
      </w:r>
      <w:r w:rsidR="005349D9">
        <w:t xml:space="preserve">, supported by </w:t>
      </w:r>
      <w:r w:rsidR="00BB014C">
        <w:t>the Managing Contractor</w:t>
      </w:r>
      <w:r w:rsidR="00CD5568">
        <w:t>;</w:t>
      </w:r>
      <w:r w:rsidR="00BB014C">
        <w:t xml:space="preserve"> and</w:t>
      </w:r>
      <w:r w:rsidR="003425B6">
        <w:t xml:space="preserve"> may include</w:t>
      </w:r>
      <w:r w:rsidR="00BB014C">
        <w:t xml:space="preserve"> </w:t>
      </w:r>
      <w:r w:rsidR="00CD5568">
        <w:t xml:space="preserve">separate </w:t>
      </w:r>
      <w:r w:rsidR="0058331B">
        <w:t>Technical Working</w:t>
      </w:r>
      <w:r w:rsidR="00BB014C">
        <w:t xml:space="preserve">-level </w:t>
      </w:r>
      <w:r w:rsidR="0058331B">
        <w:t>Group</w:t>
      </w:r>
      <w:r w:rsidR="00DD7190">
        <w:t>s</w:t>
      </w:r>
      <w:r w:rsidR="0058331B">
        <w:t xml:space="preserve"> (TWG) </w:t>
      </w:r>
      <w:r w:rsidR="00CD5568">
        <w:t>for each pillar</w:t>
      </w:r>
      <w:r w:rsidR="00BB014C">
        <w:t xml:space="preserve">. The </w:t>
      </w:r>
      <w:r w:rsidR="00DD7190">
        <w:t>S</w:t>
      </w:r>
      <w:r w:rsidR="00BB014C">
        <w:t xml:space="preserve">teering </w:t>
      </w:r>
      <w:r w:rsidR="00DD7190">
        <w:t>C</w:t>
      </w:r>
      <w:r w:rsidR="00BB014C">
        <w:t xml:space="preserve">ommittee will meet </w:t>
      </w:r>
      <w:r w:rsidR="00242020">
        <w:t xml:space="preserve">at least </w:t>
      </w:r>
      <w:r w:rsidR="00BB014C">
        <w:t xml:space="preserve">annually and </w:t>
      </w:r>
      <w:r w:rsidR="005349D9">
        <w:t xml:space="preserve">approve </w:t>
      </w:r>
      <w:r w:rsidR="003425B6">
        <w:t>the</w:t>
      </w:r>
      <w:r w:rsidR="00BB014C">
        <w:t xml:space="preserve"> annual work plans</w:t>
      </w:r>
      <w:r w:rsidR="003425B6">
        <w:t xml:space="preserve"> for each pillar</w:t>
      </w:r>
      <w:r w:rsidR="00BB014C">
        <w:t xml:space="preserve">.  </w:t>
      </w:r>
    </w:p>
    <w:p w14:paraId="4E647A6E" w14:textId="3BBCD30B" w:rsidR="00F007ED" w:rsidRDefault="002D2DDC" w:rsidP="00F007ED">
      <w:r>
        <w:t xml:space="preserve">A </w:t>
      </w:r>
      <w:r w:rsidRPr="00635D4F">
        <w:t>delivery approach</w:t>
      </w:r>
      <w:r>
        <w:t xml:space="preserve"> will be used which combines a Managing Contractor </w:t>
      </w:r>
      <w:r w:rsidR="003425B6">
        <w:t xml:space="preserve">providing technical assistance as well as </w:t>
      </w:r>
      <w:r>
        <w:t>direct grants</w:t>
      </w:r>
      <w:r w:rsidR="003425B6">
        <w:t xml:space="preserve"> to other partners</w:t>
      </w:r>
      <w:r>
        <w:t xml:space="preserve">. This approach allows flexibility in managing the range of government and non-government local partners necessary to achieve the outcomes sought under each program pillar. The Managing Contractor will play a critical role in program </w:t>
      </w:r>
      <w:r w:rsidR="00F007ED">
        <w:t>planning</w:t>
      </w:r>
      <w:r w:rsidR="006E0376">
        <w:t xml:space="preserve"> and implementation</w:t>
      </w:r>
      <w:r w:rsidR="00F007ED">
        <w:t>, m</w:t>
      </w:r>
      <w:r>
        <w:t xml:space="preserve">onitoring </w:t>
      </w:r>
      <w:r w:rsidR="00F007ED">
        <w:t>e</w:t>
      </w:r>
      <w:r>
        <w:t xml:space="preserve">valuation and </w:t>
      </w:r>
      <w:r w:rsidR="00F007ED">
        <w:t>l</w:t>
      </w:r>
      <w:r>
        <w:t xml:space="preserve">earning, gender and social inclusion </w:t>
      </w:r>
      <w:r w:rsidR="005349D9">
        <w:t xml:space="preserve">technical advisory </w:t>
      </w:r>
      <w:r>
        <w:t xml:space="preserve">services across all partners, as well as financial management for advisory support and grants. Financial management of </w:t>
      </w:r>
      <w:r w:rsidR="00082236">
        <w:t xml:space="preserve">multilateral </w:t>
      </w:r>
      <w:r w:rsidR="005349D9">
        <w:t>grant agreements</w:t>
      </w:r>
      <w:r>
        <w:t xml:space="preserve"> will be managed directly by DFAT. </w:t>
      </w:r>
    </w:p>
    <w:p w14:paraId="6E525034" w14:textId="580D58AC" w:rsidR="00F007ED" w:rsidRDefault="00F007ED" w:rsidP="00F007ED">
      <w:r>
        <w:t xml:space="preserve">The Managing Contractor will require the personnel and systems to deliver </w:t>
      </w:r>
      <w:r w:rsidRPr="00635D4F">
        <w:t>flexible, adaptive programming</w:t>
      </w:r>
      <w:r>
        <w:t xml:space="preserve"> that remains focused on the four end-of-program outcomes</w:t>
      </w:r>
      <w:r w:rsidR="003425B6">
        <w:t xml:space="preserve"> (three pillars and cross-cutting themes)</w:t>
      </w:r>
      <w:r>
        <w:t xml:space="preserve">. The Managing Contractor will use a range of methods to test and adapt strategy and action in order to build on what is working and locally embedded, rather than rolling out an externally created blueprint for organisational reform and DRM.  A close partnership between GoI, GoA and the Managing Contractor will enable the program to navigate complex dynamics of DRM policy development and public sector reform implementation. </w:t>
      </w:r>
      <w:r w:rsidR="009323C7">
        <w:t>If the option to extend is exercised, new end of program outcomes will be agreed by the Steering Committee.</w:t>
      </w:r>
    </w:p>
    <w:p w14:paraId="333D37ED" w14:textId="77777777" w:rsidR="00CE081D" w:rsidRDefault="00CE081D" w:rsidP="00F007ED"/>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7D01B9" w:rsidRPr="0072601F" w14:paraId="2311F7F0" w14:textId="77777777" w:rsidTr="006F2D06">
        <w:trPr>
          <w:trHeight w:val="360"/>
          <w:tblHeader/>
          <w:jc w:val="center"/>
        </w:trPr>
        <w:tc>
          <w:tcPr>
            <w:tcW w:w="9738" w:type="dxa"/>
            <w:shd w:val="clear" w:color="auto" w:fill="B4C6E7" w:themeFill="accent1" w:themeFillTint="66"/>
          </w:tcPr>
          <w:p w14:paraId="4A61C010" w14:textId="50C66E61" w:rsidR="007D01B9" w:rsidRPr="0072601F" w:rsidRDefault="006E3D3D" w:rsidP="006F2D06">
            <w:pPr>
              <w:pStyle w:val="Heading2"/>
            </w:pPr>
            <w:bookmarkStart w:id="17" w:name="_Toc514853173"/>
            <w:bookmarkStart w:id="18" w:name="_Toc525550761"/>
            <w:r>
              <w:t xml:space="preserve">C:  </w:t>
            </w:r>
            <w:r w:rsidR="007D01B9" w:rsidRPr="0072601F">
              <w:t>Analysis and Strategic Context</w:t>
            </w:r>
            <w:bookmarkEnd w:id="17"/>
            <w:bookmarkEnd w:id="18"/>
          </w:p>
        </w:tc>
      </w:tr>
    </w:tbl>
    <w:p w14:paraId="4AF8F742" w14:textId="77777777" w:rsidR="007D01B9" w:rsidRPr="00B40D77" w:rsidRDefault="007D01B9" w:rsidP="00AA6E68">
      <w:pPr>
        <w:pStyle w:val="Heading3"/>
      </w:pPr>
      <w:bookmarkStart w:id="19" w:name="_Toc525550762"/>
      <w:r w:rsidRPr="00B40D77">
        <w:t>Country/Regional and Sector Issues</w:t>
      </w:r>
      <w:bookmarkEnd w:id="19"/>
    </w:p>
    <w:p w14:paraId="0421D2F3" w14:textId="00E67970" w:rsidR="006D241B" w:rsidRDefault="006D241B" w:rsidP="00D70CF4">
      <w:pPr>
        <w:pStyle w:val="Heading4"/>
      </w:pPr>
      <w:r>
        <w:t>Disaster Risk Management</w:t>
      </w:r>
    </w:p>
    <w:p w14:paraId="3CE9CE92" w14:textId="274D2086" w:rsidR="002E3E4D" w:rsidRDefault="002E3E4D" w:rsidP="002E3E4D">
      <w:r>
        <w:t xml:space="preserve">Preventing, reducing and managing disaster risks can protect economies from unexpected shocks, safeguards assets and infrastructure to help rapid economic and social recovery, and protects human capital from loss of life, injury and long-term vulnerability.  Investing in disaster risk management </w:t>
      </w:r>
      <w:r w:rsidR="006D241B">
        <w:t xml:space="preserve">(DRM) </w:t>
      </w:r>
      <w:r>
        <w:t>is good economics</w:t>
      </w:r>
      <w:r w:rsidR="006D241B">
        <w:t xml:space="preserve">: </w:t>
      </w:r>
    </w:p>
    <w:p w14:paraId="70A6809E" w14:textId="37CA0523" w:rsidR="002E3E4D" w:rsidRDefault="002E3E4D" w:rsidP="007C7BBD">
      <w:pPr>
        <w:pStyle w:val="BodyText"/>
        <w:ind w:left="720"/>
        <w:rPr>
          <w:i/>
        </w:rPr>
      </w:pPr>
      <w:r>
        <w:t xml:space="preserve">“Even the most conservative estimates suggest that $1 invested in disaster risk reduction activities saves up to $15 in response and recovery in the aftermath of a disaster” </w:t>
      </w:r>
      <w:r w:rsidRPr="003D5569">
        <w:rPr>
          <w:i/>
        </w:rPr>
        <w:t xml:space="preserve">DFAT Humanitarian Strategy 2016 </w:t>
      </w:r>
      <w:r w:rsidR="00412E88" w:rsidRPr="003D5569">
        <w:rPr>
          <w:i/>
        </w:rPr>
        <w:t>pg.</w:t>
      </w:r>
      <w:r w:rsidR="006B28F9">
        <w:rPr>
          <w:i/>
        </w:rPr>
        <w:t xml:space="preserve"> </w:t>
      </w:r>
      <w:r w:rsidRPr="003D5569">
        <w:rPr>
          <w:i/>
        </w:rPr>
        <w:t>12</w:t>
      </w:r>
    </w:p>
    <w:p w14:paraId="56FC8D4B" w14:textId="76AD7E95" w:rsidR="006D241B" w:rsidRDefault="006D241B" w:rsidP="002E3E4D">
      <w:pPr>
        <w:pStyle w:val="BodyText"/>
        <w:rPr>
          <w:rStyle w:val="apple-converted-space"/>
        </w:rPr>
      </w:pPr>
      <w:r>
        <w:t>DRM</w:t>
      </w:r>
      <w:r w:rsidR="002E3E4D">
        <w:t xml:space="preserve"> can be understood as the plans and actions taken to prevent new disaster risk (</w:t>
      </w:r>
      <w:r w:rsidR="00412E88">
        <w:t>e.g.</w:t>
      </w:r>
      <w:r w:rsidR="002E3E4D">
        <w:t xml:space="preserve"> better land-use planning or disaster resistant water supply systems), reduce existing disaster risk (</w:t>
      </w:r>
      <w:r w:rsidR="00412E88">
        <w:t>e.g.</w:t>
      </w:r>
      <w:r w:rsidR="002E3E4D">
        <w:t xml:space="preserve"> retrofitting critical infrastructure or relocation of exposed populations or assets) and manage residual risk (strengthen resilience of individuals and societies, including preparedness, response and recovery activities and a range of financing instruments such as contingency funds, insurance and social safety nets</w:t>
      </w:r>
      <w:r w:rsidR="002E3E4D">
        <w:rPr>
          <w:rStyle w:val="apple-converted-space"/>
        </w:rPr>
        <w:t xml:space="preserve">).  </w:t>
      </w:r>
    </w:p>
    <w:p w14:paraId="3EA11579" w14:textId="30B62263" w:rsidR="002E3E4D" w:rsidRDefault="002E3E4D" w:rsidP="002E3E4D">
      <w:pPr>
        <w:pStyle w:val="BodyText"/>
        <w:rPr>
          <w:rStyle w:val="apple-converted-space"/>
        </w:rPr>
      </w:pPr>
      <w:r>
        <w:rPr>
          <w:rStyle w:val="apple-converted-space"/>
        </w:rPr>
        <w:t>The goal, or end result of DRM</w:t>
      </w:r>
      <w:r w:rsidR="0058331B">
        <w:rPr>
          <w:rStyle w:val="apple-converted-space"/>
        </w:rPr>
        <w:t>,</w:t>
      </w:r>
      <w:r>
        <w:rPr>
          <w:rStyle w:val="apple-converted-space"/>
        </w:rPr>
        <w:t xml:space="preserve"> is disaster risk reduction</w:t>
      </w:r>
      <w:r w:rsidR="006D241B">
        <w:rPr>
          <w:rStyle w:val="apple-converted-space"/>
        </w:rPr>
        <w:t xml:space="preserve"> (DRR)</w:t>
      </w:r>
      <w:r>
        <w:rPr>
          <w:rStyle w:val="FootnoteReference"/>
        </w:rPr>
        <w:footnoteReference w:id="4"/>
      </w:r>
      <w:r>
        <w:rPr>
          <w:rStyle w:val="apple-converted-space"/>
        </w:rPr>
        <w:t xml:space="preserve">. </w:t>
      </w:r>
    </w:p>
    <w:p w14:paraId="20CB29B6" w14:textId="6198516E" w:rsidR="0021250F" w:rsidRDefault="009138D4" w:rsidP="007C7BBD">
      <w:pPr>
        <w:pStyle w:val="Heading4"/>
      </w:pPr>
      <w:r>
        <w:t xml:space="preserve">Indonesia </w:t>
      </w:r>
      <w:r w:rsidR="0021250F">
        <w:t>Disaster Profile</w:t>
      </w:r>
    </w:p>
    <w:p w14:paraId="08033BE4" w14:textId="5D3A1987" w:rsidR="002E3E4D" w:rsidRDefault="00C969A3" w:rsidP="007D01B9">
      <w:r>
        <w:t xml:space="preserve">Indonesia is located on the Pacific Ring of Fire and at the meeting points of three tectonic plates. This means Indonesia is one of the most volcano, earthquake and tsunami prone regions in the world. </w:t>
      </w:r>
      <w:r w:rsidR="00DD7190">
        <w:t>Over 90% of Indonesia’s 262 million people exposed to a range of hazards including earthquakes, flooding, tsunami, volcanoes, forest fire, drought, epidemics and disease outbreaks. As of October 2018, t</w:t>
      </w:r>
      <w:r>
        <w:t xml:space="preserve">here </w:t>
      </w:r>
      <w:r w:rsidR="00DD7190">
        <w:t>were</w:t>
      </w:r>
      <w:r>
        <w:t xml:space="preserve"> 21 active volcanoes listed at caution level or higher and hundreds of earthquake above magnitude 5</w:t>
      </w:r>
      <w:r w:rsidR="00DD7190">
        <w:t>.</w:t>
      </w:r>
      <w:r>
        <w:t>0 have been recorde</w:t>
      </w:r>
      <w:r w:rsidR="00DD7190">
        <w:t>d in 2018</w:t>
      </w:r>
      <w:r>
        <w:t xml:space="preserve"> alone. </w:t>
      </w:r>
      <w:r w:rsidR="001D311E">
        <w:t>Up to mid-September</w:t>
      </w:r>
      <w:r w:rsidR="00DD7190">
        <w:t xml:space="preserve"> 2018</w:t>
      </w:r>
      <w:r w:rsidR="001D311E">
        <w:t xml:space="preserve">, BNPB had recorded 1,230 natural disaster in 2018 that affected more than 777,000 people (note these figures do not account for Central Sulawesi disaster). </w:t>
      </w:r>
      <w:r w:rsidR="00DD7190">
        <w:t xml:space="preserve">The period </w:t>
      </w:r>
      <w:r w:rsidR="001D311E">
        <w:t xml:space="preserve">2013 – 2017 </w:t>
      </w:r>
      <w:r w:rsidR="00DD7190">
        <w:t xml:space="preserve">saw </w:t>
      </w:r>
      <w:r w:rsidR="001D311E">
        <w:t xml:space="preserve">on average almost 3 million people </w:t>
      </w:r>
      <w:r w:rsidR="00DD7190">
        <w:t xml:space="preserve">affected by disasters </w:t>
      </w:r>
      <w:r w:rsidR="001D311E">
        <w:t>each year.</w:t>
      </w:r>
    </w:p>
    <w:p w14:paraId="6F6492F7" w14:textId="12DAB767" w:rsidR="001D00AF" w:rsidRDefault="007D01B9" w:rsidP="007D01B9">
      <w:r>
        <w:t>Managing disaster risks and responding to disasters has been a national priority since the</w:t>
      </w:r>
      <w:r w:rsidRPr="00B164E1">
        <w:t xml:space="preserve"> catastrophic</w:t>
      </w:r>
      <w:r>
        <w:t xml:space="preserve"> 2004 Indian Ocean Tsunami which resulted in</w:t>
      </w:r>
      <w:r w:rsidR="00CE081D">
        <w:t xml:space="preserve"> approximately 160,000 </w:t>
      </w:r>
      <w:r>
        <w:t xml:space="preserve">deaths, </w:t>
      </w:r>
      <w:r w:rsidR="00CE081D">
        <w:t>over 5</w:t>
      </w:r>
      <w:r w:rsidRPr="00B164E1">
        <w:t xml:space="preserve">00,000 people </w:t>
      </w:r>
      <w:r w:rsidR="001A4E62" w:rsidRPr="00B164E1">
        <w:t>displaced,</w:t>
      </w:r>
      <w:r w:rsidRPr="005379C1">
        <w:t xml:space="preserve"> </w:t>
      </w:r>
      <w:r>
        <w:t xml:space="preserve">and economic loss </w:t>
      </w:r>
      <w:r w:rsidRPr="00B164E1">
        <w:t>estimated at US4.5billion</w:t>
      </w:r>
      <w:r w:rsidR="00C43455">
        <w:t>.</w:t>
      </w:r>
      <w:r w:rsidRPr="00B164E1">
        <w:rPr>
          <w:rStyle w:val="FootnoteReference"/>
          <w:rFonts w:ascii="Calibri" w:hAnsi="Calibri" w:cs="Calibri"/>
        </w:rPr>
        <w:footnoteReference w:id="5"/>
      </w:r>
      <w:r w:rsidR="00806170">
        <w:t xml:space="preserve"> </w:t>
      </w:r>
      <w:r w:rsidR="002124AF">
        <w:t>Following the Indian Ocean Tsunami experience, Indonesia rapidly developed its own DRM and response capacities and become a global and regional advocate in the Asia Pacific region for better policy and action to reduce disaster risks.</w:t>
      </w:r>
    </w:p>
    <w:p w14:paraId="19DD2CC4" w14:textId="583C9948" w:rsidR="005C2B99" w:rsidRDefault="00475C9C" w:rsidP="00CF5F11">
      <w:r>
        <w:t xml:space="preserve">The </w:t>
      </w:r>
      <w:r w:rsidR="00ED70C5">
        <w:t xml:space="preserve">boxing-day tsunami </w:t>
      </w:r>
      <w:r w:rsidR="007D01B9">
        <w:t xml:space="preserve">experience </w:t>
      </w:r>
      <w:r w:rsidR="00B91C3F">
        <w:t xml:space="preserve">also </w:t>
      </w:r>
      <w:r w:rsidR="007D01B9">
        <w:t xml:space="preserve">reshaped the global approach to disasters with a new recognition of the value of </w:t>
      </w:r>
      <w:r w:rsidR="001174BD">
        <w:t>DRR</w:t>
      </w:r>
      <w:r w:rsidR="007D01B9">
        <w:t xml:space="preserve">, expressed in the first global action plan for DRR in 2005: the Hyogo Framework for Action 2005 – 2015. This has been reinforced and developed further through the second global action plan, the Sendai Framework for DRR 2015 - 2030. </w:t>
      </w:r>
      <w:r>
        <w:t xml:space="preserve">The Sendai Framework </w:t>
      </w:r>
      <w:r w:rsidR="00CF5F11">
        <w:t xml:space="preserve">highlights </w:t>
      </w:r>
      <w:r>
        <w:t xml:space="preserve">the </w:t>
      </w:r>
      <w:r w:rsidR="00CF5F11">
        <w:t xml:space="preserve">significance </w:t>
      </w:r>
      <w:r w:rsidR="00FC5215">
        <w:t xml:space="preserve">of </w:t>
      </w:r>
      <w:r w:rsidR="00CF5F11">
        <w:t xml:space="preserve">effective </w:t>
      </w:r>
      <w:r w:rsidR="006D241B">
        <w:t>DRM</w:t>
      </w:r>
      <w:r w:rsidR="00FC5215">
        <w:t xml:space="preserve"> for a country’s </w:t>
      </w:r>
      <w:r>
        <w:t xml:space="preserve">development. Development gains are reversed by disasters – in Aceh </w:t>
      </w:r>
      <w:r w:rsidR="00FF00FD">
        <w:t xml:space="preserve">post-tsunami </w:t>
      </w:r>
      <w:r>
        <w:t>the poverty rate increased from 28.4% to 32.6% while in the rest of the country the poverty rate was decreasing</w:t>
      </w:r>
      <w:r>
        <w:rPr>
          <w:rStyle w:val="FootnoteReference"/>
        </w:rPr>
        <w:footnoteReference w:id="6"/>
      </w:r>
      <w:r>
        <w:t xml:space="preserve">. </w:t>
      </w:r>
      <w:r w:rsidR="00FC5215">
        <w:t>By reducing disaster risks and improving preparedness for hazards</w:t>
      </w:r>
      <w:r w:rsidR="006D241B">
        <w:t>,</w:t>
      </w:r>
      <w:r w:rsidR="00FC5215">
        <w:t xml:space="preserve"> countries can protect social and economic development. </w:t>
      </w:r>
      <w:r w:rsidR="007D01B9">
        <w:t xml:space="preserve">As a middle-income country and member of the G20, Indonesia is taking an increasingly prominent international role including through </w:t>
      </w:r>
      <w:r w:rsidR="00D0024C">
        <w:t xml:space="preserve">providing </w:t>
      </w:r>
      <w:r w:rsidR="00EB4D27">
        <w:t xml:space="preserve">international </w:t>
      </w:r>
      <w:r w:rsidR="007D01B9">
        <w:t xml:space="preserve">humanitarian assistance. </w:t>
      </w:r>
    </w:p>
    <w:p w14:paraId="458B9008" w14:textId="297EB912" w:rsidR="007D01B9" w:rsidRPr="00671961" w:rsidRDefault="00671961" w:rsidP="00CF5F11">
      <w:pPr>
        <w:rPr>
          <w:lang w:val="en-AU"/>
        </w:rPr>
      </w:pPr>
      <w:r>
        <w:t>In 2011</w:t>
      </w:r>
      <w:r w:rsidR="00D0024C">
        <w:t>,</w:t>
      </w:r>
      <w:r w:rsidR="00B91C3F">
        <w:t xml:space="preserve"> the then</w:t>
      </w:r>
      <w:r>
        <w:t xml:space="preserve"> Indonesian</w:t>
      </w:r>
      <w:r w:rsidR="005C2B99">
        <w:t xml:space="preserve"> </w:t>
      </w:r>
      <w:r>
        <w:t xml:space="preserve">President </w:t>
      </w:r>
      <w:r w:rsidR="00ED70C5">
        <w:t>(</w:t>
      </w:r>
      <w:r w:rsidRPr="00671961">
        <w:rPr>
          <w:lang w:val="en-AU"/>
        </w:rPr>
        <w:t>Susilo Bambang Yudhoyono</w:t>
      </w:r>
      <w:r w:rsidR="00ED70C5">
        <w:rPr>
          <w:lang w:val="en-AU"/>
        </w:rPr>
        <w:t>)</w:t>
      </w:r>
      <w:r w:rsidRPr="00671961">
        <w:rPr>
          <w:lang w:val="en-AU"/>
        </w:rPr>
        <w:t xml:space="preserve"> </w:t>
      </w:r>
      <w:r>
        <w:rPr>
          <w:lang w:val="en-AU"/>
        </w:rPr>
        <w:t xml:space="preserve">was recognised as the </w:t>
      </w:r>
      <w:r w:rsidRPr="00671961">
        <w:rPr>
          <w:lang w:val="en-AU"/>
        </w:rPr>
        <w:t>UNISDR Global Champ</w:t>
      </w:r>
      <w:r>
        <w:rPr>
          <w:lang w:val="en-AU"/>
        </w:rPr>
        <w:t xml:space="preserve">ion for </w:t>
      </w:r>
      <w:r w:rsidR="00E87519">
        <w:rPr>
          <w:lang w:val="en-AU"/>
        </w:rPr>
        <w:t>DRR</w:t>
      </w:r>
      <w:r w:rsidR="0099525B">
        <w:rPr>
          <w:rStyle w:val="FootnoteReference"/>
          <w:lang w:val="en-AU"/>
        </w:rPr>
        <w:footnoteReference w:id="7"/>
      </w:r>
      <w:r>
        <w:rPr>
          <w:lang w:val="en-AU"/>
        </w:rPr>
        <w:t xml:space="preserve">. </w:t>
      </w:r>
      <w:r w:rsidR="007D01B9">
        <w:t>In recent</w:t>
      </w:r>
      <w:r w:rsidR="005C2B99">
        <w:t xml:space="preserve"> </w:t>
      </w:r>
      <w:r w:rsidR="007D01B9">
        <w:t>years</w:t>
      </w:r>
      <w:r w:rsidR="00ED70C5">
        <w:t>,</w:t>
      </w:r>
      <w:r w:rsidR="007D01B9">
        <w:t xml:space="preserve"> in the Asia-Pacific region </w:t>
      </w:r>
      <w:r w:rsidR="007D01B9" w:rsidRPr="00ED70C5">
        <w:rPr>
          <w:rFonts w:cstheme="minorHAnsi"/>
          <w:szCs w:val="20"/>
        </w:rPr>
        <w:t xml:space="preserve">Indonesia has responded to the Rohingya humanitarian crisis, Fiji and Vanuatu cyclones, and engaged in peace negotiations in Afghanistan. </w:t>
      </w:r>
      <w:r w:rsidR="00D0024C" w:rsidRPr="00ED70C5">
        <w:rPr>
          <w:rFonts w:cstheme="minorHAnsi"/>
          <w:szCs w:val="20"/>
        </w:rPr>
        <w:t xml:space="preserve">Indonesia has also provided assistance to Australia in response to fires and floods. </w:t>
      </w:r>
      <w:r w:rsidR="00B91C3F">
        <w:rPr>
          <w:rFonts w:cstheme="minorHAnsi"/>
          <w:szCs w:val="20"/>
        </w:rPr>
        <w:t>Indonesia hosted</w:t>
      </w:r>
      <w:r w:rsidR="007D01B9" w:rsidRPr="00ED70C5">
        <w:rPr>
          <w:rFonts w:cstheme="minorHAnsi"/>
          <w:szCs w:val="20"/>
        </w:rPr>
        <w:t xml:space="preserve"> </w:t>
      </w:r>
      <w:r w:rsidR="00ED70C5" w:rsidRPr="00ED70C5">
        <w:rPr>
          <w:rFonts w:cstheme="minorHAnsi"/>
          <w:szCs w:val="20"/>
        </w:rPr>
        <w:t>the</w:t>
      </w:r>
      <w:r w:rsidR="00ED70C5" w:rsidRPr="00ED70C5">
        <w:rPr>
          <w:rFonts w:cstheme="minorHAnsi"/>
          <w:bCs/>
          <w:color w:val="222222"/>
          <w:szCs w:val="20"/>
        </w:rPr>
        <w:t xml:space="preserve"> </w:t>
      </w:r>
      <w:r w:rsidR="00ED70C5" w:rsidRPr="00ED70C5">
        <w:rPr>
          <w:rFonts w:cstheme="minorHAnsi"/>
          <w:bCs/>
          <w:szCs w:val="20"/>
        </w:rPr>
        <w:t xml:space="preserve">Asian </w:t>
      </w:r>
      <w:r w:rsidR="00ED70C5">
        <w:rPr>
          <w:rFonts w:cstheme="minorHAnsi"/>
          <w:bCs/>
          <w:szCs w:val="20"/>
        </w:rPr>
        <w:t>M</w:t>
      </w:r>
      <w:r w:rsidR="00ED70C5" w:rsidRPr="00ED70C5">
        <w:rPr>
          <w:rFonts w:cstheme="minorHAnsi"/>
          <w:bCs/>
          <w:szCs w:val="20"/>
        </w:rPr>
        <w:t xml:space="preserve">inisterial </w:t>
      </w:r>
      <w:r w:rsidR="00ED70C5">
        <w:rPr>
          <w:rFonts w:cstheme="minorHAnsi"/>
          <w:bCs/>
          <w:szCs w:val="20"/>
        </w:rPr>
        <w:t>C</w:t>
      </w:r>
      <w:r w:rsidR="00ED70C5" w:rsidRPr="00ED70C5">
        <w:rPr>
          <w:rFonts w:cstheme="minorHAnsi"/>
          <w:bCs/>
          <w:szCs w:val="20"/>
        </w:rPr>
        <w:t xml:space="preserve">onference for </w:t>
      </w:r>
      <w:r w:rsidR="00ED70C5">
        <w:rPr>
          <w:rFonts w:cstheme="minorHAnsi"/>
          <w:bCs/>
          <w:szCs w:val="20"/>
        </w:rPr>
        <w:t>D</w:t>
      </w:r>
      <w:r w:rsidR="00ED70C5" w:rsidRPr="00ED70C5">
        <w:rPr>
          <w:rFonts w:cstheme="minorHAnsi"/>
          <w:bCs/>
          <w:szCs w:val="20"/>
        </w:rPr>
        <w:t xml:space="preserve">isaster </w:t>
      </w:r>
      <w:r w:rsidR="00ED70C5">
        <w:rPr>
          <w:rFonts w:cstheme="minorHAnsi"/>
          <w:bCs/>
          <w:szCs w:val="20"/>
        </w:rPr>
        <w:t>R</w:t>
      </w:r>
      <w:r w:rsidR="00ED70C5" w:rsidRPr="00ED70C5">
        <w:rPr>
          <w:rFonts w:cstheme="minorHAnsi"/>
          <w:bCs/>
          <w:szCs w:val="20"/>
        </w:rPr>
        <w:t xml:space="preserve">isk </w:t>
      </w:r>
      <w:r w:rsidR="00ED70C5">
        <w:rPr>
          <w:rFonts w:cstheme="minorHAnsi"/>
          <w:bCs/>
          <w:szCs w:val="20"/>
        </w:rPr>
        <w:t>R</w:t>
      </w:r>
      <w:r w:rsidR="00ED70C5" w:rsidRPr="00ED70C5">
        <w:rPr>
          <w:rFonts w:cstheme="minorHAnsi"/>
          <w:bCs/>
          <w:szCs w:val="20"/>
        </w:rPr>
        <w:t>eduction</w:t>
      </w:r>
      <w:r w:rsidR="00ED70C5" w:rsidRPr="00ED70C5">
        <w:rPr>
          <w:rFonts w:cstheme="minorHAnsi"/>
          <w:szCs w:val="20"/>
        </w:rPr>
        <w:t xml:space="preserve"> (AMCDRR) </w:t>
      </w:r>
      <w:r w:rsidR="00ED70C5">
        <w:rPr>
          <w:rFonts w:cstheme="minorHAnsi"/>
          <w:szCs w:val="20"/>
        </w:rPr>
        <w:t>in 2012 and</w:t>
      </w:r>
      <w:r w:rsidR="00ED70C5" w:rsidRPr="00ED70C5">
        <w:rPr>
          <w:rFonts w:cstheme="minorHAnsi"/>
          <w:szCs w:val="20"/>
        </w:rPr>
        <w:t xml:space="preserve"> </w:t>
      </w:r>
      <w:r w:rsidR="00B91C3F">
        <w:rPr>
          <w:rFonts w:cstheme="minorHAnsi"/>
          <w:szCs w:val="20"/>
        </w:rPr>
        <w:t xml:space="preserve">currently hosts </w:t>
      </w:r>
      <w:r w:rsidR="007D01B9" w:rsidRPr="00ED70C5">
        <w:rPr>
          <w:rFonts w:cstheme="minorHAnsi"/>
          <w:szCs w:val="20"/>
        </w:rPr>
        <w:t>the ASEAN Coordinating Centre for Humanitarian Assista</w:t>
      </w:r>
      <w:r w:rsidR="001A4E62" w:rsidRPr="00ED70C5">
        <w:rPr>
          <w:rFonts w:cstheme="minorHAnsi"/>
          <w:szCs w:val="20"/>
        </w:rPr>
        <w:t>nce</w:t>
      </w:r>
      <w:r w:rsidR="00EB4D27" w:rsidRPr="00ED70C5">
        <w:rPr>
          <w:rFonts w:cstheme="minorHAnsi"/>
          <w:szCs w:val="20"/>
        </w:rPr>
        <w:t xml:space="preserve"> on Disaster Management</w:t>
      </w:r>
      <w:r w:rsidR="001A4E62" w:rsidRPr="00ED70C5">
        <w:rPr>
          <w:rFonts w:cstheme="minorHAnsi"/>
          <w:szCs w:val="20"/>
        </w:rPr>
        <w:t xml:space="preserve"> (AHA</w:t>
      </w:r>
      <w:r w:rsidR="00B94D0F" w:rsidRPr="00ED70C5">
        <w:rPr>
          <w:rFonts w:cstheme="minorHAnsi"/>
          <w:szCs w:val="20"/>
        </w:rPr>
        <w:t xml:space="preserve"> Centre</w:t>
      </w:r>
      <w:r w:rsidR="001A4E62" w:rsidRPr="00ED70C5">
        <w:rPr>
          <w:rFonts w:cstheme="minorHAnsi"/>
          <w:szCs w:val="20"/>
        </w:rPr>
        <w:t>)</w:t>
      </w:r>
      <w:r w:rsidR="00ED70C5">
        <w:rPr>
          <w:rFonts w:cstheme="minorHAnsi"/>
          <w:szCs w:val="20"/>
        </w:rPr>
        <w:t xml:space="preserve">. The </w:t>
      </w:r>
      <w:r w:rsidR="00B91C3F">
        <w:rPr>
          <w:rFonts w:cstheme="minorHAnsi"/>
          <w:szCs w:val="20"/>
        </w:rPr>
        <w:t>AHA Centre</w:t>
      </w:r>
      <w:r w:rsidR="001A4E62" w:rsidRPr="00ED70C5">
        <w:rPr>
          <w:rFonts w:cstheme="minorHAnsi"/>
          <w:szCs w:val="20"/>
        </w:rPr>
        <w:t xml:space="preserve"> facilitates</w:t>
      </w:r>
      <w:r w:rsidR="001A4E62">
        <w:t xml:space="preserve"> co</w:t>
      </w:r>
      <w:r w:rsidR="007D01B9">
        <w:t xml:space="preserve">ordinated disaster response and disaster management amongst ASEAN member countries. </w:t>
      </w:r>
      <w:r w:rsidR="00FC5215">
        <w:t>Indonesia influenced the development of the Hyogo and Sendai Framework</w:t>
      </w:r>
      <w:r w:rsidR="00CF5F11">
        <w:t>s</w:t>
      </w:r>
      <w:r w:rsidR="00FC5215">
        <w:t xml:space="preserve"> and leads the </w:t>
      </w:r>
      <w:r w:rsidR="00A83EAD">
        <w:t xml:space="preserve">Asia Pacific </w:t>
      </w:r>
      <w:r w:rsidR="00FC5215">
        <w:t>region in domestic implementation and reporting on the Sendai Framework.</w:t>
      </w:r>
      <w:r w:rsidR="00CF5F11" w:rsidRPr="00CF5F11">
        <w:t xml:space="preserve"> </w:t>
      </w:r>
      <w:r w:rsidR="00CF5F11">
        <w:t>It was the first country in the region to present its baseline status report on implementation of the Sendai Framework at the Asian Ministerial Conference on Disaster Risk Reduction in 2016</w:t>
      </w:r>
      <w:r w:rsidR="00CF5F11">
        <w:rPr>
          <w:rStyle w:val="FootnoteReference"/>
        </w:rPr>
        <w:footnoteReference w:id="8"/>
      </w:r>
      <w:r w:rsidR="00CF5F11">
        <w:t>.</w:t>
      </w:r>
    </w:p>
    <w:p w14:paraId="16215B40" w14:textId="0F0BD8BF" w:rsidR="007D01B9" w:rsidRDefault="005C2B99" w:rsidP="007D01B9">
      <w:r>
        <w:rPr>
          <w:noProof/>
          <w:lang w:val="en-AU" w:eastAsia="en-AU"/>
        </w:rPr>
        <w:drawing>
          <wp:anchor distT="0" distB="0" distL="114300" distR="114300" simplePos="0" relativeHeight="251666432" behindDoc="1" locked="0" layoutInCell="1" allowOverlap="1" wp14:anchorId="22AC44DF" wp14:editId="3314963D">
            <wp:simplePos x="0" y="0"/>
            <wp:positionH relativeFrom="column">
              <wp:posOffset>2971800</wp:posOffset>
            </wp:positionH>
            <wp:positionV relativeFrom="paragraph">
              <wp:posOffset>0</wp:posOffset>
            </wp:positionV>
            <wp:extent cx="2858135" cy="6801485"/>
            <wp:effectExtent l="0" t="0" r="0" b="0"/>
            <wp:wrapTight wrapText="bothSides">
              <wp:wrapPolygon edited="0">
                <wp:start x="0" y="0"/>
                <wp:lineTo x="0" y="21537"/>
                <wp:lineTo x="21451" y="21537"/>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135" cy="6801485"/>
                    </a:xfrm>
                    <a:prstGeom prst="rect">
                      <a:avLst/>
                    </a:prstGeom>
                    <a:noFill/>
                  </pic:spPr>
                </pic:pic>
              </a:graphicData>
            </a:graphic>
            <wp14:sizeRelV relativeFrom="margin">
              <wp14:pctHeight>0</wp14:pctHeight>
            </wp14:sizeRelV>
          </wp:anchor>
        </w:drawing>
      </w:r>
      <w:r w:rsidR="007D01B9">
        <w:t xml:space="preserve">While significant progress has been made since 2004, Indonesia’s ambition </w:t>
      </w:r>
      <w:r w:rsidR="00EB4D27">
        <w:t xml:space="preserve">to </w:t>
      </w:r>
      <w:r w:rsidR="007D01B9">
        <w:t xml:space="preserve">significantly reduce the </w:t>
      </w:r>
      <w:r w:rsidR="00EB4D27">
        <w:t xml:space="preserve">disaster risk across the country </w:t>
      </w:r>
      <w:r w:rsidR="007D01B9">
        <w:t xml:space="preserve">is still to be realised. While the country has grown its economic resources, translating these resources into effective DRM across the archipelago remains a challenge. According to Indonesia’s Disaster Risk Index (IRBI 2013) eighty per cent of </w:t>
      </w:r>
      <w:r w:rsidR="0009618B">
        <w:t xml:space="preserve">the total 513 </w:t>
      </w:r>
      <w:r w:rsidR="007D01B9">
        <w:t>districts and municipalities have high to medium levels of disaster risk</w:t>
      </w:r>
      <w:r w:rsidR="00C43455">
        <w:t>.</w:t>
      </w:r>
      <w:r w:rsidR="005F74C7">
        <w:t xml:space="preserve"> </w:t>
      </w:r>
      <w:r w:rsidR="007D01B9">
        <w:t>Within these populations vulnerability to disaster is intensified for some people due to poverty and existing inequalities such as those based on gender, disability, age (elderly and children) and other factors such as sexual orientation. The disaster risk index does not yet account for these specific population vulnerabilities</w:t>
      </w:r>
      <w:r w:rsidR="00C43455">
        <w:t>.</w:t>
      </w:r>
    </w:p>
    <w:p w14:paraId="3DCFE3D3" w14:textId="1FA8E76C" w:rsidR="002124AF" w:rsidRDefault="00886B4C" w:rsidP="007D01B9">
      <w:r>
        <w:t xml:space="preserve">Indonesia regularly manages small scale disaster. Up to mid-September BNPB recorded 1,230 natural disasters in 2018 that affected around 777,000 people (note: these figures do not account for </w:t>
      </w:r>
      <w:r w:rsidR="00B91C3F">
        <w:t xml:space="preserve">the </w:t>
      </w:r>
      <w:r>
        <w:t xml:space="preserve">Central Sulawesi disaster). </w:t>
      </w:r>
    </w:p>
    <w:p w14:paraId="30E4E9F0" w14:textId="7032F73F" w:rsidR="0021250F" w:rsidRDefault="0021250F" w:rsidP="007C7BBD">
      <w:pPr>
        <w:pStyle w:val="Heading4"/>
      </w:pPr>
      <w:r>
        <w:t>Indonesia’s DRM Architecture</w:t>
      </w:r>
    </w:p>
    <w:p w14:paraId="18B65FA6" w14:textId="3C85C5C0" w:rsidR="007D01B9" w:rsidRDefault="007D01B9" w:rsidP="007D01B9">
      <w:r>
        <w:t>Much effort has been made over the last 14 years to establish the DRM architecture in Indonesia. The Indonesia Disaster Management Law in 2007</w:t>
      </w:r>
      <w:r>
        <w:rPr>
          <w:rStyle w:val="FootnoteReference"/>
          <w:rFonts w:ascii="Calibri" w:hAnsi="Calibri" w:cs="Calibri"/>
        </w:rPr>
        <w:footnoteReference w:id="9"/>
      </w:r>
      <w:r>
        <w:t xml:space="preserve"> saw the establishment of </w:t>
      </w:r>
      <w:r w:rsidR="00613115">
        <w:t>the N</w:t>
      </w:r>
      <w:r>
        <w:t xml:space="preserve">ational </w:t>
      </w:r>
      <w:r w:rsidR="00613115">
        <w:t>D</w:t>
      </w:r>
      <w:r>
        <w:t xml:space="preserve">isaster </w:t>
      </w:r>
      <w:r w:rsidR="00613115">
        <w:t>M</w:t>
      </w:r>
      <w:r>
        <w:t xml:space="preserve">anagement </w:t>
      </w:r>
      <w:r w:rsidR="00613115">
        <w:t>Authority (</w:t>
      </w:r>
      <w:r>
        <w:t xml:space="preserve">Badan Nasional Penanggulangan Bencana </w:t>
      </w:r>
      <w:r w:rsidR="00613115">
        <w:t xml:space="preserve"> - </w:t>
      </w:r>
      <w:r>
        <w:t xml:space="preserve">BNPB) in 2008.  Preventing, preparing for, responding to and recovering from disasters is articulated as a national priority across government in the National Medium-Term Development Plan </w:t>
      </w:r>
      <w:r w:rsidRPr="00383AEA">
        <w:rPr>
          <w:i/>
        </w:rPr>
        <w:t>Rencana Pembangunan Jangka Menengah</w:t>
      </w:r>
      <w:r>
        <w:t xml:space="preserve"> </w:t>
      </w:r>
      <w:r w:rsidR="005349D9" w:rsidRPr="005349D9">
        <w:rPr>
          <w:i/>
        </w:rPr>
        <w:t>Nasional</w:t>
      </w:r>
      <w:r w:rsidR="005349D9">
        <w:t xml:space="preserve"> </w:t>
      </w:r>
      <w:r>
        <w:t>(RPJM</w:t>
      </w:r>
      <w:r w:rsidR="002D2D99">
        <w:t>N</w:t>
      </w:r>
      <w:r>
        <w:t xml:space="preserve">) 2015 – 2019. </w:t>
      </w:r>
      <w:r w:rsidR="00B53837">
        <w:t>The plan recognises the links b</w:t>
      </w:r>
      <w:r w:rsidR="00383AEA">
        <w:t xml:space="preserve">etween </w:t>
      </w:r>
      <w:r w:rsidR="00E87519">
        <w:t xml:space="preserve">DRR </w:t>
      </w:r>
      <w:r w:rsidR="00B53837">
        <w:t>and mitigating and adapting to climate change</w:t>
      </w:r>
      <w:r w:rsidR="00C43455">
        <w:t>.</w:t>
      </w:r>
      <w:r w:rsidR="00B53837">
        <w:rPr>
          <w:rStyle w:val="FootnoteReference"/>
        </w:rPr>
        <w:footnoteReference w:id="10"/>
      </w:r>
      <w:r w:rsidR="00B53837">
        <w:t xml:space="preserve"> </w:t>
      </w:r>
      <w:r>
        <w:t xml:space="preserve">This plan identifies </w:t>
      </w:r>
      <w:r w:rsidRPr="00432460">
        <w:t>136 high disaster</w:t>
      </w:r>
      <w:r>
        <w:t xml:space="preserve"> risk municipalities and districts with </w:t>
      </w:r>
      <w:r w:rsidR="00C610F8">
        <w:t xml:space="preserve">high economic value, with a target of </w:t>
      </w:r>
      <w:r>
        <w:t>30%</w:t>
      </w:r>
      <w:r w:rsidR="00C610F8">
        <w:t xml:space="preserve"> reduction in high risk municipalities between 2015 </w:t>
      </w:r>
      <w:r w:rsidR="005F74C7">
        <w:t>and</w:t>
      </w:r>
      <w:r w:rsidR="00C610F8">
        <w:t xml:space="preserve"> 2019</w:t>
      </w:r>
      <w:r w:rsidR="00F6279E">
        <w:t>. This is to be achieved</w:t>
      </w:r>
      <w:r>
        <w:t xml:space="preserve"> through improved contingency planning based on accurate risk data, improving public awareness, school and hospital safety and </w:t>
      </w:r>
      <w:r w:rsidRPr="002F321C">
        <w:t xml:space="preserve">increasing </w:t>
      </w:r>
      <w:r w:rsidR="00E87519">
        <w:t>DRR</w:t>
      </w:r>
      <w:r w:rsidR="00F6279E">
        <w:t xml:space="preserve"> capacity</w:t>
      </w:r>
      <w:r w:rsidRPr="002F321C">
        <w:t>. DRM agencies have now been established in each province (</w:t>
      </w:r>
      <w:r w:rsidR="008571A5">
        <w:t>BPBD</w:t>
      </w:r>
      <w:r w:rsidRPr="002F321C">
        <w:t>) and in a majority of districts</w:t>
      </w:r>
      <w:r>
        <w:t>/municipalities</w:t>
      </w:r>
      <w:r w:rsidRPr="002F321C">
        <w:t xml:space="preserve">. Achievement of other elements of the </w:t>
      </w:r>
      <w:r w:rsidR="009138D4">
        <w:t>RPJMN</w:t>
      </w:r>
      <w:r w:rsidR="009138D4" w:rsidRPr="002F321C">
        <w:t xml:space="preserve"> </w:t>
      </w:r>
      <w:r w:rsidRPr="002F321C">
        <w:t xml:space="preserve">2015 – 2019 are to be evaluated, however there is consensus that DRM will need </w:t>
      </w:r>
      <w:r>
        <w:t xml:space="preserve">to </w:t>
      </w:r>
      <w:r w:rsidRPr="002F321C">
        <w:t>continue to feature as a priority in the next National Medium-Term Development Plan (R</w:t>
      </w:r>
      <w:r>
        <w:t>PJ</w:t>
      </w:r>
      <w:r w:rsidRPr="002F321C">
        <w:t>M</w:t>
      </w:r>
      <w:r w:rsidR="002D2D99">
        <w:t>N</w:t>
      </w:r>
      <w:r w:rsidRPr="002F321C">
        <w:t xml:space="preserve"> 2020 – 2024). </w:t>
      </w:r>
    </w:p>
    <w:p w14:paraId="27801C07" w14:textId="6C257E9D" w:rsidR="007D01B9" w:rsidRPr="002F321C" w:rsidRDefault="00432460" w:rsidP="007D01B9">
      <w:r>
        <w:t>A 3</w:t>
      </w:r>
      <w:r w:rsidR="007D01B9" w:rsidRPr="002F321C">
        <w:t>0-year Master Plan for Indonesian Resilience (2015- 2045) is under development to coincide with the 100</w:t>
      </w:r>
      <w:r w:rsidR="009915E6" w:rsidRPr="009915E6">
        <w:rPr>
          <w:vertAlign w:val="superscript"/>
        </w:rPr>
        <w:t>th</w:t>
      </w:r>
      <w:r w:rsidR="009915E6">
        <w:t xml:space="preserve"> anniversary of the creation of the unitary state of</w:t>
      </w:r>
      <w:r w:rsidR="007D01B9" w:rsidRPr="002F321C">
        <w:t xml:space="preserve"> Indonesia in 2045. </w:t>
      </w:r>
      <w:r w:rsidR="007D01B9">
        <w:t xml:space="preserve">The focus of current and future efforts is on implementation of the legal and policy DRM framework, with a focus on protecting high economic growth areas from disaster risk. This will mean increased attention on risks associated with urbanisation, including planning, and the large population of urban poor with high levels of vulnerability during natural hazards. Integration of climate related risks into the DRM system is articulated in Indonesian policy, as illustrated by the prioritisation of climate related hazards such as forest fire and drought. Integration of climate </w:t>
      </w:r>
      <w:r w:rsidR="007D01B9" w:rsidRPr="00DA334C">
        <w:rPr>
          <w:i/>
        </w:rPr>
        <w:t>projections</w:t>
      </w:r>
      <w:r w:rsidR="007D01B9">
        <w:t xml:space="preserve"> into disaster risk mitigation and planning is envisaged in policy but needs to be translated into practice in many locations. </w:t>
      </w:r>
    </w:p>
    <w:p w14:paraId="78BFFF46" w14:textId="7EE7103D" w:rsidR="007D01B9" w:rsidRDefault="007D01B9" w:rsidP="007D01B9">
      <w:r>
        <w:t>Indonesia has been successful in creating a culture of disaster awareness and response; Indonesians have some of the highest levels of personal giving in the world for disaster response. Faith based orga</w:t>
      </w:r>
      <w:r w:rsidR="00493258">
        <w:t xml:space="preserve">nisations such </w:t>
      </w:r>
      <w:r w:rsidR="005C2B99">
        <w:rPr>
          <w:noProof/>
          <w:lang w:val="en-AU" w:eastAsia="en-AU"/>
        </w:rPr>
        <mc:AlternateContent>
          <mc:Choice Requires="wps">
            <w:drawing>
              <wp:anchor distT="0" distB="0" distL="114300" distR="114300" simplePos="0" relativeHeight="251668480" behindDoc="0" locked="0" layoutInCell="1" allowOverlap="1" wp14:anchorId="2258258A" wp14:editId="77088C34">
                <wp:simplePos x="0" y="0"/>
                <wp:positionH relativeFrom="column">
                  <wp:posOffset>2756535</wp:posOffset>
                </wp:positionH>
                <wp:positionV relativeFrom="paragraph">
                  <wp:posOffset>0</wp:posOffset>
                </wp:positionV>
                <wp:extent cx="2899410" cy="4512310"/>
                <wp:effectExtent l="0" t="0" r="8890" b="8890"/>
                <wp:wrapSquare wrapText="bothSides"/>
                <wp:docPr id="21" name="Text Box 21"/>
                <wp:cNvGraphicFramePr/>
                <a:graphic xmlns:a="http://schemas.openxmlformats.org/drawingml/2006/main">
                  <a:graphicData uri="http://schemas.microsoft.com/office/word/2010/wordprocessingShape">
                    <wps:wsp>
                      <wps:cNvSpPr txBox="1"/>
                      <wps:spPr>
                        <a:xfrm>
                          <a:off x="0" y="0"/>
                          <a:ext cx="2899410" cy="451231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2710828" w14:textId="77777777" w:rsidR="00B01D1C" w:rsidRPr="007C7BBD" w:rsidRDefault="00B01D1C" w:rsidP="005C2B99">
                            <w:pPr>
                              <w:spacing w:before="60" w:line="240" w:lineRule="auto"/>
                              <w:rPr>
                                <w:rFonts w:eastAsia="Times New Roman" w:cstheme="minorHAnsi"/>
                                <w:b/>
                                <w:color w:val="212121"/>
                                <w:sz w:val="16"/>
                                <w:szCs w:val="16"/>
                              </w:rPr>
                            </w:pPr>
                            <w:r w:rsidRPr="007C7BBD">
                              <w:rPr>
                                <w:rFonts w:eastAsia="Times New Roman" w:cstheme="minorHAnsi"/>
                                <w:b/>
                                <w:color w:val="212121"/>
                                <w:sz w:val="16"/>
                                <w:szCs w:val="16"/>
                              </w:rPr>
                              <w:t>Climate change and DRR in Indonesia</w:t>
                            </w:r>
                          </w:p>
                          <w:p w14:paraId="0552AC9F" w14:textId="77777777" w:rsidR="00B01D1C" w:rsidRPr="003D5569" w:rsidRDefault="00B01D1C" w:rsidP="005C2B99">
                            <w:pPr>
                              <w:pStyle w:val="NormalWeb"/>
                              <w:spacing w:before="0" w:beforeAutospacing="0"/>
                              <w:rPr>
                                <w:rFonts w:asciiTheme="minorHAnsi" w:hAnsiTheme="minorHAnsi" w:cstheme="minorHAnsi"/>
                                <w:sz w:val="16"/>
                                <w:szCs w:val="16"/>
                              </w:rPr>
                            </w:pPr>
                            <w:r w:rsidRPr="003D5569">
                              <w:rPr>
                                <w:rFonts w:asciiTheme="minorHAnsi" w:hAnsiTheme="minorHAnsi" w:cstheme="minorHAnsi"/>
                                <w:sz w:val="16"/>
                                <w:szCs w:val="16"/>
                              </w:rPr>
                              <w:t>A national policy agenda on climate change adaptation is outlined in the National Medium Term Development Plan for 2015-2019 (RPJMN 2015-2019).</w:t>
                            </w:r>
                            <w:r w:rsidRPr="003D5569">
                              <w:rPr>
                                <w:rStyle w:val="FootnoteReference"/>
                                <w:rFonts w:asciiTheme="minorHAnsi" w:hAnsiTheme="minorHAnsi" w:cstheme="minorHAnsi"/>
                                <w:sz w:val="16"/>
                                <w:szCs w:val="16"/>
                              </w:rPr>
                              <w:footnoteRef/>
                            </w:r>
                            <w:r w:rsidRPr="003D5569">
                              <w:rPr>
                                <w:rFonts w:asciiTheme="minorHAnsi" w:hAnsiTheme="minorHAnsi" w:cstheme="minorHAnsi"/>
                                <w:sz w:val="16"/>
                                <w:szCs w:val="16"/>
                              </w:rPr>
                              <w:t xml:space="preserve"> In 2016 Indonesia ratified the Paris Agreement (The United Nations Framework Convention on Climate Change) through the endorsement of Law 16/2016.  In 2017 Indonesia completed its National Action Plan for Climate Change Adaptation (NAP-CCA) in 2017. The NAP-CCA planning process has involved 17 ministries such as Public Works, BNPB, BMKG, Bappenas, MoHA and MoH. The action plan focuses on five priorities: economic resilience (food and energy)</w:t>
                            </w:r>
                            <w:r>
                              <w:rPr>
                                <w:rFonts w:asciiTheme="minorHAnsi" w:hAnsiTheme="minorHAnsi" w:cstheme="minorHAnsi"/>
                                <w:sz w:val="16"/>
                                <w:szCs w:val="16"/>
                              </w:rPr>
                              <w:t>;</w:t>
                            </w:r>
                            <w:r w:rsidRPr="003D5569">
                              <w:rPr>
                                <w:rFonts w:asciiTheme="minorHAnsi" w:hAnsiTheme="minorHAnsi" w:cstheme="minorHAnsi"/>
                                <w:sz w:val="16"/>
                                <w:szCs w:val="16"/>
                              </w:rPr>
                              <w:t xml:space="preserve"> sustainable livelihoods system</w:t>
                            </w:r>
                            <w:r>
                              <w:rPr>
                                <w:rFonts w:asciiTheme="minorHAnsi" w:hAnsiTheme="minorHAnsi" w:cstheme="minorHAnsi"/>
                                <w:sz w:val="16"/>
                                <w:szCs w:val="16"/>
                              </w:rPr>
                              <w:t>;</w:t>
                            </w:r>
                            <w:r w:rsidRPr="003D5569">
                              <w:rPr>
                                <w:rFonts w:asciiTheme="minorHAnsi" w:hAnsiTheme="minorHAnsi" w:cstheme="minorHAnsi"/>
                                <w:sz w:val="16"/>
                                <w:szCs w:val="16"/>
                              </w:rPr>
                              <w:t xml:space="preserve"> ecosystem resilience</w:t>
                            </w:r>
                            <w:r>
                              <w:rPr>
                                <w:rFonts w:asciiTheme="minorHAnsi" w:hAnsiTheme="minorHAnsi" w:cstheme="minorHAnsi"/>
                                <w:sz w:val="16"/>
                                <w:szCs w:val="16"/>
                              </w:rPr>
                              <w:t>;</w:t>
                            </w:r>
                            <w:r w:rsidRPr="003D5569">
                              <w:rPr>
                                <w:rFonts w:asciiTheme="minorHAnsi" w:hAnsiTheme="minorHAnsi" w:cstheme="minorHAnsi"/>
                                <w:sz w:val="16"/>
                                <w:szCs w:val="16"/>
                              </w:rPr>
                              <w:t xml:space="preserve"> specific vulnerable places such as cities, small islands and coastal areas</w:t>
                            </w:r>
                            <w:r>
                              <w:rPr>
                                <w:rFonts w:asciiTheme="minorHAnsi" w:hAnsiTheme="minorHAnsi" w:cstheme="minorHAnsi"/>
                                <w:sz w:val="16"/>
                                <w:szCs w:val="16"/>
                              </w:rPr>
                              <w:t>;</w:t>
                            </w:r>
                            <w:r w:rsidRPr="003D5569">
                              <w:rPr>
                                <w:rFonts w:asciiTheme="minorHAnsi" w:hAnsiTheme="minorHAnsi" w:cstheme="minorHAnsi"/>
                                <w:sz w:val="16"/>
                                <w:szCs w:val="16"/>
                              </w:rPr>
                              <w:t xml:space="preserve"> and supporting system.</w:t>
                            </w:r>
                            <w:r w:rsidRPr="003D5569">
                              <w:rPr>
                                <w:rStyle w:val="FootnoteReference"/>
                                <w:rFonts w:asciiTheme="minorHAnsi" w:hAnsiTheme="minorHAnsi" w:cstheme="minorHAnsi"/>
                                <w:sz w:val="16"/>
                                <w:szCs w:val="16"/>
                              </w:rPr>
                              <w:footnoteRef/>
                            </w:r>
                            <w:r w:rsidRPr="003D5569">
                              <w:rPr>
                                <w:rFonts w:asciiTheme="minorHAnsi" w:hAnsiTheme="minorHAnsi" w:cstheme="minorHAnsi"/>
                                <w:sz w:val="16"/>
                                <w:szCs w:val="16"/>
                              </w:rPr>
                              <w:t xml:space="preserve"> At this stage the proposed interventions have not been prioritised, and pilot projects are underway with local level intervention dominated by international support. There is limited awareness of climate change tasks, or linkages with </w:t>
                            </w:r>
                            <w:r>
                              <w:rPr>
                                <w:rFonts w:asciiTheme="minorHAnsi" w:hAnsiTheme="minorHAnsi" w:cstheme="minorHAnsi"/>
                                <w:sz w:val="16"/>
                                <w:szCs w:val="16"/>
                              </w:rPr>
                              <w:t>DRR</w:t>
                            </w:r>
                            <w:r w:rsidRPr="003D5569">
                              <w:rPr>
                                <w:rFonts w:asciiTheme="minorHAnsi" w:hAnsiTheme="minorHAnsi" w:cstheme="minorHAnsi"/>
                                <w:sz w:val="16"/>
                                <w:szCs w:val="16"/>
                              </w:rPr>
                              <w:t>, amongst many national and local government officials, and NGOs.</w:t>
                            </w:r>
                            <w:r>
                              <w:rPr>
                                <w:rStyle w:val="FootnoteReference"/>
                                <w:rFonts w:asciiTheme="minorHAnsi" w:hAnsiTheme="minorHAnsi" w:cstheme="minorHAnsi"/>
                                <w:sz w:val="16"/>
                                <w:szCs w:val="16"/>
                              </w:rPr>
                              <w:t>2</w:t>
                            </w:r>
                            <w:r w:rsidRPr="003D5569">
                              <w:rPr>
                                <w:rFonts w:asciiTheme="minorHAnsi" w:hAnsiTheme="minorHAnsi" w:cstheme="minorHAnsi"/>
                                <w:sz w:val="16"/>
                                <w:szCs w:val="16"/>
                              </w:rPr>
                              <w:t xml:space="preserve"> A National Climate Change Council was established in 2008 and reported directly to the Indonesia President. This was dissolved in 2015 and mitigation and adaptation tasks have been migrated to the Ministry of Environment and Forestry. </w:t>
                            </w:r>
                          </w:p>
                          <w:p w14:paraId="4FB50449" w14:textId="77777777" w:rsidR="00B01D1C" w:rsidRPr="007C7BBD" w:rsidRDefault="00B01D1C" w:rsidP="005C2B99">
                            <w:pPr>
                              <w:spacing w:line="240" w:lineRule="auto"/>
                              <w:rPr>
                                <w:rFonts w:eastAsia="Times New Roman" w:cstheme="minorHAnsi"/>
                                <w:i/>
                                <w:sz w:val="16"/>
                                <w:szCs w:val="16"/>
                              </w:rPr>
                            </w:pPr>
                            <w:r w:rsidRPr="007C7BBD">
                              <w:rPr>
                                <w:rFonts w:cstheme="minorHAnsi"/>
                                <w:i/>
                                <w:sz w:val="16"/>
                                <w:szCs w:val="16"/>
                                <w:lang w:val="en-US"/>
                              </w:rPr>
                              <w:t xml:space="preserve">1. Nugraha and Lassa 2018. “Towards endogenous disasters and climate adaptation policy making in Indonesia” Disaster Prevention and Management: An International Journal Vol 27 Issue 2 pp 228 – 242. </w:t>
                            </w:r>
                            <w:hyperlink r:id="rId9" w:history="1">
                              <w:r w:rsidRPr="007C7BBD">
                                <w:rPr>
                                  <w:rFonts w:eastAsia="Times New Roman" w:cstheme="minorHAnsi"/>
                                  <w:i/>
                                  <w:color w:val="0C5390"/>
                                  <w:sz w:val="16"/>
                                  <w:szCs w:val="16"/>
                                  <w:u w:val="single"/>
                                </w:rPr>
                                <w:t>https://doi.org/10.1108/DPM-04-2017-0084</w:t>
                              </w:r>
                            </w:hyperlink>
                          </w:p>
                          <w:p w14:paraId="6E724B05" w14:textId="565A355E" w:rsidR="00B01D1C" w:rsidRPr="007C7BBD" w:rsidRDefault="00412E88" w:rsidP="005C2B99">
                            <w:pPr>
                              <w:spacing w:line="240" w:lineRule="auto"/>
                              <w:rPr>
                                <w:i/>
                                <w:sz w:val="16"/>
                                <w:szCs w:val="16"/>
                              </w:rPr>
                            </w:pPr>
                            <w:r w:rsidRPr="007C7BBD">
                              <w:rPr>
                                <w:rFonts w:eastAsia="Times New Roman" w:cstheme="minorHAnsi"/>
                                <w:i/>
                                <w:sz w:val="16"/>
                                <w:szCs w:val="16"/>
                                <w:lang w:val="en-SG"/>
                              </w:rPr>
                              <w:t>2.</w:t>
                            </w:r>
                            <w:r w:rsidRPr="007C7BBD">
                              <w:rPr>
                                <w:rFonts w:cstheme="minorHAnsi"/>
                                <w:i/>
                                <w:sz w:val="16"/>
                                <w:szCs w:val="16"/>
                              </w:rPr>
                              <w:t xml:space="preserve"> Lassa</w:t>
                            </w:r>
                            <w:r w:rsidR="00B01D1C" w:rsidRPr="007C7BBD">
                              <w:rPr>
                                <w:rFonts w:cstheme="minorHAnsi"/>
                                <w:i/>
                                <w:sz w:val="16"/>
                                <w:szCs w:val="16"/>
                              </w:rPr>
                              <w:t xml:space="preserve"> and Nugraha 2015. “From Shared Learning to Shared Action towards sustainability: Experience from Building Urban Resilience in the City of Bandar Lampung, Indonesia”</w:t>
                            </w:r>
                            <w:r w:rsidR="00B01D1C" w:rsidRPr="009766E2">
                              <w:rPr>
                                <w:rFonts w:eastAsia="Times New Roman" w:cstheme="minorHAnsi"/>
                                <w:b/>
                                <w:bCs/>
                                <w:i/>
                                <w:iCs/>
                                <w:color w:val="0C5390"/>
                                <w:sz w:val="16"/>
                                <w:szCs w:val="16"/>
                                <w:u w:val="single"/>
                              </w:rPr>
                              <w:t xml:space="preserve"> </w:t>
                            </w:r>
                            <w:hyperlink r:id="rId10" w:history="1">
                              <w:r w:rsidR="00B01D1C" w:rsidRPr="009766E2">
                                <w:rPr>
                                  <w:rFonts w:eastAsia="Times New Roman" w:cstheme="minorHAnsi"/>
                                  <w:b/>
                                  <w:bCs/>
                                  <w:i/>
                                  <w:iCs/>
                                  <w:color w:val="0C5390"/>
                                  <w:sz w:val="16"/>
                                  <w:szCs w:val="16"/>
                                  <w:u w:val="single"/>
                                </w:rPr>
                                <w:t>Environment and Urbanisation</w:t>
                              </w:r>
                            </w:hyperlink>
                            <w:r w:rsidR="00B01D1C" w:rsidRPr="007C7BBD">
                              <w:rPr>
                                <w:rFonts w:cstheme="minorHAnsi"/>
                                <w:i/>
                                <w:sz w:val="16"/>
                                <w:szCs w:val="16"/>
                              </w:rPr>
                              <w:t>27(1):161-180 Sage</w:t>
                            </w:r>
                          </w:p>
                          <w:p w14:paraId="31B4EB3D" w14:textId="77777777" w:rsidR="00B01D1C" w:rsidRPr="003D531D" w:rsidRDefault="00B01D1C" w:rsidP="005C2B99">
                            <w:pPr>
                              <w:spacing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58258A" id="_x0000_t202" coordsize="21600,21600" o:spt="202" path="m,l,21600r21600,l21600,xe">
                <v:stroke joinstyle="miter"/>
                <v:path gradientshapeok="t" o:connecttype="rect"/>
              </v:shapetype>
              <v:shape id="Text Box 21" o:spid="_x0000_s1026" type="#_x0000_t202" style="position:absolute;margin-left:217.05pt;margin-top:0;width:228.3pt;height:355.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" fillcolor="#fbe4d5 [661]" strokecolor="#ed7d31 [3205]" strokeweight="1pt">
                <v:textbox>
                  <w:txbxContent>
                    <w:p w14:paraId="42710828" w14:textId="77777777" w:rsidR="00B01D1C" w:rsidRPr="007C7BBD" w:rsidRDefault="00B01D1C" w:rsidP="005C2B99">
                      <w:pPr>
                        <w:spacing w:before="60" w:line="240" w:lineRule="auto"/>
                        <w:rPr>
                          <w:rFonts w:eastAsia="Times New Roman" w:cstheme="minorHAnsi"/>
                          <w:b/>
                          <w:color w:val="212121"/>
                          <w:sz w:val="16"/>
                          <w:szCs w:val="16"/>
                        </w:rPr>
                      </w:pPr>
                      <w:r w:rsidRPr="007C7BBD">
                        <w:rPr>
                          <w:rFonts w:eastAsia="Times New Roman" w:cstheme="minorHAnsi"/>
                          <w:b/>
                          <w:color w:val="212121"/>
                          <w:sz w:val="16"/>
                          <w:szCs w:val="16"/>
                        </w:rPr>
                        <w:t>Climate change and DRR in Indonesia</w:t>
                      </w:r>
                    </w:p>
                    <w:p w14:paraId="0552AC9F" w14:textId="77777777" w:rsidR="00B01D1C" w:rsidRPr="003D5569" w:rsidRDefault="00B01D1C" w:rsidP="005C2B99">
                      <w:pPr>
                        <w:pStyle w:val="NormalWeb"/>
                        <w:spacing w:before="0" w:beforeAutospacing="0"/>
                        <w:rPr>
                          <w:rFonts w:asciiTheme="minorHAnsi" w:hAnsiTheme="minorHAnsi" w:cstheme="minorHAnsi"/>
                          <w:sz w:val="16"/>
                          <w:szCs w:val="16"/>
                        </w:rPr>
                      </w:pPr>
                      <w:r w:rsidRPr="003D5569">
                        <w:rPr>
                          <w:rFonts w:asciiTheme="minorHAnsi" w:hAnsiTheme="minorHAnsi" w:cstheme="minorHAnsi"/>
                          <w:sz w:val="16"/>
                          <w:szCs w:val="16"/>
                        </w:rPr>
                        <w:t>A national policy agenda on climate change adaptation is outlined in the National Medium Term Development Plan for 2015-2019 (RPJMN 2015-2019).</w:t>
                      </w:r>
                      <w:r w:rsidRPr="003D5569">
                        <w:rPr>
                          <w:rStyle w:val="FootnoteReference"/>
                          <w:rFonts w:asciiTheme="minorHAnsi" w:hAnsiTheme="minorHAnsi" w:cstheme="minorHAnsi"/>
                          <w:sz w:val="16"/>
                          <w:szCs w:val="16"/>
                        </w:rPr>
                        <w:footnoteRef/>
                      </w:r>
                      <w:r w:rsidRPr="003D5569">
                        <w:rPr>
                          <w:rFonts w:asciiTheme="minorHAnsi" w:hAnsiTheme="minorHAnsi" w:cstheme="minorHAnsi"/>
                          <w:sz w:val="16"/>
                          <w:szCs w:val="16"/>
                        </w:rPr>
                        <w:t xml:space="preserve"> In 2016 Indonesia ratified the Paris Agreement (The United Nations Framework Convention on Climate Change) through the endorsement of Law 16/2016.  In 2017 Indonesia completed its National Action Plan for Climate Change Adaptation (NAP-CCA) in 2017. The NAP-CCA planning process has involved 17 ministries such as Public Works, BNPB, BMKG, Bappenas, MoHA and MoH. The action plan focuses on five priorities: economic resilience (food and energy)</w:t>
                      </w:r>
                      <w:r>
                        <w:rPr>
                          <w:rFonts w:asciiTheme="minorHAnsi" w:hAnsiTheme="minorHAnsi" w:cstheme="minorHAnsi"/>
                          <w:sz w:val="16"/>
                          <w:szCs w:val="16"/>
                        </w:rPr>
                        <w:t>;</w:t>
                      </w:r>
                      <w:r w:rsidRPr="003D5569">
                        <w:rPr>
                          <w:rFonts w:asciiTheme="minorHAnsi" w:hAnsiTheme="minorHAnsi" w:cstheme="minorHAnsi"/>
                          <w:sz w:val="16"/>
                          <w:szCs w:val="16"/>
                        </w:rPr>
                        <w:t xml:space="preserve"> sustainable livelihoods system</w:t>
                      </w:r>
                      <w:r>
                        <w:rPr>
                          <w:rFonts w:asciiTheme="minorHAnsi" w:hAnsiTheme="minorHAnsi" w:cstheme="minorHAnsi"/>
                          <w:sz w:val="16"/>
                          <w:szCs w:val="16"/>
                        </w:rPr>
                        <w:t>;</w:t>
                      </w:r>
                      <w:r w:rsidRPr="003D5569">
                        <w:rPr>
                          <w:rFonts w:asciiTheme="minorHAnsi" w:hAnsiTheme="minorHAnsi" w:cstheme="minorHAnsi"/>
                          <w:sz w:val="16"/>
                          <w:szCs w:val="16"/>
                        </w:rPr>
                        <w:t xml:space="preserve"> ecosystem resilience</w:t>
                      </w:r>
                      <w:r>
                        <w:rPr>
                          <w:rFonts w:asciiTheme="minorHAnsi" w:hAnsiTheme="minorHAnsi" w:cstheme="minorHAnsi"/>
                          <w:sz w:val="16"/>
                          <w:szCs w:val="16"/>
                        </w:rPr>
                        <w:t>;</w:t>
                      </w:r>
                      <w:r w:rsidRPr="003D5569">
                        <w:rPr>
                          <w:rFonts w:asciiTheme="minorHAnsi" w:hAnsiTheme="minorHAnsi" w:cstheme="minorHAnsi"/>
                          <w:sz w:val="16"/>
                          <w:szCs w:val="16"/>
                        </w:rPr>
                        <w:t xml:space="preserve"> specific vulnerable places such as cities, small islands and coastal areas</w:t>
                      </w:r>
                      <w:r>
                        <w:rPr>
                          <w:rFonts w:asciiTheme="minorHAnsi" w:hAnsiTheme="minorHAnsi" w:cstheme="minorHAnsi"/>
                          <w:sz w:val="16"/>
                          <w:szCs w:val="16"/>
                        </w:rPr>
                        <w:t>;</w:t>
                      </w:r>
                      <w:r w:rsidRPr="003D5569">
                        <w:rPr>
                          <w:rFonts w:asciiTheme="minorHAnsi" w:hAnsiTheme="minorHAnsi" w:cstheme="minorHAnsi"/>
                          <w:sz w:val="16"/>
                          <w:szCs w:val="16"/>
                        </w:rPr>
                        <w:t xml:space="preserve"> and supporting system.</w:t>
                      </w:r>
                      <w:r w:rsidRPr="003D5569">
                        <w:rPr>
                          <w:rStyle w:val="FootnoteReference"/>
                          <w:rFonts w:asciiTheme="minorHAnsi" w:hAnsiTheme="minorHAnsi" w:cstheme="minorHAnsi"/>
                          <w:sz w:val="16"/>
                          <w:szCs w:val="16"/>
                        </w:rPr>
                        <w:footnoteRef/>
                      </w:r>
                      <w:r w:rsidRPr="003D5569">
                        <w:rPr>
                          <w:rFonts w:asciiTheme="minorHAnsi" w:hAnsiTheme="minorHAnsi" w:cstheme="minorHAnsi"/>
                          <w:sz w:val="16"/>
                          <w:szCs w:val="16"/>
                        </w:rPr>
                        <w:t xml:space="preserve"> At this stage the proposed interventions have not been prioritised, and pilot projects are underway with local level intervention dominated by international support. There is limited awareness of climate change tasks, or linkages with </w:t>
                      </w:r>
                      <w:r>
                        <w:rPr>
                          <w:rFonts w:asciiTheme="minorHAnsi" w:hAnsiTheme="minorHAnsi" w:cstheme="minorHAnsi"/>
                          <w:sz w:val="16"/>
                          <w:szCs w:val="16"/>
                        </w:rPr>
                        <w:t>DRR</w:t>
                      </w:r>
                      <w:r w:rsidRPr="003D5569">
                        <w:rPr>
                          <w:rFonts w:asciiTheme="minorHAnsi" w:hAnsiTheme="minorHAnsi" w:cstheme="minorHAnsi"/>
                          <w:sz w:val="16"/>
                          <w:szCs w:val="16"/>
                        </w:rPr>
                        <w:t>, amongst many national and local government officials, and NGOs.</w:t>
                      </w:r>
                      <w:r>
                        <w:rPr>
                          <w:rStyle w:val="FootnoteReference"/>
                          <w:rFonts w:asciiTheme="minorHAnsi" w:hAnsiTheme="minorHAnsi" w:cstheme="minorHAnsi"/>
                          <w:sz w:val="16"/>
                          <w:szCs w:val="16"/>
                        </w:rPr>
                        <w:t>2</w:t>
                      </w:r>
                      <w:r w:rsidRPr="003D5569">
                        <w:rPr>
                          <w:rFonts w:asciiTheme="minorHAnsi" w:hAnsiTheme="minorHAnsi" w:cstheme="minorHAnsi"/>
                          <w:sz w:val="16"/>
                          <w:szCs w:val="16"/>
                        </w:rPr>
                        <w:t xml:space="preserve"> A National Climate Change Council was established in 2008 and reported directly to the Indonesia President. This was dissolved in 2015 and mitigation and adaptation tasks have been migrated to the Ministry of Environment and Forestry. </w:t>
                      </w:r>
                    </w:p>
                    <w:p w14:paraId="4FB50449" w14:textId="77777777" w:rsidR="00B01D1C" w:rsidRPr="007C7BBD" w:rsidRDefault="00B01D1C" w:rsidP="005C2B99">
                      <w:pPr>
                        <w:spacing w:line="240" w:lineRule="auto"/>
                        <w:rPr>
                          <w:rFonts w:eastAsia="Times New Roman" w:cstheme="minorHAnsi"/>
                          <w:i/>
                          <w:sz w:val="16"/>
                          <w:szCs w:val="16"/>
                        </w:rPr>
                      </w:pPr>
                      <w:r w:rsidRPr="007C7BBD">
                        <w:rPr>
                          <w:rFonts w:cstheme="minorHAnsi"/>
                          <w:i/>
                          <w:sz w:val="16"/>
                          <w:szCs w:val="16"/>
                          <w:lang w:val="en-US"/>
                        </w:rPr>
                        <w:t xml:space="preserve">1. Nugraha and Lassa 2018. “Towards endogenous disasters and climate adaptation policy making in Indonesia” Disaster Prevention and Management: An International Journal Vol 27 Issue 2 pp 228 – 242. </w:t>
                      </w:r>
                      <w:hyperlink r:id="rId11" w:history="1">
                        <w:r w:rsidRPr="007C7BBD">
                          <w:rPr>
                            <w:rFonts w:eastAsia="Times New Roman" w:cstheme="minorHAnsi"/>
                            <w:i/>
                            <w:color w:val="0C5390"/>
                            <w:sz w:val="16"/>
                            <w:szCs w:val="16"/>
                            <w:u w:val="single"/>
                          </w:rPr>
                          <w:t>https://doi.org/10.1108/DPM-04-2017-0084</w:t>
                        </w:r>
                      </w:hyperlink>
                    </w:p>
                    <w:p w14:paraId="6E724B05" w14:textId="565A355E" w:rsidR="00B01D1C" w:rsidRPr="007C7BBD" w:rsidRDefault="00412E88" w:rsidP="005C2B99">
                      <w:pPr>
                        <w:spacing w:line="240" w:lineRule="auto"/>
                        <w:rPr>
                          <w:i/>
                          <w:sz w:val="16"/>
                          <w:szCs w:val="16"/>
                        </w:rPr>
                      </w:pPr>
                      <w:r w:rsidRPr="007C7BBD">
                        <w:rPr>
                          <w:rFonts w:eastAsia="Times New Roman" w:cstheme="minorHAnsi"/>
                          <w:i/>
                          <w:sz w:val="16"/>
                          <w:szCs w:val="16"/>
                          <w:lang w:val="en-SG"/>
                        </w:rPr>
                        <w:t>2.</w:t>
                      </w:r>
                      <w:r w:rsidRPr="007C7BBD">
                        <w:rPr>
                          <w:rFonts w:cstheme="minorHAnsi"/>
                          <w:i/>
                          <w:sz w:val="16"/>
                          <w:szCs w:val="16"/>
                        </w:rPr>
                        <w:t xml:space="preserve"> Lassa</w:t>
                      </w:r>
                      <w:r w:rsidR="00B01D1C" w:rsidRPr="007C7BBD">
                        <w:rPr>
                          <w:rFonts w:cstheme="minorHAnsi"/>
                          <w:i/>
                          <w:sz w:val="16"/>
                          <w:szCs w:val="16"/>
                        </w:rPr>
                        <w:t xml:space="preserve"> and Nugraha 2015. “From Shared Learning to Shared Action towards sustainability: Experience from Building Urban Resilience in the City of Bandar Lampung, Indonesia”</w:t>
                      </w:r>
                      <w:r w:rsidR="00B01D1C" w:rsidRPr="009766E2">
                        <w:rPr>
                          <w:rFonts w:eastAsia="Times New Roman" w:cstheme="minorHAnsi"/>
                          <w:b/>
                          <w:bCs/>
                          <w:i/>
                          <w:iCs/>
                          <w:color w:val="0C5390"/>
                          <w:sz w:val="16"/>
                          <w:szCs w:val="16"/>
                          <w:u w:val="single"/>
                        </w:rPr>
                        <w:t xml:space="preserve"> </w:t>
                      </w:r>
                      <w:hyperlink r:id="rId12" w:history="1">
                        <w:r w:rsidR="00B01D1C" w:rsidRPr="009766E2">
                          <w:rPr>
                            <w:rFonts w:eastAsia="Times New Roman" w:cstheme="minorHAnsi"/>
                            <w:b/>
                            <w:bCs/>
                            <w:i/>
                            <w:iCs/>
                            <w:color w:val="0C5390"/>
                            <w:sz w:val="16"/>
                            <w:szCs w:val="16"/>
                            <w:u w:val="single"/>
                          </w:rPr>
                          <w:t>Environment and Urbanisation</w:t>
                        </w:r>
                      </w:hyperlink>
                      <w:r w:rsidR="00B01D1C" w:rsidRPr="007C7BBD">
                        <w:rPr>
                          <w:rFonts w:cstheme="minorHAnsi"/>
                          <w:i/>
                          <w:sz w:val="16"/>
                          <w:szCs w:val="16"/>
                        </w:rPr>
                        <w:t>27(1):161-180 Sage</w:t>
                      </w:r>
                    </w:p>
                    <w:p w14:paraId="31B4EB3D" w14:textId="77777777" w:rsidR="00B01D1C" w:rsidRPr="003D531D" w:rsidRDefault="00B01D1C" w:rsidP="005C2B99">
                      <w:pPr>
                        <w:spacing w:line="240" w:lineRule="auto"/>
                        <w:rPr>
                          <w:sz w:val="16"/>
                          <w:szCs w:val="16"/>
                        </w:rPr>
                      </w:pPr>
                    </w:p>
                  </w:txbxContent>
                </v:textbox>
                <w10:wrap type="square"/>
              </v:shape>
            </w:pict>
          </mc:Fallback>
        </mc:AlternateContent>
      </w:r>
      <w:r w:rsidR="00493258">
        <w:t>as NU</w:t>
      </w:r>
      <w:r>
        <w:t xml:space="preserve"> and Muhammadiyah </w:t>
      </w:r>
      <w:r w:rsidR="009915E6">
        <w:t xml:space="preserve">and those under the Humanitarian Forum Indonesia (HFI) </w:t>
      </w:r>
      <w:r>
        <w:t xml:space="preserve">as well as </w:t>
      </w:r>
      <w:r w:rsidR="006A0C5D">
        <w:t>the Indonesian Red Cross (</w:t>
      </w:r>
      <w:r w:rsidR="00493258">
        <w:t>PMI</w:t>
      </w:r>
      <w:r w:rsidR="006A0C5D">
        <w:t>)</w:t>
      </w:r>
      <w:r>
        <w:t xml:space="preserve"> play a significant role in harnessing public support, delivering responses across the country and also building community resilience to disasters and climate change. These organisations operate both in Indonesia as well as in responding to international crises such as with the Rohingya </w:t>
      </w:r>
      <w:r w:rsidR="00F148EB">
        <w:t xml:space="preserve">Crisis </w:t>
      </w:r>
      <w:r>
        <w:t xml:space="preserve">or in Syria. </w:t>
      </w:r>
      <w:r w:rsidR="00021E64">
        <w:t xml:space="preserve">Within Indonesia these organisations (and other domestic </w:t>
      </w:r>
      <w:r w:rsidR="00F148EB">
        <w:t>CSOs</w:t>
      </w:r>
      <w:r w:rsidR="00021E64">
        <w:t>) are able to rapidly respond to disasters based on community need, rather than bureaucratic approval or declaration of emergency.</w:t>
      </w:r>
      <w:r w:rsidR="00021E64">
        <w:rPr>
          <w:rStyle w:val="FootnoteReference"/>
        </w:rPr>
        <w:footnoteReference w:id="11"/>
      </w:r>
      <w:r w:rsidR="00021E64">
        <w:t xml:space="preserve"> They demonstrate good practices for community engagement, such as PMI village information boards that improved accountability during the Pidie Jaya response.</w:t>
      </w:r>
      <w:r w:rsidR="00021E64">
        <w:rPr>
          <w:rStyle w:val="FootnoteReference"/>
        </w:rPr>
        <w:footnoteReference w:id="12"/>
      </w:r>
      <w:r w:rsidR="00021E64" w:rsidRPr="00C43455">
        <w:rPr>
          <w:color w:val="auto"/>
          <w:sz w:val="22"/>
          <w:lang w:val="en-US"/>
        </w:rPr>
        <w:t xml:space="preserve"> </w:t>
      </w:r>
    </w:p>
    <w:p w14:paraId="72CBAB24" w14:textId="230A29EB" w:rsidR="006A7400" w:rsidRDefault="006A7400" w:rsidP="00635D4F">
      <w:r>
        <w:t xml:space="preserve">Over the years Indonesia </w:t>
      </w:r>
      <w:r w:rsidR="003B12FC">
        <w:t>has regularly managed</w:t>
      </w:r>
      <w:r>
        <w:t xml:space="preserve"> small scale disaster</w:t>
      </w:r>
      <w:r w:rsidR="003B12FC">
        <w:t>s</w:t>
      </w:r>
      <w:r>
        <w:t xml:space="preserve"> </w:t>
      </w:r>
      <w:r w:rsidR="007D01B9">
        <w:t>such as the Pidi</w:t>
      </w:r>
      <w:r w:rsidR="002D2D99">
        <w:t>e</w:t>
      </w:r>
      <w:r w:rsidR="006C24D4">
        <w:t xml:space="preserve"> Jaya earthquake and Mt Agung v</w:t>
      </w:r>
      <w:r w:rsidR="007D01B9">
        <w:t>olcano</w:t>
      </w:r>
      <w:r w:rsidR="002D2D99">
        <w:t xml:space="preserve"> crisis</w:t>
      </w:r>
      <w:r w:rsidR="007D01B9">
        <w:t xml:space="preserve">, </w:t>
      </w:r>
      <w:r>
        <w:t xml:space="preserve">where </w:t>
      </w:r>
      <w:r w:rsidR="007D01B9">
        <w:t xml:space="preserve">substantial surge capacity was provided through non-state actors including CSOs, the private sector and universities. </w:t>
      </w:r>
    </w:p>
    <w:p w14:paraId="137A3EC3" w14:textId="2FEDCE58" w:rsidR="006A7400" w:rsidRDefault="007D01B9" w:rsidP="00635D4F">
      <w:r>
        <w:t xml:space="preserve">While international funding for humanitarian </w:t>
      </w:r>
      <w:r w:rsidR="001A4329">
        <w:t xml:space="preserve">CSOs </w:t>
      </w:r>
      <w:r>
        <w:t xml:space="preserve">in Indonesia has declined in recent years, these domestic organisations are committed to humanitarian response and are an expression of the global humanitarian commitment to “localisation”. </w:t>
      </w:r>
      <w:r w:rsidR="006A0C5D">
        <w:t xml:space="preserve">These strong local actors were key to the responses to disasters in Lombok and Central Sulawesi in 2018. </w:t>
      </w:r>
    </w:p>
    <w:p w14:paraId="54E57BF2" w14:textId="6E0168D6" w:rsidR="009138D4" w:rsidRDefault="001C73F3" w:rsidP="00635D4F">
      <w:r w:rsidRPr="007C7BBD">
        <w:t xml:space="preserve">According to its organisational preamble, </w:t>
      </w:r>
      <w:r>
        <w:t xml:space="preserve">the </w:t>
      </w:r>
      <w:r w:rsidRPr="007C7BBD">
        <w:t xml:space="preserve">National Platform (Planas) for DRR is </w:t>
      </w:r>
      <w:r>
        <w:t>a forum established to unite</w:t>
      </w:r>
      <w:r w:rsidRPr="007C7BBD">
        <w:t xml:space="preserve"> DRR stakeholders.  </w:t>
      </w:r>
      <w:r>
        <w:t>Its</w:t>
      </w:r>
      <w:r w:rsidRPr="001C73F3">
        <w:t xml:space="preserve"> function</w:t>
      </w:r>
      <w:r w:rsidR="00BC56E2">
        <w:t>s</w:t>
      </w:r>
      <w:r w:rsidRPr="001C73F3">
        <w:t xml:space="preserve"> include</w:t>
      </w:r>
      <w:r w:rsidRPr="007C7BBD">
        <w:t xml:space="preserve"> DRR campaign</w:t>
      </w:r>
      <w:r>
        <w:t>s</w:t>
      </w:r>
      <w:r w:rsidRPr="007C7BBD">
        <w:t>, research, policy and advocacy, information management, and sharing and learning. The members include non-governmental organisation</w:t>
      </w:r>
      <w:r w:rsidR="005777CE">
        <w:t>s</w:t>
      </w:r>
      <w:r w:rsidR="005777CE" w:rsidRPr="005777CE">
        <w:t>, universities, private sector</w:t>
      </w:r>
      <w:r w:rsidRPr="007C7BBD">
        <w:t>, mass media, PMI, and other professional association</w:t>
      </w:r>
      <w:r w:rsidR="005777CE">
        <w:t xml:space="preserve">s as well as </w:t>
      </w:r>
      <w:r w:rsidR="005777CE" w:rsidRPr="00773D51">
        <w:t>min</w:t>
      </w:r>
      <w:r w:rsidR="005777CE">
        <w:t>istries/agencies including BNPB</w:t>
      </w:r>
      <w:r w:rsidRPr="007C7BBD">
        <w:t xml:space="preserve">. Since </w:t>
      </w:r>
      <w:r w:rsidR="005777CE">
        <w:t xml:space="preserve">being </w:t>
      </w:r>
      <w:r w:rsidRPr="007C7BBD">
        <w:t xml:space="preserve">formally established in 2009, Planas has </w:t>
      </w:r>
      <w:r w:rsidR="005777CE">
        <w:t>facilitated the</w:t>
      </w:r>
      <w:r w:rsidRPr="007C7BBD">
        <w:t xml:space="preserve"> national action plan (NAP) for DRR. The NAP-DRR document for 2010-2012 </w:t>
      </w:r>
      <w:r w:rsidR="005777CE">
        <w:t xml:space="preserve">was developed jointly by </w:t>
      </w:r>
      <w:r w:rsidRPr="007C7BBD">
        <w:t xml:space="preserve">Planas, BNPB and Bappenas. </w:t>
      </w:r>
      <w:r w:rsidR="009138D4">
        <w:t>From 2013 onward the NAP for DRR was integrated into RPJMN as a part of mainstreaming of DRR into government planning. This way Indonesia will only have 1 DRR document, instead of 2 separate ones.</w:t>
      </w:r>
      <w:r w:rsidR="005C2B99" w:rsidRPr="005C2B99">
        <w:rPr>
          <w:noProof/>
          <w:lang w:val="en-AU" w:eastAsia="en-AU"/>
        </w:rPr>
        <w:t xml:space="preserve"> </w:t>
      </w:r>
    </w:p>
    <w:p w14:paraId="78B10C40" w14:textId="48DDDD5E" w:rsidR="007D01B9" w:rsidRDefault="005777CE" w:rsidP="00635D4F">
      <w:r>
        <w:t>While</w:t>
      </w:r>
      <w:r w:rsidR="001C73F3" w:rsidRPr="007C7BBD">
        <w:t xml:space="preserve"> universities </w:t>
      </w:r>
      <w:r>
        <w:t xml:space="preserve">are engaged </w:t>
      </w:r>
      <w:r w:rsidR="001C73F3" w:rsidRPr="007C7BBD">
        <w:t xml:space="preserve">in the platform, </w:t>
      </w:r>
      <w:r>
        <w:t xml:space="preserve">there is limited information about Planas </w:t>
      </w:r>
      <w:r w:rsidR="001C73F3" w:rsidRPr="007C7BBD">
        <w:t>research activities and information management</w:t>
      </w:r>
      <w:r w:rsidR="006A7400">
        <w:t xml:space="preserve"> or knowledge sharing</w:t>
      </w:r>
      <w:r w:rsidR="001C73F3" w:rsidRPr="007C7BBD">
        <w:t xml:space="preserve">. </w:t>
      </w:r>
      <w:r w:rsidR="00E46B8F">
        <w:t>Operational funding for P</w:t>
      </w:r>
      <w:r>
        <w:t xml:space="preserve">lanas is insecure which makes it difficult to deliver </w:t>
      </w:r>
      <w:r w:rsidR="00E46B8F">
        <w:t xml:space="preserve">fully </w:t>
      </w:r>
      <w:r>
        <w:t xml:space="preserve">on its functions. </w:t>
      </w:r>
      <w:r w:rsidR="001C73F3" w:rsidRPr="007C7BBD">
        <w:t xml:space="preserve"> However, as a forum, Planas has been </w:t>
      </w:r>
      <w:r>
        <w:t xml:space="preserve">operating </w:t>
      </w:r>
      <w:r w:rsidR="00BC56E2">
        <w:t>with regular regeneration of executive staff</w:t>
      </w:r>
      <w:r w:rsidR="001C73F3" w:rsidRPr="007C7BBD">
        <w:t>.</w:t>
      </w:r>
      <w:r w:rsidR="00E46B8F" w:rsidRPr="00D70CF4">
        <w:rPr>
          <w:rStyle w:val="FootnoteReference"/>
        </w:rPr>
        <w:t xml:space="preserve"> </w:t>
      </w:r>
      <w:r w:rsidR="001C73F3" w:rsidRPr="007C7BBD">
        <w:t>At the provincial and district levels, there is lack of clarity on how local DRR platforms are formed and sustained</w:t>
      </w:r>
      <w:r w:rsidR="00AD10A2">
        <w:t xml:space="preserve">, with a variety of organisational structures. </w:t>
      </w:r>
      <w:r w:rsidR="001C73F3" w:rsidRPr="007C7BBD">
        <w:t>Research shows that most platforms have been established in high-risk and frequently disaster-affected areas including NTT, Aceh, Padang and Yogyakarta.</w:t>
      </w:r>
      <w:r w:rsidR="001C73F3" w:rsidRPr="007C7BBD">
        <w:rPr>
          <w:vertAlign w:val="superscript"/>
        </w:rPr>
        <w:footnoteReference w:id="13"/>
      </w:r>
      <w:r w:rsidR="001C73F3" w:rsidRPr="007C7BBD">
        <w:rPr>
          <w:vertAlign w:val="superscript"/>
        </w:rPr>
        <w:t xml:space="preserve"> </w:t>
      </w:r>
      <w:r w:rsidR="00AD10A2">
        <w:t>I</w:t>
      </w:r>
      <w:r w:rsidR="009260AF" w:rsidRPr="007C7BBD">
        <w:t>ndividual leadership is</w:t>
      </w:r>
      <w:r w:rsidR="00AD10A2">
        <w:t xml:space="preserve"> often the</w:t>
      </w:r>
      <w:r w:rsidR="009260AF" w:rsidRPr="007C7BBD">
        <w:t xml:space="preserve"> key </w:t>
      </w:r>
      <w:r w:rsidR="00AD10A2">
        <w:t xml:space="preserve">to the success of a platform’s </w:t>
      </w:r>
      <w:r w:rsidR="009260AF" w:rsidRPr="007C7BBD">
        <w:t xml:space="preserve">program.  </w:t>
      </w:r>
    </w:p>
    <w:p w14:paraId="55B113DD" w14:textId="4893DC3F" w:rsidR="008830E8" w:rsidRDefault="00EC76EB" w:rsidP="007D01B9">
      <w:r w:rsidRPr="00E664A5">
        <w:t xml:space="preserve">As a national development priority </w:t>
      </w:r>
      <w:r w:rsidR="007D356C" w:rsidRPr="00E664A5">
        <w:t xml:space="preserve">DRM has been embedded across </w:t>
      </w:r>
      <w:r w:rsidR="00E664A5" w:rsidRPr="00E664A5">
        <w:t>government</w:t>
      </w:r>
      <w:r w:rsidR="00867924">
        <w:t xml:space="preserve"> planning</w:t>
      </w:r>
      <w:r w:rsidR="00E664A5" w:rsidRPr="00E664A5">
        <w:t xml:space="preserve">. </w:t>
      </w:r>
      <w:r w:rsidR="00B118A5" w:rsidRPr="00E664A5">
        <w:t>36</w:t>
      </w:r>
      <w:r w:rsidRPr="00E664A5">
        <w:t xml:space="preserve"> ministries</w:t>
      </w:r>
      <w:r w:rsidR="00B118A5" w:rsidRPr="00E664A5">
        <w:t xml:space="preserve"> and agencies</w:t>
      </w:r>
      <w:r w:rsidRPr="00E664A5">
        <w:t xml:space="preserve"> </w:t>
      </w:r>
      <w:r w:rsidR="00B118A5" w:rsidRPr="00E664A5">
        <w:t xml:space="preserve">have roles in </w:t>
      </w:r>
      <w:r w:rsidR="00E87519">
        <w:t>DRM</w:t>
      </w:r>
      <w:r w:rsidR="00127C8F">
        <w:t>. Some of the key m</w:t>
      </w:r>
      <w:r w:rsidR="00B118A5" w:rsidRPr="00E664A5">
        <w:t>inistries, apart from BNPB</w:t>
      </w:r>
      <w:r w:rsidR="00867924">
        <w:t>,</w:t>
      </w:r>
      <w:r w:rsidR="00B118A5" w:rsidRPr="00E664A5">
        <w:t xml:space="preserve"> are: </w:t>
      </w:r>
      <w:r w:rsidR="007D356C" w:rsidRPr="00E664A5">
        <w:t>Bappenas</w:t>
      </w:r>
      <w:r w:rsidR="00B118A5" w:rsidRPr="00E664A5">
        <w:t xml:space="preserve"> with overall responsibility</w:t>
      </w:r>
      <w:r w:rsidR="00127C8F">
        <w:t xml:space="preserve"> for national development planning and evaluation, including progress to reduce disaster risk</w:t>
      </w:r>
      <w:r w:rsidR="00B118A5" w:rsidRPr="00923918">
        <w:t>;</w:t>
      </w:r>
      <w:r w:rsidR="007D356C" w:rsidRPr="00923918">
        <w:t xml:space="preserve"> </w:t>
      </w:r>
      <w:r w:rsidR="00B118A5" w:rsidRPr="00923918">
        <w:t xml:space="preserve">Ministry of Home Affairs </w:t>
      </w:r>
      <w:r w:rsidR="00923918" w:rsidRPr="00923918">
        <w:t>(</w:t>
      </w:r>
      <w:r w:rsidR="0094476B">
        <w:t>MoHA</w:t>
      </w:r>
      <w:r w:rsidR="00923918" w:rsidRPr="00923918">
        <w:t xml:space="preserve">) </w:t>
      </w:r>
      <w:r w:rsidR="00B118A5" w:rsidRPr="00923918">
        <w:t>with responsibility for sub-national administration including BP</w:t>
      </w:r>
      <w:r w:rsidR="00493258">
        <w:t xml:space="preserve">BDs; </w:t>
      </w:r>
      <w:r w:rsidR="009138D4">
        <w:t>Ministry of Social Affairs (</w:t>
      </w:r>
      <w:r w:rsidR="00127C8F">
        <w:t>Mo</w:t>
      </w:r>
      <w:r w:rsidRPr="00923918">
        <w:t>SA</w:t>
      </w:r>
      <w:r w:rsidR="009138D4">
        <w:t>)</w:t>
      </w:r>
      <w:r w:rsidR="00B118A5" w:rsidRPr="00923918">
        <w:t xml:space="preserve"> </w:t>
      </w:r>
      <w:r w:rsidR="00923918" w:rsidRPr="00923918">
        <w:t xml:space="preserve">responsible </w:t>
      </w:r>
      <w:r w:rsidR="00B118A5" w:rsidRPr="00923918">
        <w:t>for protection a</w:t>
      </w:r>
      <w:r w:rsidR="00923918" w:rsidRPr="00923918">
        <w:t xml:space="preserve">nd welfare, and </w:t>
      </w:r>
      <w:r w:rsidR="00B118A5" w:rsidRPr="00923918">
        <w:t xml:space="preserve">with substantial </w:t>
      </w:r>
      <w:r w:rsidR="00C33AFA">
        <w:t xml:space="preserve">humanitarian </w:t>
      </w:r>
      <w:r w:rsidR="00B118A5" w:rsidRPr="00923918">
        <w:t>s</w:t>
      </w:r>
      <w:r w:rsidR="00923918" w:rsidRPr="00923918">
        <w:t xml:space="preserve">tores and a volunteer workforce; Ministry of Environment </w:t>
      </w:r>
      <w:r w:rsidR="009138D4">
        <w:t xml:space="preserve">and Forestry (MoEF) </w:t>
      </w:r>
      <w:r w:rsidR="0016516F">
        <w:t>for f</w:t>
      </w:r>
      <w:r w:rsidR="00923918" w:rsidRPr="00923918">
        <w:t xml:space="preserve">ire </w:t>
      </w:r>
      <w:r w:rsidR="0016516F">
        <w:t>m</w:t>
      </w:r>
      <w:r w:rsidR="00923918" w:rsidRPr="00923918">
        <w:t>anagement, including firefighters around the country</w:t>
      </w:r>
      <w:r w:rsidR="00B118A5" w:rsidRPr="00923918">
        <w:t>; Ministry of Health</w:t>
      </w:r>
      <w:r w:rsidR="007D356C" w:rsidRPr="00923918">
        <w:t xml:space="preserve"> </w:t>
      </w:r>
      <w:r w:rsidR="009138D4">
        <w:t xml:space="preserve">(MoH) </w:t>
      </w:r>
      <w:r w:rsidR="00923918" w:rsidRPr="00923918">
        <w:t xml:space="preserve">responsible </w:t>
      </w:r>
      <w:r w:rsidR="007D356C" w:rsidRPr="00923918">
        <w:t>for disease</w:t>
      </w:r>
      <w:r w:rsidR="00B118A5" w:rsidRPr="00923918">
        <w:t xml:space="preserve"> outbreak management</w:t>
      </w:r>
      <w:r w:rsidR="00923918" w:rsidRPr="00923918">
        <w:t xml:space="preserve"> with a dedicated emergency health response unit</w:t>
      </w:r>
      <w:r w:rsidR="009138D4">
        <w:t>; and MoFA responsible for helping manag</w:t>
      </w:r>
      <w:r w:rsidR="003B12FC">
        <w:t>e</w:t>
      </w:r>
      <w:r w:rsidR="009138D4">
        <w:t xml:space="preserve"> international and bilateral offers and requests for assistance</w:t>
      </w:r>
      <w:r w:rsidR="00923918" w:rsidRPr="00923918">
        <w:t>.</w:t>
      </w:r>
      <w:r w:rsidR="005349D9">
        <w:t xml:space="preserve"> The </w:t>
      </w:r>
      <w:r w:rsidR="0016516F">
        <w:t xml:space="preserve">Indonesian </w:t>
      </w:r>
      <w:r w:rsidR="005349D9">
        <w:t xml:space="preserve">military </w:t>
      </w:r>
      <w:r w:rsidR="0016516F">
        <w:t>(</w:t>
      </w:r>
      <w:r w:rsidR="005349D9">
        <w:t>TNI</w:t>
      </w:r>
      <w:r w:rsidR="0016516F">
        <w:t>)</w:t>
      </w:r>
      <w:r w:rsidR="005349D9">
        <w:t xml:space="preserve">, is also a key actor during emergencies. </w:t>
      </w:r>
      <w:r w:rsidR="00923918" w:rsidRPr="00923918">
        <w:t xml:space="preserve">This demonstrates the importance of DRM for </w:t>
      </w:r>
      <w:r w:rsidR="0094476B">
        <w:t>GoI</w:t>
      </w:r>
      <w:r w:rsidR="00521C4C">
        <w:t>, as w</w:t>
      </w:r>
      <w:r w:rsidR="001F1EA6">
        <w:t>ell as the challenge of coordina</w:t>
      </w:r>
      <w:r w:rsidR="00521C4C">
        <w:t>tion</w:t>
      </w:r>
      <w:r w:rsidR="001F1EA6">
        <w:t xml:space="preserve"> across different parts of government</w:t>
      </w:r>
      <w:r w:rsidR="00E46B8F">
        <w:t>.</w:t>
      </w:r>
      <w:r w:rsidR="00923918" w:rsidRPr="00923918">
        <w:t xml:space="preserve"> </w:t>
      </w:r>
    </w:p>
    <w:p w14:paraId="3B2FDBC7" w14:textId="361D9CE0" w:rsidR="007D01B9" w:rsidRDefault="008830E8" w:rsidP="007D01B9">
      <w:r>
        <w:rPr>
          <w:noProof/>
          <w:lang w:val="en-AU" w:eastAsia="en-AU"/>
        </w:rPr>
        <mc:AlternateContent>
          <mc:Choice Requires="wps">
            <w:drawing>
              <wp:anchor distT="0" distB="0" distL="114300" distR="114300" simplePos="0" relativeHeight="251665408" behindDoc="0" locked="0" layoutInCell="1" allowOverlap="1" wp14:anchorId="52FC0949" wp14:editId="27EE0D1B">
                <wp:simplePos x="0" y="0"/>
                <wp:positionH relativeFrom="column">
                  <wp:posOffset>0</wp:posOffset>
                </wp:positionH>
                <wp:positionV relativeFrom="paragraph">
                  <wp:posOffset>161290</wp:posOffset>
                </wp:positionV>
                <wp:extent cx="2139950" cy="2915285"/>
                <wp:effectExtent l="0" t="0" r="19050" b="18415"/>
                <wp:wrapSquare wrapText="bothSides"/>
                <wp:docPr id="23" name="Text Box 23"/>
                <wp:cNvGraphicFramePr/>
                <a:graphic xmlns:a="http://schemas.openxmlformats.org/drawingml/2006/main">
                  <a:graphicData uri="http://schemas.microsoft.com/office/word/2010/wordprocessingShape">
                    <wps:wsp>
                      <wps:cNvSpPr txBox="1"/>
                      <wps:spPr>
                        <a:xfrm>
                          <a:off x="0" y="0"/>
                          <a:ext cx="2139950" cy="2915285"/>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06B57A1E" w14:textId="3DBA09F0" w:rsidR="00B01D1C" w:rsidRPr="007C7BBD" w:rsidRDefault="00B01D1C" w:rsidP="007C7BBD">
                            <w:pPr>
                              <w:spacing w:line="240" w:lineRule="auto"/>
                              <w:rPr>
                                <w:sz w:val="16"/>
                                <w:szCs w:val="16"/>
                              </w:rPr>
                            </w:pPr>
                            <w:r w:rsidRPr="007C7BBD">
                              <w:rPr>
                                <w:rFonts w:eastAsiaTheme="minorEastAsia"/>
                                <w:b/>
                                <w:bCs/>
                                <w:sz w:val="16"/>
                                <w:szCs w:val="16"/>
                              </w:rPr>
                              <w:t xml:space="preserve">Disaster risk management ecosystem: </w:t>
                            </w:r>
                            <w:r w:rsidRPr="007C7BBD">
                              <w:rPr>
                                <w:rFonts w:eastAsiaTheme="minorEastAsia"/>
                                <w:bCs/>
                                <w:sz w:val="16"/>
                                <w:szCs w:val="16"/>
                              </w:rPr>
                              <w:t xml:space="preserve">A framework which promotes DRM as </w:t>
                            </w:r>
                            <w:r w:rsidRPr="007C7BBD">
                              <w:rPr>
                                <w:rFonts w:eastAsiaTheme="minorEastAsia"/>
                                <w:sz w:val="16"/>
                                <w:szCs w:val="16"/>
                              </w:rPr>
                              <w:t>a network of organisms that interact in an ecosystem ranging from local to national levels and across state and non-state actors, rather than a more conventional approach cent</w:t>
                            </w:r>
                            <w:r>
                              <w:rPr>
                                <w:rFonts w:eastAsiaTheme="minorEastAsia"/>
                                <w:sz w:val="16"/>
                                <w:szCs w:val="16"/>
                              </w:rPr>
                              <w:t>e</w:t>
                            </w:r>
                            <w:r w:rsidRPr="007C7BBD">
                              <w:rPr>
                                <w:rFonts w:eastAsiaTheme="minorEastAsia"/>
                                <w:sz w:val="16"/>
                                <w:szCs w:val="16"/>
                              </w:rPr>
                              <w:t>ring on disaster management agencies. The ecosystems approach allows policy makers to view all stakeholders as a connected system where each component interacts with other components. Every organism or organisation in that ecosystem has a role to play in reducing disaster risk. Government organisations and institutions (such as relevant national ministries and disaster management authority) are equally important as other stakeholders including civil society, sub-national governments, the private sector and other parties including international humanitarian communities. Ultimately, grassroots organisations are in</w:t>
                            </w:r>
                            <w:r w:rsidRPr="00503BDC">
                              <w:rPr>
                                <w:rFonts w:eastAsiaTheme="minorEastAsia"/>
                                <w:sz w:val="16"/>
                                <w:szCs w:val="16"/>
                              </w:rPr>
                              <w:t>tegral part of a DRM ecosystem</w:t>
                            </w:r>
                            <w:r w:rsidRPr="007C7BBD">
                              <w:rPr>
                                <w:rFonts w:eastAsiaTheme="min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C0949" id="Text Box 23" o:spid="_x0000_s1027" type="#_x0000_t202" style="position:absolute;margin-left:0;margin-top:12.7pt;width:168.5pt;height:2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" fillcolor="#fbe4d5 [661]" strokecolor="#ed7d31 [3205]" strokeweight="1pt">
                <v:textbox>
                  <w:txbxContent>
                    <w:p w14:paraId="06B57A1E" w14:textId="3DBA09F0" w:rsidR="00B01D1C" w:rsidRPr="007C7BBD" w:rsidRDefault="00B01D1C" w:rsidP="007C7BBD">
                      <w:pPr>
                        <w:spacing w:line="240" w:lineRule="auto"/>
                        <w:rPr>
                          <w:sz w:val="16"/>
                          <w:szCs w:val="16"/>
                        </w:rPr>
                      </w:pPr>
                      <w:r w:rsidRPr="007C7BBD">
                        <w:rPr>
                          <w:rFonts w:eastAsiaTheme="minorEastAsia"/>
                          <w:b/>
                          <w:bCs/>
                          <w:sz w:val="16"/>
                          <w:szCs w:val="16"/>
                        </w:rPr>
                        <w:t xml:space="preserve">Disaster risk management ecosystem: </w:t>
                      </w:r>
                      <w:r w:rsidRPr="007C7BBD">
                        <w:rPr>
                          <w:rFonts w:eastAsiaTheme="minorEastAsia"/>
                          <w:bCs/>
                          <w:sz w:val="16"/>
                          <w:szCs w:val="16"/>
                        </w:rPr>
                        <w:t xml:space="preserve">A framework which promotes DRM as </w:t>
                      </w:r>
                      <w:r w:rsidRPr="007C7BBD">
                        <w:rPr>
                          <w:rFonts w:eastAsiaTheme="minorEastAsia"/>
                          <w:sz w:val="16"/>
                          <w:szCs w:val="16"/>
                        </w:rPr>
                        <w:t>a network of organisms that interact in an ecosystem ranging from local to national levels and across state and non-state actors, rather than a more conventional approach cent</w:t>
                      </w:r>
                      <w:r>
                        <w:rPr>
                          <w:rFonts w:eastAsiaTheme="minorEastAsia"/>
                          <w:sz w:val="16"/>
                          <w:szCs w:val="16"/>
                        </w:rPr>
                        <w:t>e</w:t>
                      </w:r>
                      <w:r w:rsidRPr="007C7BBD">
                        <w:rPr>
                          <w:rFonts w:eastAsiaTheme="minorEastAsia"/>
                          <w:sz w:val="16"/>
                          <w:szCs w:val="16"/>
                        </w:rPr>
                        <w:t>ring on disaster management agencies. The ecosystems approach allows policy makers to view all stakeholders as a connected system where each component interacts with other components. Every organism or organisation in that ecosystem has a role to play in reducing disaster risk. Government organisations and institutions (such as relevant national ministries and disaster management authority) are equally important as other stakeholders including civil society, sub-national governments, the private sector and other parties including international humanitarian communities. Ultimately, grassroots organisations are in</w:t>
                      </w:r>
                      <w:r w:rsidRPr="00503BDC">
                        <w:rPr>
                          <w:rFonts w:eastAsiaTheme="minorEastAsia"/>
                          <w:sz w:val="16"/>
                          <w:szCs w:val="16"/>
                        </w:rPr>
                        <w:t>tegral part of a DRM ecosystem</w:t>
                      </w:r>
                      <w:r w:rsidRPr="007C7BBD">
                        <w:rPr>
                          <w:rFonts w:eastAsiaTheme="minorEastAsia"/>
                          <w:sz w:val="16"/>
                          <w:szCs w:val="16"/>
                        </w:rPr>
                        <w:t>.</w:t>
                      </w:r>
                    </w:p>
                  </w:txbxContent>
                </v:textbox>
                <w10:wrap type="square"/>
              </v:shape>
            </w:pict>
          </mc:Fallback>
        </mc:AlternateContent>
      </w:r>
    </w:p>
    <w:p w14:paraId="735E6709" w14:textId="698319D3" w:rsidR="007D356C" w:rsidRDefault="005C2B99" w:rsidP="007D01B9">
      <w:r>
        <w:rPr>
          <w:noProof/>
          <w:lang w:val="en-AU" w:eastAsia="en-AU"/>
        </w:rPr>
        <w:drawing>
          <wp:anchor distT="0" distB="0" distL="114300" distR="114300" simplePos="0" relativeHeight="251669504" behindDoc="1" locked="0" layoutInCell="1" allowOverlap="1" wp14:anchorId="652F994E" wp14:editId="7B24ABB6">
            <wp:simplePos x="0" y="0"/>
            <wp:positionH relativeFrom="column">
              <wp:posOffset>2276475</wp:posOffset>
            </wp:positionH>
            <wp:positionV relativeFrom="paragraph">
              <wp:posOffset>42545</wp:posOffset>
            </wp:positionV>
            <wp:extent cx="3306417" cy="2623781"/>
            <wp:effectExtent l="0" t="0" r="8890" b="5715"/>
            <wp:wrapTight wrapText="bothSides">
              <wp:wrapPolygon edited="0">
                <wp:start x="0" y="0"/>
                <wp:lineTo x="0" y="21490"/>
                <wp:lineTo x="21534" y="21490"/>
                <wp:lineTo x="2153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RM ecosystem.pd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6417" cy="2623781"/>
                    </a:xfrm>
                    <a:prstGeom prst="rect">
                      <a:avLst/>
                    </a:prstGeom>
                  </pic:spPr>
                </pic:pic>
              </a:graphicData>
            </a:graphic>
          </wp:anchor>
        </w:drawing>
      </w:r>
    </w:p>
    <w:p w14:paraId="360F23C1" w14:textId="794C1CBC" w:rsidR="007D01B9" w:rsidRPr="002D42C2" w:rsidRDefault="007D01B9" w:rsidP="00AA6E68">
      <w:pPr>
        <w:pStyle w:val="Heading3"/>
      </w:pPr>
      <w:bookmarkStart w:id="20" w:name="_Toc525550763"/>
      <w:r w:rsidRPr="002D42C2">
        <w:t>Development Problem/Issue Analysis</w:t>
      </w:r>
      <w:bookmarkEnd w:id="20"/>
      <w:r w:rsidRPr="002D42C2">
        <w:t xml:space="preserve"> </w:t>
      </w:r>
    </w:p>
    <w:p w14:paraId="7DDB815F" w14:textId="1D2A50E6" w:rsidR="007D01B9" w:rsidRDefault="00251476" w:rsidP="007D01B9">
      <w:pPr>
        <w:rPr>
          <w:rStyle w:val="apple-converted-space"/>
        </w:rPr>
      </w:pPr>
      <w:r>
        <w:t xml:space="preserve">Given the high levels of disaster risk for Indonesia </w:t>
      </w:r>
      <w:r w:rsidR="00E87519">
        <w:t>DRM</w:t>
      </w:r>
      <w:r>
        <w:t xml:space="preserve"> continues to be a critical development issue. </w:t>
      </w:r>
      <w:r w:rsidR="007573FB">
        <w:t>While Indonesia has made progress in developing its DRM capacity there is still the need to strengthen DRM government structures and coordination between state and non-state actors</w:t>
      </w:r>
      <w:r w:rsidR="00F773A9">
        <w:t>, in particular during the period of disaster response</w:t>
      </w:r>
      <w:r w:rsidR="007573FB">
        <w:t>.</w:t>
      </w:r>
      <w:r>
        <w:t xml:space="preserve"> </w:t>
      </w:r>
      <w:r w:rsidR="00A0558F">
        <w:t>This becomes a real challenge when</w:t>
      </w:r>
      <w:r w:rsidR="00A0558F" w:rsidRPr="00A0558F">
        <w:t xml:space="preserve"> </w:t>
      </w:r>
      <w:r w:rsidR="00A0558F">
        <w:t xml:space="preserve">the country </w:t>
      </w:r>
      <w:r w:rsidR="00A0558F" w:rsidRPr="00A0558F">
        <w:t>fac</w:t>
      </w:r>
      <w:r w:rsidR="00A0558F">
        <w:t>es</w:t>
      </w:r>
      <w:r w:rsidR="00A0558F" w:rsidRPr="00A0558F">
        <w:t xml:space="preserve"> </w:t>
      </w:r>
      <w:r w:rsidR="00D333C1">
        <w:t>medium-</w:t>
      </w:r>
      <w:r w:rsidR="00A0558F">
        <w:t>scale</w:t>
      </w:r>
      <w:r w:rsidR="00A0558F" w:rsidRPr="00A0558F">
        <w:t xml:space="preserve"> disasters such as earthquakes in Lombok and </w:t>
      </w:r>
      <w:r w:rsidR="00A0558F">
        <w:t>C</w:t>
      </w:r>
      <w:r w:rsidR="00A0558F" w:rsidRPr="00A0558F">
        <w:t>entral Sulawesi</w:t>
      </w:r>
      <w:r w:rsidR="00D333C1">
        <w:t xml:space="preserve"> in 2018</w:t>
      </w:r>
      <w:r w:rsidR="00A0558F">
        <w:t>.</w:t>
      </w:r>
      <w:r w:rsidR="00D333C1">
        <w:t xml:space="preserve"> The Indonesian President and Head of BNPB were reported by the media following the Central Sulawesi and Lombok disasters as saying that further work was required in Indonesia’s disaster response standard operating procedures and agency coordination. </w:t>
      </w:r>
      <w:r w:rsidR="00A0558F" w:rsidRPr="00A0558F">
        <w:t>Indonesia’s exposure to a wide range of natural hazards coupled with capacity</w:t>
      </w:r>
      <w:r w:rsidR="00DD5C0E">
        <w:t xml:space="preserve"> constraints</w:t>
      </w:r>
      <w:r w:rsidR="00A0558F" w:rsidRPr="00A0558F">
        <w:t xml:space="preserve"> in disaster management mean that the risk of major disasters remains high. </w:t>
      </w:r>
    </w:p>
    <w:p w14:paraId="61AB4029" w14:textId="77777777" w:rsidR="007B51D1" w:rsidRDefault="007B51D1" w:rsidP="007C7BBD">
      <w:pPr>
        <w:pStyle w:val="Heading4"/>
      </w:pPr>
      <w:r>
        <w:t>Capacity of organisations and key stakeholders</w:t>
      </w:r>
    </w:p>
    <w:p w14:paraId="68FF06AE" w14:textId="63C12A5A" w:rsidR="007D01B9" w:rsidRDefault="007D01B9" w:rsidP="007D01B9">
      <w:r>
        <w:t xml:space="preserve">BNPB is a relatively new organisation that has focused on building itself up and developing expertise in disaster response, and disaster data and information systems over the last 10 years. While mandated to coordinate and lead DRM and set policy frameworks, standards and training, in practice disaster response </w:t>
      </w:r>
      <w:r w:rsidR="009915E6">
        <w:t xml:space="preserve">has </w:t>
      </w:r>
      <w:r>
        <w:t>take</w:t>
      </w:r>
      <w:r w:rsidR="009915E6">
        <w:t>n</w:t>
      </w:r>
      <w:r>
        <w:t xml:space="preserve"> priority</w:t>
      </w:r>
      <w:r w:rsidR="005349D9">
        <w:t xml:space="preserve">. </w:t>
      </w:r>
      <w:r>
        <w:t xml:space="preserve">BNPB resources and senior management attention </w:t>
      </w:r>
      <w:r w:rsidR="005349D9">
        <w:t xml:space="preserve">have been </w:t>
      </w:r>
      <w:r>
        <w:t>regularly drawn into directly responding to medium and small-scale crises</w:t>
      </w:r>
      <w:r w:rsidR="009915E6">
        <w:t xml:space="preserve"> at the cost of focussing on </w:t>
      </w:r>
      <w:r>
        <w:t>longer</w:t>
      </w:r>
      <w:r w:rsidR="00A05327">
        <w:t>-</w:t>
      </w:r>
      <w:r>
        <w:t>term DRM work</w:t>
      </w:r>
      <w:r w:rsidR="005349D9">
        <w:t xml:space="preserve">. This has </w:t>
      </w:r>
      <w:r>
        <w:t>reinforce</w:t>
      </w:r>
      <w:r w:rsidR="005349D9">
        <w:t>d</w:t>
      </w:r>
      <w:r>
        <w:t xml:space="preserve"> </w:t>
      </w:r>
      <w:r w:rsidR="00A05327">
        <w:t xml:space="preserve">perceptions of </w:t>
      </w:r>
      <w:r>
        <w:t xml:space="preserve">BNPB as an implementer of disaster response </w:t>
      </w:r>
      <w:r w:rsidR="009915E6">
        <w:t xml:space="preserve">programmes </w:t>
      </w:r>
      <w:r>
        <w:t xml:space="preserve">rather than </w:t>
      </w:r>
      <w:r w:rsidR="009915E6">
        <w:t xml:space="preserve">the </w:t>
      </w:r>
      <w:r>
        <w:t xml:space="preserve">coordinator and leader of </w:t>
      </w:r>
      <w:r w:rsidR="009915E6">
        <w:t xml:space="preserve">Indonesia’s </w:t>
      </w:r>
      <w:r>
        <w:t xml:space="preserve">disaster </w:t>
      </w:r>
      <w:r w:rsidR="009915E6">
        <w:t xml:space="preserve">preparedness and </w:t>
      </w:r>
      <w:r>
        <w:t>response</w:t>
      </w:r>
      <w:r w:rsidR="009915E6">
        <w:t xml:space="preserve"> framework</w:t>
      </w:r>
      <w:r>
        <w:t xml:space="preserve">. </w:t>
      </w:r>
    </w:p>
    <w:p w14:paraId="1AB03414" w14:textId="26AACB6D" w:rsidR="007D01B9" w:rsidRDefault="007D01B9" w:rsidP="007D01B9">
      <w:r>
        <w:t>The focus on disaster data and information has been an important piece of the DRM system during the current RJPM</w:t>
      </w:r>
      <w:r w:rsidR="002D2D99">
        <w:t>N</w:t>
      </w:r>
      <w:r>
        <w:t xml:space="preserve"> and there is now capacity in BNPB to continue such work with the support of Universities and the private sector. There is </w:t>
      </w:r>
      <w:r w:rsidR="006C1868">
        <w:t xml:space="preserve">an </w:t>
      </w:r>
      <w:r>
        <w:t xml:space="preserve">opportunity to improve data </w:t>
      </w:r>
      <w:r w:rsidR="002848CB">
        <w:t xml:space="preserve">and logistics management </w:t>
      </w:r>
      <w:r>
        <w:t>systems in terms of incorporating information on social factors that can drive vulnerability such as gender, age (children and elderly), disability</w:t>
      </w:r>
      <w:r w:rsidR="002D2D99">
        <w:t>, ethnicity</w:t>
      </w:r>
      <w:r>
        <w:t xml:space="preserve"> and other factors such as sexual orient</w:t>
      </w:r>
      <w:r w:rsidR="002D2D99">
        <w:t>ation. The future challenge is</w:t>
      </w:r>
      <w:r>
        <w:t xml:space="preserve"> to build sub-national capacity to use disaster science, data and tools alongside local knowledge of community vulnerabilities and strengths for better planning and disaster management.</w:t>
      </w:r>
    </w:p>
    <w:p w14:paraId="5254A891" w14:textId="797D3B2D" w:rsidR="00FB1657" w:rsidRDefault="007D01B9" w:rsidP="007D01B9">
      <w:r>
        <w:t xml:space="preserve">The current situation can be viewed through the lens of progressive implementation of decentralisation in Indonesia, shifting power from Jakarta and central agencies to local government closer to the people. </w:t>
      </w:r>
      <w:r w:rsidR="009A0276">
        <w:t xml:space="preserve">Part of this shift includes </w:t>
      </w:r>
      <w:r w:rsidR="00FB1657">
        <w:t xml:space="preserve">recognition that women, people with disabilities and other marginalised people are not only victims who require appropriate services. They are also active members of their community and the national society and economy who should have a say in decision making about disaster preparedness and response. </w:t>
      </w:r>
      <w:r w:rsidR="00885EA6">
        <w:t xml:space="preserve">Their inclusion improves the effectiveness of </w:t>
      </w:r>
      <w:r w:rsidR="00E87519">
        <w:t>DRM</w:t>
      </w:r>
      <w:r w:rsidR="00885EA6">
        <w:t xml:space="preserve"> and response.</w:t>
      </w:r>
    </w:p>
    <w:p w14:paraId="74CAA832" w14:textId="363BE7FB" w:rsidR="007D01B9" w:rsidRDefault="007D01B9" w:rsidP="007D01B9">
      <w:r>
        <w:t>BPBDs are very new organisations with staff drawn from other, more established provincial</w:t>
      </w:r>
      <w:r w:rsidR="00C22496">
        <w:t xml:space="preserve"> or kabupaten/kota</w:t>
      </w:r>
      <w:r>
        <w:t xml:space="preserve"> agencies. While every province now has a BPBD </w:t>
      </w:r>
      <w:r w:rsidR="00C22496">
        <w:t xml:space="preserve">and </w:t>
      </w:r>
      <w:r>
        <w:t xml:space="preserve">approximately 400 of </w:t>
      </w:r>
      <w:r w:rsidR="00C22496">
        <w:t xml:space="preserve">513 </w:t>
      </w:r>
      <w:r>
        <w:t xml:space="preserve">districts/municipalities have established BPBDs, staff turnover is </w:t>
      </w:r>
      <w:r w:rsidR="006C24D4">
        <w:t>high,</w:t>
      </w:r>
      <w:r>
        <w:t xml:space="preserve"> and staff </w:t>
      </w:r>
      <w:r w:rsidR="006C1868">
        <w:t xml:space="preserve">do not always </w:t>
      </w:r>
      <w:r>
        <w:t xml:space="preserve">have </w:t>
      </w:r>
      <w:r w:rsidR="006C1868">
        <w:t xml:space="preserve">specific </w:t>
      </w:r>
      <w:r>
        <w:t xml:space="preserve">skills </w:t>
      </w:r>
      <w:r w:rsidR="00C22496">
        <w:t xml:space="preserve">or knowledge </w:t>
      </w:r>
      <w:r>
        <w:t xml:space="preserve">in DRM. </w:t>
      </w:r>
      <w:r w:rsidR="006C1868">
        <w:t>T</w:t>
      </w:r>
      <w:r>
        <w:t xml:space="preserve">raining </w:t>
      </w:r>
      <w:r w:rsidR="006C1868">
        <w:t xml:space="preserve">is provided </w:t>
      </w:r>
      <w:r>
        <w:t xml:space="preserve">to </w:t>
      </w:r>
      <w:r w:rsidR="0079544F">
        <w:t>BPBDs,</w:t>
      </w:r>
      <w:r>
        <w:t xml:space="preserve"> but this is of variable quality and relevance. Serving time in a BPBD </w:t>
      </w:r>
      <w:r w:rsidR="006C1868">
        <w:t xml:space="preserve">can be </w:t>
      </w:r>
      <w:r>
        <w:t>seen as a stepping stone into another job and trained individuals move on. BPBDs have base funding for salaries and operations but struggle to secure funds from provincial and/or district budgets for programs</w:t>
      </w:r>
      <w:r w:rsidR="002D2D99">
        <w:t>. They rely on BNPB to access AU</w:t>
      </w:r>
      <w:r w:rsidR="00D03B04">
        <w:t>$</w:t>
      </w:r>
      <w:r>
        <w:t>5</w:t>
      </w:r>
      <w:r w:rsidR="00A05327">
        <w:t>00 million</w:t>
      </w:r>
      <w:r>
        <w:t xml:space="preserve"> of on call funds for response and recovery. Another challenge is that fire management is the responsibility of separate agencies. There are a few examples of BPBDs that are building a professional culture and expertise, through good leadership and with the support of the provincial governor, such as East Java and South Sulawesi. These examples can provide valuable learning for other locations. </w:t>
      </w:r>
    </w:p>
    <w:p w14:paraId="1DA38A91" w14:textId="5B38C21B" w:rsidR="007D01B9" w:rsidRDefault="007D01B9" w:rsidP="007D01B9">
      <w:r>
        <w:t>In 2019, in recognition of the challenges faced by BPBDs</w:t>
      </w:r>
      <w:r w:rsidR="00C22496">
        <w:t>,</w:t>
      </w:r>
      <w:r>
        <w:t xml:space="preserve"> the Ministry of Home Affairs </w:t>
      </w:r>
      <w:r w:rsidR="00272746">
        <w:t xml:space="preserve">(MOHA) </w:t>
      </w:r>
      <w:r>
        <w:t xml:space="preserve">will introduce Minimum Service Standards (MSS) for Disaster and Fire Management. These have the potential to lift the status and expectations of performance of provincial and district BPBDs. The </w:t>
      </w:r>
      <w:r w:rsidR="00D03B04">
        <w:t xml:space="preserve">MSS </w:t>
      </w:r>
      <w:r>
        <w:t xml:space="preserve">set out the requirements for district and municipal BPBDs and fire agencies to deliver services to citizens with respect to: disaster risk </w:t>
      </w:r>
      <w:r w:rsidR="002D2D99">
        <w:t xml:space="preserve">and hazards </w:t>
      </w:r>
      <w:r>
        <w:t xml:space="preserve">information; disaster prevention and preparedness; and disaster rescue and evacuation. 12 types of </w:t>
      </w:r>
      <w:r w:rsidR="002D2D99">
        <w:t>hazards</w:t>
      </w:r>
      <w:r>
        <w:t xml:space="preserve"> are specified</w:t>
      </w:r>
      <w:r w:rsidR="002D2D99">
        <w:t>:</w:t>
      </w:r>
      <w:r>
        <w:t xml:space="preserve"> </w:t>
      </w:r>
      <w:r w:rsidRPr="00277837">
        <w:t xml:space="preserve">Earthquake, Tsunami, Flood, Landslide, Volcano Eruption, Extreme Waves and Abrasion, Extreme Weather, Drought, Forest and Land Fires, Building and Settlement Fires, Epidemic and Outbreak of Disease, Technology Failure, and </w:t>
      </w:r>
      <w:r>
        <w:t>Social</w:t>
      </w:r>
      <w:r w:rsidRPr="00277837">
        <w:t xml:space="preserve"> Conflict</w:t>
      </w:r>
      <w:r>
        <w:t xml:space="preserve">. The service standards require central agencies to support capacity development (this is generally BNPB but for social conflict </w:t>
      </w:r>
      <w:r w:rsidR="00127C8F">
        <w:t xml:space="preserve">MoSA </w:t>
      </w:r>
      <w:r>
        <w:t>coordinate</w:t>
      </w:r>
      <w:r w:rsidR="00127C8F">
        <w:t xml:space="preserve">s, and for epidemics MoH </w:t>
      </w:r>
      <w:r>
        <w:t>coordinate</w:t>
      </w:r>
      <w:r w:rsidR="00127C8F">
        <w:t>s</w:t>
      </w:r>
      <w:r>
        <w:t xml:space="preserve">). Provincial authorities should support capacity development and report on district performance.  Implementation of the MSS will require increased budget allocation from district and municipal budgets, which is </w:t>
      </w:r>
      <w:r w:rsidR="00AC5FD4">
        <w:t>reportedly currently around 0.04</w:t>
      </w:r>
      <w:r>
        <w:t xml:space="preserve">% or below. While the MSS provides standards, </w:t>
      </w:r>
      <w:r w:rsidR="00C22496">
        <w:t xml:space="preserve">measuring and achieving </w:t>
      </w:r>
      <w:r>
        <w:t xml:space="preserve">those standards will require significant capacity development and organisational change. </w:t>
      </w:r>
    </w:p>
    <w:p w14:paraId="3A37438F" w14:textId="751BC6DD" w:rsidR="007B51D1" w:rsidRDefault="007B51D1" w:rsidP="007C7BBD">
      <w:pPr>
        <w:pStyle w:val="Heading4"/>
      </w:pPr>
      <w:r>
        <w:t>Coordination</w:t>
      </w:r>
    </w:p>
    <w:p w14:paraId="26078EA8" w14:textId="70883656" w:rsidR="007D01B9" w:rsidRDefault="004D09AF" w:rsidP="007D01B9">
      <w:r>
        <w:t xml:space="preserve">There are currently three perceived coordination challenges to improve the development of DRM in Indonesia. </w:t>
      </w:r>
      <w:r w:rsidR="007D01B9">
        <w:t xml:space="preserve">First </w:t>
      </w:r>
      <w:r>
        <w:t xml:space="preserve">is the vertical challenge within </w:t>
      </w:r>
      <w:r w:rsidR="007D01B9">
        <w:t xml:space="preserve">BNPB. </w:t>
      </w:r>
      <w:bookmarkStart w:id="21" w:name="_Hlk517993138"/>
      <w:r w:rsidR="007D01B9">
        <w:t xml:space="preserve">Second is </w:t>
      </w:r>
      <w:r>
        <w:t xml:space="preserve">the </w:t>
      </w:r>
      <w:r w:rsidR="007D01B9">
        <w:t>horizontal challenge at national level between BNPB, other Ministries, CSOs and other non-state actors, and development/humanitarian international partners</w:t>
      </w:r>
      <w:bookmarkEnd w:id="21"/>
      <w:r w:rsidR="007D01B9">
        <w:t xml:space="preserve">. Third is a vertical challenge between BNPB and provincial and district BPBDs. </w:t>
      </w:r>
    </w:p>
    <w:p w14:paraId="558A1334" w14:textId="1669E379" w:rsidR="005550F0" w:rsidRDefault="007D01B9" w:rsidP="007D01B9">
      <w:r w:rsidRPr="005550F0">
        <w:rPr>
          <w:i/>
        </w:rPr>
        <w:t xml:space="preserve">Coordination within BNPB </w:t>
      </w:r>
      <w:r w:rsidR="00D03B04" w:rsidRPr="005550F0">
        <w:rPr>
          <w:i/>
        </w:rPr>
        <w:t>can be strengthened.</w:t>
      </w:r>
      <w:r w:rsidR="00D03B04">
        <w:t xml:space="preserve"> </w:t>
      </w:r>
      <w:r w:rsidR="004D09AF">
        <w:t xml:space="preserve">Enhanced </w:t>
      </w:r>
      <w:r w:rsidR="00D03B04">
        <w:t xml:space="preserve">coordination </w:t>
      </w:r>
      <w:r w:rsidR="004D09AF">
        <w:t xml:space="preserve">between the leadership of BNPB and the divisions, as well as within and between divisions </w:t>
      </w:r>
      <w:r w:rsidR="00D03B04">
        <w:t xml:space="preserve">can reduce </w:t>
      </w:r>
      <w:r>
        <w:t xml:space="preserve">duplication of efforts, </w:t>
      </w:r>
      <w:r w:rsidR="00D03B04">
        <w:t xml:space="preserve">improve </w:t>
      </w:r>
      <w:r>
        <w:t>learning</w:t>
      </w:r>
      <w:r w:rsidR="00D03B04">
        <w:t xml:space="preserve"> and impact,</w:t>
      </w:r>
      <w:r>
        <w:t xml:space="preserve"> and </w:t>
      </w:r>
      <w:r w:rsidR="00D03B04">
        <w:t xml:space="preserve">increase </w:t>
      </w:r>
      <w:r>
        <w:t>sharing of information</w:t>
      </w:r>
      <w:r w:rsidR="005550F0">
        <w:t xml:space="preserve"> and knowledge</w:t>
      </w:r>
      <w:r>
        <w:t>. For Indonesia</w:t>
      </w:r>
      <w:r w:rsidR="004D09AF">
        <w:t>,</w:t>
      </w:r>
      <w:r>
        <w:t xml:space="preserve"> </w:t>
      </w:r>
      <w:r w:rsidR="004D09AF">
        <w:t>the</w:t>
      </w:r>
      <w:r>
        <w:t xml:space="preserve"> manage</w:t>
      </w:r>
      <w:r w:rsidR="004D09AF">
        <w:t>ment of</w:t>
      </w:r>
      <w:r>
        <w:t xml:space="preserve"> a major disaster require</w:t>
      </w:r>
      <w:r w:rsidR="004D09AF">
        <w:t>s</w:t>
      </w:r>
      <w:r>
        <w:t xml:space="preserve"> strong coordination within BNPB</w:t>
      </w:r>
      <w:r w:rsidR="00D03B04">
        <w:t>,</w:t>
      </w:r>
      <w:r>
        <w:t xml:space="preserve"> </w:t>
      </w:r>
      <w:r w:rsidR="004D09AF">
        <w:t xml:space="preserve">enhanced cross-government coordination by BNPB, </w:t>
      </w:r>
      <w:r>
        <w:t xml:space="preserve">as well as </w:t>
      </w:r>
      <w:r w:rsidR="004D09AF">
        <w:t xml:space="preserve">more focused </w:t>
      </w:r>
      <w:r>
        <w:t>inter-ministerial coordination</w:t>
      </w:r>
      <w:r w:rsidR="00D03B04">
        <w:t xml:space="preserve">. </w:t>
      </w:r>
      <w:r w:rsidR="005550F0">
        <w:t xml:space="preserve">This is particularly important considering the </w:t>
      </w:r>
      <w:r w:rsidR="00D333C1">
        <w:t xml:space="preserve">structure of </w:t>
      </w:r>
      <w:r w:rsidR="005550F0">
        <w:t xml:space="preserve">various clusters/task forces during the disaster period.  </w:t>
      </w:r>
      <w:r w:rsidR="00D03B04">
        <w:t>It also require</w:t>
      </w:r>
      <w:r w:rsidR="004D09AF">
        <w:t>s</w:t>
      </w:r>
      <w:r w:rsidR="00D03B04">
        <w:t xml:space="preserve"> </w:t>
      </w:r>
      <w:r w:rsidR="004D09AF">
        <w:t>well-c</w:t>
      </w:r>
      <w:r>
        <w:t xml:space="preserve">onsidered </w:t>
      </w:r>
      <w:r w:rsidR="004D09AF">
        <w:t xml:space="preserve">and effectively coordinated </w:t>
      </w:r>
      <w:r>
        <w:t>deployment of the full resources of national and sub-national governments, CSOs, private sector and development partners</w:t>
      </w:r>
      <w:r w:rsidR="005550F0">
        <w:t xml:space="preserve"> to the disaster zone</w:t>
      </w:r>
      <w:r>
        <w:t xml:space="preserve">. </w:t>
      </w:r>
    </w:p>
    <w:p w14:paraId="55F9D1B9" w14:textId="506D9FBC" w:rsidR="00272746" w:rsidRDefault="007D01B9" w:rsidP="007D01B9">
      <w:r>
        <w:t xml:space="preserve">BNPB has leadership of a national </w:t>
      </w:r>
      <w:r w:rsidR="00272746">
        <w:t>cluster/</w:t>
      </w:r>
      <w:r>
        <w:t>taskforce system</w:t>
      </w:r>
      <w:r w:rsidR="00381412">
        <w:t xml:space="preserve"> </w:t>
      </w:r>
      <w:r w:rsidR="00272746">
        <w:t xml:space="preserve">(referred to </w:t>
      </w:r>
      <w:r w:rsidR="007B523B">
        <w:t>henceforth</w:t>
      </w:r>
      <w:r w:rsidR="00272746">
        <w:t xml:space="preserve"> as taskforces</w:t>
      </w:r>
      <w:r w:rsidR="00D333C1">
        <w:t xml:space="preserve"> as per the National Disaster Response Framework (NDRF)</w:t>
      </w:r>
      <w:r w:rsidR="00272746">
        <w:t>)</w:t>
      </w:r>
      <w:r>
        <w:t>, which has been developed by Indonesia based on experience with the international cluster system. There are seven taskforces led by various ministries</w:t>
      </w:r>
      <w:r w:rsidR="005550F0">
        <w:t xml:space="preserve"> but during the recent disasters (Lombok and Central Sulawesi) not all of those taskforces </w:t>
      </w:r>
      <w:r w:rsidR="00D333C1">
        <w:t xml:space="preserve">functioned efficiently or effectively and </w:t>
      </w:r>
      <w:r w:rsidR="005550F0">
        <w:t xml:space="preserve">some </w:t>
      </w:r>
      <w:r w:rsidR="00D333C1">
        <w:t xml:space="preserve">were not </w:t>
      </w:r>
      <w:r w:rsidR="005550F0">
        <w:t>activated</w:t>
      </w:r>
      <w:r w:rsidR="006C24D4">
        <w:t>.</w:t>
      </w:r>
      <w:r>
        <w:t xml:space="preserve"> BNPB heads the logistics taskforce.</w:t>
      </w:r>
      <w:r w:rsidR="004D09AF">
        <w:t xml:space="preserve"> The regulatory framework for this is under development. There is also a command structure the Government has developed, based on </w:t>
      </w:r>
      <w:r w:rsidR="005349D9">
        <w:t>the Incident Command System (</w:t>
      </w:r>
      <w:r w:rsidR="004D09AF">
        <w:t>ICS</w:t>
      </w:r>
      <w:r w:rsidR="005349D9">
        <w:t>)</w:t>
      </w:r>
      <w:r w:rsidR="004D09AF">
        <w:t xml:space="preserve">. </w:t>
      </w:r>
      <w:r>
        <w:t xml:space="preserve"> </w:t>
      </w:r>
    </w:p>
    <w:p w14:paraId="0AF87C6E" w14:textId="0DD67472" w:rsidR="007D01B9" w:rsidRDefault="007D01B9" w:rsidP="007D01B9">
      <w:r>
        <w:t>The</w:t>
      </w:r>
      <w:r w:rsidR="00533BD6">
        <w:t>re is an</w:t>
      </w:r>
      <w:r>
        <w:t xml:space="preserve"> </w:t>
      </w:r>
      <w:r w:rsidR="00533BD6">
        <w:t xml:space="preserve">opportunity </w:t>
      </w:r>
      <w:r w:rsidR="00903242">
        <w:t xml:space="preserve">to strengthen </w:t>
      </w:r>
      <w:r>
        <w:t>BNPB</w:t>
      </w:r>
      <w:r w:rsidR="00533BD6">
        <w:t xml:space="preserve">’s role in </w:t>
      </w:r>
      <w:r>
        <w:t>coordinat</w:t>
      </w:r>
      <w:r w:rsidR="00533BD6">
        <w:t xml:space="preserve">ing </w:t>
      </w:r>
      <w:r>
        <w:t xml:space="preserve">the taskforces, including </w:t>
      </w:r>
      <w:r w:rsidR="00533BD6">
        <w:t xml:space="preserve">around </w:t>
      </w:r>
      <w:r w:rsidR="003D7766">
        <w:t>developing SOP</w:t>
      </w:r>
      <w:r w:rsidR="00D333C1">
        <w:t>s</w:t>
      </w:r>
      <w:r w:rsidR="003D7766">
        <w:t xml:space="preserve"> (juklak and juknis) for each of </w:t>
      </w:r>
      <w:r w:rsidR="00D333C1">
        <w:t>the taskforces and lead agencies</w:t>
      </w:r>
      <w:r w:rsidR="003D7766">
        <w:t xml:space="preserve">; </w:t>
      </w:r>
      <w:r>
        <w:t xml:space="preserve">regular </w:t>
      </w:r>
      <w:r w:rsidR="003D7766">
        <w:t xml:space="preserve">meeting and capacity building of relevant stakeholders; and </w:t>
      </w:r>
      <w:r>
        <w:t xml:space="preserve">reporting and </w:t>
      </w:r>
      <w:r w:rsidR="00533BD6">
        <w:t xml:space="preserve">maintaining </w:t>
      </w:r>
      <w:r>
        <w:t>an overall view</w:t>
      </w:r>
      <w:r w:rsidR="00272746">
        <w:t xml:space="preserve"> of the </w:t>
      </w:r>
      <w:r w:rsidR="004D09AF">
        <w:t xml:space="preserve">DRM </w:t>
      </w:r>
      <w:r w:rsidR="00272746">
        <w:t>sector</w:t>
      </w:r>
      <w:r w:rsidR="00533BD6">
        <w:t xml:space="preserve">. </w:t>
      </w:r>
      <w:r w:rsidR="00903242">
        <w:t xml:space="preserve">This is critical </w:t>
      </w:r>
      <w:r w:rsidR="004D09AF">
        <w:t xml:space="preserve">when preparing for, and </w:t>
      </w:r>
      <w:r>
        <w:t xml:space="preserve">during crisis response when national taskforces deploy and deliver important services with experienced humanitarian staff and well considered Standard Operating Procedures (SOPs). </w:t>
      </w:r>
      <w:r w:rsidR="004D09AF">
        <w:t>In addition, w</w:t>
      </w:r>
      <w:r>
        <w:t xml:space="preserve">hile there are regulations about how sub-national disaster response should be coordinated and draw on resources from multiple sources, there is still a gap between regulations and practice. </w:t>
      </w:r>
    </w:p>
    <w:p w14:paraId="10BEB36C" w14:textId="2A7AB0D8" w:rsidR="006D478E" w:rsidRDefault="007D01B9" w:rsidP="003E0D0C">
      <w:pPr>
        <w:rPr>
          <w:rFonts w:ascii="Calibri" w:eastAsia="Times New Roman" w:hAnsi="Calibri" w:cs="Calibri"/>
          <w:sz w:val="21"/>
          <w:szCs w:val="24"/>
          <w:lang w:val="en-AU"/>
        </w:rPr>
      </w:pPr>
      <w:r>
        <w:t>The Indonesia government is making significant effort towards bureaucratic reform</w:t>
      </w:r>
      <w:r w:rsidR="007B523B">
        <w:t xml:space="preserve">, including in </w:t>
      </w:r>
      <w:r>
        <w:t>BNPB. International support to BNPB has tended to focus on technical</w:t>
      </w:r>
      <w:r w:rsidR="00E926B6">
        <w:t xml:space="preserve"> and</w:t>
      </w:r>
      <w:r>
        <w:t xml:space="preserve"> </w:t>
      </w:r>
      <w:r w:rsidR="00E926B6">
        <w:t xml:space="preserve">IT </w:t>
      </w:r>
      <w:r>
        <w:t>aspects such as disaster risk information and mapping, and training and there is now a recognition within BNPB and amongst development partners of the urgency to achieve organisational reform</w:t>
      </w:r>
      <w:r w:rsidR="004D09AF">
        <w:t xml:space="preserve"> as the agency passes its tenth anniversary</w:t>
      </w:r>
      <w:r>
        <w:t xml:space="preserve">. </w:t>
      </w:r>
      <w:r w:rsidR="004D09AF">
        <w:t xml:space="preserve">New Zealand </w:t>
      </w:r>
      <w:r w:rsidR="00903242">
        <w:t xml:space="preserve">MFAT </w:t>
      </w:r>
      <w:r>
        <w:t>has assisted BNPB to devel</w:t>
      </w:r>
      <w:r w:rsidR="00F44697">
        <w:t xml:space="preserve">op a </w:t>
      </w:r>
      <w:r w:rsidR="00FC7D35">
        <w:t xml:space="preserve">national disaster </w:t>
      </w:r>
      <w:r w:rsidR="004D09AF">
        <w:t xml:space="preserve">response </w:t>
      </w:r>
      <w:r w:rsidR="00F44697">
        <w:t xml:space="preserve">framework </w:t>
      </w:r>
      <w:r w:rsidR="00FC7D35">
        <w:t>(NDRF)</w:t>
      </w:r>
      <w:r>
        <w:t>, which clarifies who sho</w:t>
      </w:r>
      <w:r w:rsidR="00F44697">
        <w:t xml:space="preserve">uld act and when. This document was formally </w:t>
      </w:r>
      <w:r w:rsidR="00FC7D35">
        <w:t xml:space="preserve">handed over to </w:t>
      </w:r>
      <w:r w:rsidR="00F44697">
        <w:t xml:space="preserve">BNPB in May 2018 after two years of gestation and consultation. </w:t>
      </w:r>
      <w:r w:rsidR="00251A23">
        <w:t>The framework</w:t>
      </w:r>
      <w:r w:rsidR="00F44697">
        <w:t xml:space="preserve"> provides BNPB an opportunity to</w:t>
      </w:r>
      <w:r w:rsidR="00251A23">
        <w:t xml:space="preserve"> promote clarity of roles with BPBDs. The </w:t>
      </w:r>
      <w:r w:rsidR="004D09AF">
        <w:t xml:space="preserve">plan is for the </w:t>
      </w:r>
      <w:r w:rsidR="00251A23">
        <w:t xml:space="preserve">framework </w:t>
      </w:r>
      <w:r w:rsidR="004D09AF">
        <w:t xml:space="preserve">to be </w:t>
      </w:r>
      <w:r w:rsidR="00F44697">
        <w:t>translate</w:t>
      </w:r>
      <w:r w:rsidR="00251A23">
        <w:t>d</w:t>
      </w:r>
      <w:r w:rsidR="00F44697">
        <w:t xml:space="preserve"> into </w:t>
      </w:r>
      <w:r w:rsidR="004D09AF">
        <w:t>a Presidential or Government regulation.</w:t>
      </w:r>
      <w:r w:rsidR="00620CDB">
        <w:t xml:space="preserve"> The drafting of these regulations may be delayed </w:t>
      </w:r>
      <w:r w:rsidR="00D333C1">
        <w:t xml:space="preserve">until </w:t>
      </w:r>
      <w:r w:rsidR="00620CDB">
        <w:t>after the general elect</w:t>
      </w:r>
      <w:r w:rsidR="00D333C1">
        <w:t>ion in April 2019</w:t>
      </w:r>
      <w:r w:rsidR="00620CDB">
        <w:t xml:space="preserve">. </w:t>
      </w:r>
    </w:p>
    <w:p w14:paraId="064734C8" w14:textId="044F5021" w:rsidR="007D01B9" w:rsidRDefault="00720D1C" w:rsidP="007D01B9">
      <w:r>
        <w:t xml:space="preserve">Organisational and professional development </w:t>
      </w:r>
      <w:r w:rsidR="007D01B9">
        <w:t>has been articulated as a priority challenge by the head of BNPB</w:t>
      </w:r>
      <w:r w:rsidR="007D01B9">
        <w:rPr>
          <w:rStyle w:val="FootnoteReference"/>
        </w:rPr>
        <w:footnoteReference w:id="14"/>
      </w:r>
      <w:r w:rsidR="007D01B9">
        <w:t xml:space="preserve">. The organisation has many committed and energetic staff, including those with substantial experience working in Aceh and other disasters. </w:t>
      </w:r>
      <w:r>
        <w:t>To maximise the impact of these staff and BNPB, there is an opportunity to improve the internal systems, including business processes, performance management, professional development, information sharing</w:t>
      </w:r>
      <w:r w:rsidR="005C2B99">
        <w:t>;</w:t>
      </w:r>
      <w:r>
        <w:t xml:space="preserve"> and gender equality. </w:t>
      </w:r>
      <w:r w:rsidR="007D01B9">
        <w:t xml:space="preserve">There are no women in senior management roles and no strategy for promoting gender equality in the workplace, despite formal commitments. The pool of dedicated junior female and male staff may, in time, achieve seniority and bring shifts to the organisational culture. This will need to be accompanied by changing practices with respect to training and promotion, and accountability. </w:t>
      </w:r>
    </w:p>
    <w:p w14:paraId="74C0869D" w14:textId="2195BB1A" w:rsidR="007D01B9" w:rsidRDefault="007D01B9" w:rsidP="007D01B9">
      <w:r>
        <w:t xml:space="preserve">The </w:t>
      </w:r>
      <w:r w:rsidR="00620CDB">
        <w:t xml:space="preserve">Disaster Management </w:t>
      </w:r>
      <w:r w:rsidR="004D09AF">
        <w:t>S</w:t>
      </w:r>
      <w:r>
        <w:t xml:space="preserve">teering </w:t>
      </w:r>
      <w:r w:rsidR="004D09AF">
        <w:t>C</w:t>
      </w:r>
      <w:r>
        <w:t xml:space="preserve">ommittee </w:t>
      </w:r>
      <w:r w:rsidR="00620CDB">
        <w:t xml:space="preserve">(chapter II, part 3, BNPB Laws) </w:t>
      </w:r>
      <w:r w:rsidR="00D333C1">
        <w:t xml:space="preserve">is </w:t>
      </w:r>
      <w:r w:rsidR="00620CDB">
        <w:t>tasked to organise the following functions: formulating the concept of policy on national disaster management; monitoring; and evaluating the implementation of disaster management. The member</w:t>
      </w:r>
      <w:r w:rsidR="00B6568C">
        <w:t>s</w:t>
      </w:r>
      <w:r w:rsidR="00620CDB">
        <w:t xml:space="preserve"> of the committee include </w:t>
      </w:r>
      <w:r w:rsidR="00B6568C">
        <w:t xml:space="preserve">10 Echelon 1 of the Government Officials (nominated by the head of the government institution) and 9 professional community members (this could be </w:t>
      </w:r>
      <w:r>
        <w:t xml:space="preserve">representation from CSOs, </w:t>
      </w:r>
      <w:r w:rsidR="00B6568C">
        <w:t xml:space="preserve">think tank or </w:t>
      </w:r>
      <w:r>
        <w:t>academics</w:t>
      </w:r>
      <w:r w:rsidR="00B6568C">
        <w:t>)</w:t>
      </w:r>
      <w:r>
        <w:t>. There may be some opportunities to assist the committee to better articulate and organise itself</w:t>
      </w:r>
      <w:r w:rsidR="00B6568C">
        <w:t xml:space="preserve"> so in turn they can provide valuable inputs and recommendations to the head of BNPB, to whom they are accountable for</w:t>
      </w:r>
      <w:r>
        <w:t xml:space="preserve">. Other pressures for reform </w:t>
      </w:r>
      <w:r w:rsidR="00A04814">
        <w:t xml:space="preserve">also come </w:t>
      </w:r>
      <w:r>
        <w:t xml:space="preserve">from other Ministries, and a recognition in some parts of BNPB leadership of the need to change. </w:t>
      </w:r>
    </w:p>
    <w:p w14:paraId="1BB9BA78" w14:textId="08379616" w:rsidR="00DC562D" w:rsidRDefault="007D01B9" w:rsidP="00DC562D">
      <w:bookmarkStart w:id="22" w:name="_Hlk517994092"/>
      <w:r>
        <w:t xml:space="preserve">There </w:t>
      </w:r>
      <w:r w:rsidR="00DA5343">
        <w:t>is</w:t>
      </w:r>
      <w:r>
        <w:t xml:space="preserve"> now an array of responders to disasters in Indonesia – most recently demonstrated in the Mt Agung</w:t>
      </w:r>
      <w:r w:rsidR="00B6568C">
        <w:t>,</w:t>
      </w:r>
      <w:r>
        <w:t xml:space="preserve"> Pidi</w:t>
      </w:r>
      <w:r w:rsidR="00DA5343">
        <w:t>e</w:t>
      </w:r>
      <w:r>
        <w:t xml:space="preserve"> Jaya</w:t>
      </w:r>
      <w:r w:rsidR="00B6568C">
        <w:t>, Lombok and Central Sulawesi</w:t>
      </w:r>
      <w:r>
        <w:t xml:space="preserve"> responses </w:t>
      </w:r>
      <w:r w:rsidR="00B6568C">
        <w:t xml:space="preserve">– </w:t>
      </w:r>
      <w:r>
        <w:t>where all levels of government, national CSOs, the Red Cross, private sector, volunteers and locally based international NGOs all deployed human and other resources</w:t>
      </w:r>
      <w:r w:rsidR="00B6568C">
        <w:t xml:space="preserve"> (including emergency response teams from international in the case of Central Sulawesi)</w:t>
      </w:r>
      <w:r>
        <w:t xml:space="preserve">. </w:t>
      </w:r>
      <w:r w:rsidR="004D09AF">
        <w:t xml:space="preserve">ASEAN’s engagement has also increased with deployment of Emergency Response Assistance Team (ERAT) members in a learning capacity. The role of the international humanitarian system, including the UN, is adapting to provision of technical and standards support and advice to government counterparts rather than on-site implementation of humanitarian response activities. </w:t>
      </w:r>
    </w:p>
    <w:p w14:paraId="18F92A73" w14:textId="38D801A1" w:rsidR="007D01B9" w:rsidRDefault="007D01B9" w:rsidP="007D01B9">
      <w:r>
        <w:t xml:space="preserve">As the lead for DRM in Indonesia, BNPB faces a major challenge </w:t>
      </w:r>
      <w:r w:rsidR="00347AF1">
        <w:t xml:space="preserve">of </w:t>
      </w:r>
      <w:r>
        <w:t>coordinating a range of government and non-government acto</w:t>
      </w:r>
      <w:r w:rsidR="00DA5343">
        <w:t>rs to work effectively together</w:t>
      </w:r>
      <w:r>
        <w:t xml:space="preserve"> and supporting sub-national governments to do this for disasters that can be managed at district or provincial level. This requires different systems, skills and </w:t>
      </w:r>
      <w:r w:rsidR="00DA5343">
        <w:t>mind-sets</w:t>
      </w:r>
      <w:r>
        <w:t xml:space="preserve"> as compared with delivering disaster response. The situation is similar with respect to building disaster resilience with many models of “Resilient Village” and CBDRM being promoted by different Ministries and NGOs. </w:t>
      </w:r>
      <w:r w:rsidR="00B165ED">
        <w:t xml:space="preserve">Another example is the using of different methods and tools to tracking logistics supplies during the emergency response period. </w:t>
      </w:r>
      <w:r>
        <w:t xml:space="preserve">There is a need to learn from the variety of approaches about what is effective and sustainable in addressing DRM and climate resilience, and </w:t>
      </w:r>
      <w:r w:rsidR="00DA5343">
        <w:t xml:space="preserve">then </w:t>
      </w:r>
      <w:r w:rsidR="00347AF1">
        <w:t xml:space="preserve">promote </w:t>
      </w:r>
      <w:r>
        <w:t xml:space="preserve">systematic application </w:t>
      </w:r>
      <w:r w:rsidR="004D09AF">
        <w:t xml:space="preserve">of flexible and locally-relevant models </w:t>
      </w:r>
      <w:r>
        <w:t xml:space="preserve">to all villages in each district. </w:t>
      </w:r>
    </w:p>
    <w:bookmarkEnd w:id="22"/>
    <w:p w14:paraId="31FD3B0A" w14:textId="7FDB39F7" w:rsidR="00A23EAB" w:rsidRDefault="00A23EAB" w:rsidP="007C7BBD">
      <w:pPr>
        <w:pStyle w:val="Heading4"/>
      </w:pPr>
      <w:r>
        <w:t>Science, technology and innovation</w:t>
      </w:r>
    </w:p>
    <w:p w14:paraId="29DE4988" w14:textId="62286E49" w:rsidR="007D01B9" w:rsidRDefault="007D01B9" w:rsidP="007D01B9">
      <w:r>
        <w:t xml:space="preserve">Indonesia has developed its own disaster risk index – the IRBI </w:t>
      </w:r>
      <w:r w:rsidR="00307352">
        <w:t xml:space="preserve">- </w:t>
      </w:r>
      <w:r>
        <w:t>with data available to district level in 2013. The index measures hazards, vulnerability and capacity for response, though the vulnerability data does not take into account specific population groups. The index is likely to be revised for the new RPJM</w:t>
      </w:r>
      <w:r w:rsidR="00BC1B51">
        <w:t>N</w:t>
      </w:r>
      <w:r w:rsidR="00FC7D35">
        <w:t xml:space="preserve"> (2020-2024)</w:t>
      </w:r>
      <w:r>
        <w:t>, which provides an opportunity to better integrate data about gender, disability, age and other vulnerabilities.</w:t>
      </w:r>
    </w:p>
    <w:p w14:paraId="4FB7B262" w14:textId="4E817FC5" w:rsidR="007D01B9" w:rsidRDefault="007D01B9" w:rsidP="007D01B9">
      <w:r>
        <w:t>Over the last five years Indonesia has developed a range of new technolog</w:t>
      </w:r>
      <w:r w:rsidR="004D09AF">
        <w:t>ies</w:t>
      </w:r>
      <w:r>
        <w:t xml:space="preserve"> for early warning, risk assessment (e</w:t>
      </w:r>
      <w:r w:rsidR="004D09AF">
        <w:t>.</w:t>
      </w:r>
      <w:r>
        <w:t>g</w:t>
      </w:r>
      <w:r w:rsidR="004D09AF">
        <w:t>.</w:t>
      </w:r>
      <w:r>
        <w:t xml:space="preserve"> InAWARE), disaster impact mapping (</w:t>
      </w:r>
      <w:r w:rsidR="004D09AF">
        <w:t xml:space="preserve">e.g. </w:t>
      </w:r>
      <w:r>
        <w:t>InaSAFE)</w:t>
      </w:r>
      <w:r w:rsidR="009154CB">
        <w:t>, tsunami early warning system (InaTEWS)</w:t>
      </w:r>
      <w:r>
        <w:t xml:space="preserve"> and disaster management decision making, including through using open source platforms (Humanitarian Open Street Map team)</w:t>
      </w:r>
      <w:r w:rsidR="00F66324">
        <w:t>.</w:t>
      </w:r>
      <w:r>
        <w:rPr>
          <w:rStyle w:val="FootnoteReference"/>
          <w:rFonts w:ascii="Calibri" w:hAnsi="Calibri" w:cs="Calibri"/>
        </w:rPr>
        <w:footnoteReference w:id="15"/>
      </w:r>
      <w:r>
        <w:t xml:space="preserve"> These tools have substantial potential but are currently limited to use in urban areas mostly in Java. There is </w:t>
      </w:r>
      <w:r w:rsidR="00BF030F">
        <w:t xml:space="preserve">a </w:t>
      </w:r>
      <w:r>
        <w:t xml:space="preserve">need to expand their use as part of </w:t>
      </w:r>
      <w:r w:rsidR="00E87519">
        <w:t>DRR</w:t>
      </w:r>
      <w:r>
        <w:t xml:space="preserve"> and planning at provincial and district levels, most obviously to better integrate DRM into planning and infrastructure decision maki</w:t>
      </w:r>
      <w:r w:rsidR="00BF030F">
        <w:t xml:space="preserve">ng. </w:t>
      </w:r>
      <w:r w:rsidR="00FC7D35">
        <w:t xml:space="preserve">Also it is important to further apply those available tools such as InaSAFE by strengthening the links with the hazard information systems and participative mapping. </w:t>
      </w:r>
      <w:r w:rsidR="00BF030F">
        <w:t>While there is p</w:t>
      </w:r>
      <w:r>
        <w:t>olicy recognition of the value of DRM for prom</w:t>
      </w:r>
      <w:r w:rsidR="00BF030F">
        <w:t>oting fair and equitable growth</w:t>
      </w:r>
      <w:r w:rsidR="00BC1B51">
        <w:t>,</w:t>
      </w:r>
      <w:r w:rsidR="00BF030F">
        <w:t xml:space="preserve"> </w:t>
      </w:r>
      <w:r>
        <w:t>translating this into practice beyond Java a</w:t>
      </w:r>
      <w:r w:rsidR="007F512A">
        <w:t xml:space="preserve">nd major cities is a challenge, including because of low levels of computer and internet </w:t>
      </w:r>
      <w:r w:rsidR="003822A1">
        <w:t>usage</w:t>
      </w:r>
      <w:r w:rsidR="007F512A">
        <w:t xml:space="preserve"> in district BPDBs.</w:t>
      </w:r>
    </w:p>
    <w:p w14:paraId="549ACD3E" w14:textId="36F8D278" w:rsidR="00A23EAB" w:rsidRDefault="00A23EAB" w:rsidP="007C7BBD">
      <w:pPr>
        <w:pStyle w:val="Heading4"/>
      </w:pPr>
      <w:r>
        <w:t>Regional Ambition</w:t>
      </w:r>
    </w:p>
    <w:p w14:paraId="1BB5B6A2" w14:textId="0371F092" w:rsidR="001B6B98" w:rsidRDefault="004D09AF" w:rsidP="007D01B9">
      <w:r>
        <w:t xml:space="preserve">Indonesia, as a disaster-prone country, has used humanitarian response along with other south-south cooperation initiatives as a means to leverage international cooperation. </w:t>
      </w:r>
      <w:r w:rsidR="007D01B9">
        <w:t>At present the</w:t>
      </w:r>
      <w:r w:rsidR="001B6B98">
        <w:t xml:space="preserve"> Ministry of Foreign Affairs (</w:t>
      </w:r>
      <w:r w:rsidR="0094476B">
        <w:t>MoFA</w:t>
      </w:r>
      <w:r w:rsidR="007D01B9">
        <w:t>) takes a responsive, ad hoc approach when requested to respond to a humanitarian crisis</w:t>
      </w:r>
      <w:r w:rsidR="00AB1409">
        <w:t>, though since 2010 a National Coordination Team for international assistance has existed, consisting of</w:t>
      </w:r>
      <w:r w:rsidR="00AB1409" w:rsidRPr="16039843">
        <w:t xml:space="preserve"> </w:t>
      </w:r>
      <w:r w:rsidR="0094476B">
        <w:t>MoFA</w:t>
      </w:r>
      <w:r w:rsidR="00AB1409">
        <w:t>, the Ministry of Finance, Bappenas and the Ministry of State Secretariat</w:t>
      </w:r>
      <w:r w:rsidR="00AB1409" w:rsidRPr="16039843">
        <w:t>.</w:t>
      </w:r>
      <w:r w:rsidR="00AB1409">
        <w:t xml:space="preserve"> A priority for the Indonesian government is to get the process right among the related ministries.</w:t>
      </w:r>
      <w:r w:rsidR="00AB1409">
        <w:rPr>
          <w:rStyle w:val="FootnoteReference"/>
        </w:rPr>
        <w:footnoteReference w:id="16"/>
      </w:r>
      <w:r w:rsidR="00AB1409" w:rsidRPr="16039843">
        <w:t xml:space="preserve"> </w:t>
      </w:r>
      <w:r w:rsidR="007D01B9">
        <w:t xml:space="preserve"> </w:t>
      </w:r>
      <w:r w:rsidR="0094476B">
        <w:t>MoFA</w:t>
      </w:r>
      <w:r w:rsidR="001B6B98">
        <w:t xml:space="preserve"> is in the process of establishing a</w:t>
      </w:r>
      <w:r w:rsidR="0011378A">
        <w:t xml:space="preserve"> single agency within the bureaucracy to coordinate and manage Indonesia’s foreign aid</w:t>
      </w:r>
      <w:r w:rsidR="006F3215">
        <w:t xml:space="preserve"> as a part of the country’s contribution to the achievements of SDGs.</w:t>
      </w:r>
      <w:r w:rsidR="001B6B98">
        <w:t xml:space="preserve">  </w:t>
      </w:r>
    </w:p>
    <w:p w14:paraId="55433A7C" w14:textId="4413C93F" w:rsidR="007D01B9" w:rsidRDefault="00D82377" w:rsidP="007D01B9">
      <w:r>
        <w:t xml:space="preserve">CSOs (such as HFI and Indonesia Humanitarian Alliance) </w:t>
      </w:r>
      <w:r w:rsidR="007D01B9">
        <w:t>and PMI raise funding from the Indonesia</w:t>
      </w:r>
      <w:r w:rsidR="00A11DD6">
        <w:t>n</w:t>
      </w:r>
      <w:r w:rsidR="007D01B9">
        <w:t xml:space="preserve"> public and deploy </w:t>
      </w:r>
      <w:r>
        <w:t xml:space="preserve">international </w:t>
      </w:r>
      <w:r w:rsidR="001B6B98">
        <w:t xml:space="preserve">humanitarian </w:t>
      </w:r>
      <w:r w:rsidR="007D01B9">
        <w:t xml:space="preserve">assistance with support of </w:t>
      </w:r>
      <w:r w:rsidR="0094476B">
        <w:t>MoFA</w:t>
      </w:r>
      <w:r>
        <w:t>,</w:t>
      </w:r>
      <w:r w:rsidR="007D01B9">
        <w:t xml:space="preserve"> for example assisting the Rohingya </w:t>
      </w:r>
      <w:r>
        <w:t xml:space="preserve">crisis </w:t>
      </w:r>
      <w:r w:rsidR="007D01B9">
        <w:t xml:space="preserve">in Bangladesh. There is interest amongst </w:t>
      </w:r>
      <w:r w:rsidR="0094476B">
        <w:t>MoFA</w:t>
      </w:r>
      <w:r>
        <w:t xml:space="preserve">, CSOs and </w:t>
      </w:r>
      <w:r w:rsidR="007D01B9">
        <w:t xml:space="preserve">PMI in developing a more coherent approach. This could form part of the development of </w:t>
      </w:r>
      <w:r w:rsidR="00813345">
        <w:t>Indonesia’s aid program</w:t>
      </w:r>
      <w:r w:rsidR="007D01B9">
        <w:t xml:space="preserve">. A humanitarian strategy and operating system would enable </w:t>
      </w:r>
      <w:r w:rsidR="0094476B">
        <w:t>MoFA</w:t>
      </w:r>
      <w:r w:rsidR="007D01B9">
        <w:t xml:space="preserve"> to coordinate with other Ministries including BNPB to analyse humanitarian situations, identify need</w:t>
      </w:r>
      <w:r w:rsidR="001B6B98">
        <w:t>s</w:t>
      </w:r>
      <w:r w:rsidR="007D01B9">
        <w:t xml:space="preserve"> and identify how Indonesia should respond. Alongside this strategic process would be a mechanism for deployment of assistance – like that currently being provided by HFI</w:t>
      </w:r>
      <w:r>
        <w:t>/IHA</w:t>
      </w:r>
      <w:r w:rsidR="007D01B9">
        <w:t xml:space="preserve">– based on international best practice including </w:t>
      </w:r>
      <w:r w:rsidR="007D01B9" w:rsidRPr="004918D3">
        <w:t>supporting localisation</w:t>
      </w:r>
      <w:r w:rsidR="007D01B9" w:rsidRPr="002F321C">
        <w:t xml:space="preserve"> </w:t>
      </w:r>
      <w:r w:rsidR="007D01B9">
        <w:t xml:space="preserve">and coordination. This could also be done alongside the work of the AHA </w:t>
      </w:r>
      <w:r>
        <w:t>C</w:t>
      </w:r>
      <w:r w:rsidR="007D01B9">
        <w:t xml:space="preserve">entre, so that Indonesia may have both a bilateral response as well as a response </w:t>
      </w:r>
      <w:r>
        <w:t>with ASEAN</w:t>
      </w:r>
      <w:r w:rsidR="007D01B9">
        <w:t xml:space="preserve">.  </w:t>
      </w:r>
    </w:p>
    <w:p w14:paraId="7D332397" w14:textId="77777777" w:rsidR="007D01B9" w:rsidRPr="002D42C2" w:rsidRDefault="007D01B9" w:rsidP="008D2909">
      <w:pPr>
        <w:pStyle w:val="Heading3"/>
      </w:pPr>
      <w:bookmarkStart w:id="23" w:name="_Toc514853174"/>
      <w:bookmarkStart w:id="24" w:name="_Toc525550764"/>
      <w:r w:rsidRPr="002D42C2">
        <w:t>Evidence-base/Lessons Learned</w:t>
      </w:r>
      <w:bookmarkEnd w:id="23"/>
      <w:bookmarkEnd w:id="24"/>
    </w:p>
    <w:p w14:paraId="0C80F89B" w14:textId="188D5CBD" w:rsidR="00A11DD6" w:rsidRPr="00A11DD6" w:rsidRDefault="00A11DD6" w:rsidP="00A11DD6">
      <w:pPr>
        <w:rPr>
          <w:i/>
        </w:rPr>
      </w:pPr>
      <w:r w:rsidRPr="00A11DD6">
        <w:rPr>
          <w:i/>
        </w:rPr>
        <w:t>Previous programs</w:t>
      </w:r>
    </w:p>
    <w:p w14:paraId="4F7A7983" w14:textId="2FDAAF40" w:rsidR="007435A7" w:rsidRDefault="007435A7" w:rsidP="007435A7">
      <w:r>
        <w:t>From 2008 to 2015, Australia partnered with the Indonesian Government in a joint initiative (The Australia-Indonesia Facility for Disaster Reduction</w:t>
      </w:r>
      <w:r w:rsidR="006F3215">
        <w:t>/AIFDR</w:t>
      </w:r>
      <w:r>
        <w:t xml:space="preserve">) </w:t>
      </w:r>
      <w:r w:rsidR="006F3215">
        <w:t>total</w:t>
      </w:r>
      <w:r w:rsidR="00D333C1">
        <w:t>led</w:t>
      </w:r>
      <w:r w:rsidR="006F3215">
        <w:t xml:space="preserve"> AUD67</w:t>
      </w:r>
      <w:r w:rsidR="0073654D">
        <w:t xml:space="preserve"> </w:t>
      </w:r>
      <w:r w:rsidR="006F3215">
        <w:t>m</w:t>
      </w:r>
      <w:r w:rsidR="0073654D">
        <w:t xml:space="preserve">illion </w:t>
      </w:r>
      <w:r w:rsidR="0082732F">
        <w:t xml:space="preserve">aimed </w:t>
      </w:r>
      <w:r w:rsidR="0073654D">
        <w:t>to</w:t>
      </w:r>
      <w:r w:rsidR="0082732F">
        <w:t xml:space="preserve"> encourage the </w:t>
      </w:r>
      <w:r>
        <w:t xml:space="preserve">use </w:t>
      </w:r>
      <w:r w:rsidR="0082732F">
        <w:t xml:space="preserve">of </w:t>
      </w:r>
      <w:r>
        <w:t>science and research to better identify areas most at risk of natural disaster. The Facility helped to reduce the impact of disasters by equipping the Indonesian Government with real-time data to inform decision making in a disaster, and included development of the InaSAFE online tool for disaster impact assessment. The Facility also provided support to Indonesia’s stand-by Rapid Response Team, by providing training, equipment and logistics. While the program has now completed, the Rapid Response Team is still in operation, and Indonesia continue to use the tools, including InaSAFE, developed with the Australian Government.</w:t>
      </w:r>
    </w:p>
    <w:p w14:paraId="2A8E9828" w14:textId="41EA1745" w:rsidR="00A11DD6" w:rsidRPr="000E22C1" w:rsidRDefault="00635D4F" w:rsidP="007435A7">
      <w:pPr>
        <w:rPr>
          <w:rFonts w:cs="Times"/>
          <w:color w:val="000000"/>
          <w:szCs w:val="20"/>
          <w:lang w:val="en-US"/>
        </w:rPr>
      </w:pPr>
      <w:r>
        <w:t xml:space="preserve">Following the closure of AIFDR, Australia’s aid contribution towards DRM </w:t>
      </w:r>
      <w:r w:rsidR="007435A7">
        <w:t xml:space="preserve">continued with the following </w:t>
      </w:r>
      <w:r w:rsidR="00A11DD6">
        <w:rPr>
          <w:szCs w:val="20"/>
        </w:rPr>
        <w:t xml:space="preserve">DRM </w:t>
      </w:r>
      <w:r w:rsidR="00A11DD6" w:rsidRPr="000E22C1">
        <w:rPr>
          <w:szCs w:val="20"/>
        </w:rPr>
        <w:t>commitments (2015 – 2018)</w:t>
      </w:r>
      <w:r w:rsidR="0073654D" w:rsidRPr="0073654D">
        <w:rPr>
          <w:szCs w:val="20"/>
        </w:rPr>
        <w:t xml:space="preserve"> </w:t>
      </w:r>
      <w:r w:rsidR="00D333C1">
        <w:rPr>
          <w:szCs w:val="20"/>
        </w:rPr>
        <w:t xml:space="preserve">totalled </w:t>
      </w:r>
      <w:r w:rsidR="0073654D">
        <w:rPr>
          <w:szCs w:val="20"/>
        </w:rPr>
        <w:t>AUD</w:t>
      </w:r>
      <w:r w:rsidR="0073654D" w:rsidRPr="000E22C1">
        <w:rPr>
          <w:szCs w:val="20"/>
        </w:rPr>
        <w:t>1</w:t>
      </w:r>
      <w:r w:rsidR="0073654D">
        <w:rPr>
          <w:szCs w:val="20"/>
        </w:rPr>
        <w:t xml:space="preserve">7 </w:t>
      </w:r>
      <w:r w:rsidR="0073654D" w:rsidRPr="000E22C1">
        <w:rPr>
          <w:szCs w:val="20"/>
        </w:rPr>
        <w:t>m</w:t>
      </w:r>
      <w:r w:rsidR="0073654D">
        <w:rPr>
          <w:szCs w:val="20"/>
        </w:rPr>
        <w:t>illion (this excludes emergency response supports to Central Sulawesi of AUD 10</w:t>
      </w:r>
      <w:r w:rsidR="00D333C1">
        <w:rPr>
          <w:szCs w:val="20"/>
        </w:rPr>
        <w:t>.</w:t>
      </w:r>
      <w:r w:rsidR="0073654D">
        <w:rPr>
          <w:szCs w:val="20"/>
        </w:rPr>
        <w:t>2</w:t>
      </w:r>
      <w:r w:rsidR="00D333C1">
        <w:rPr>
          <w:szCs w:val="20"/>
        </w:rPr>
        <w:t>5</w:t>
      </w:r>
      <w:r w:rsidR="0073654D">
        <w:rPr>
          <w:szCs w:val="20"/>
        </w:rPr>
        <w:t xml:space="preserve"> million)</w:t>
      </w:r>
      <w:r w:rsidR="00A11DD6" w:rsidRPr="000E22C1">
        <w:rPr>
          <w:rFonts w:cs="Times"/>
          <w:color w:val="000000"/>
          <w:szCs w:val="20"/>
          <w:lang w:val="en-US"/>
        </w:rPr>
        <w:t xml:space="preserve">: </w:t>
      </w:r>
    </w:p>
    <w:p w14:paraId="3B7012D8" w14:textId="01D1A769" w:rsidR="00A11DD6" w:rsidRPr="000E22C1" w:rsidRDefault="00A11DD6" w:rsidP="00A11DD6">
      <w:pPr>
        <w:pStyle w:val="ListParagraph"/>
        <w:numPr>
          <w:ilvl w:val="0"/>
          <w:numId w:val="4"/>
        </w:numPr>
        <w:rPr>
          <w:rFonts w:cs="Times"/>
          <w:color w:val="000000"/>
          <w:szCs w:val="20"/>
          <w:lang w:val="en-US"/>
        </w:rPr>
      </w:pPr>
      <w:r w:rsidRPr="000E22C1">
        <w:rPr>
          <w:rFonts w:cs="Times"/>
          <w:color w:val="000000"/>
          <w:szCs w:val="20"/>
          <w:lang w:val="en-US"/>
        </w:rPr>
        <w:t>Australian readiness, managed by the Embassy directly, to deliver appropriate and effective Australian humanitarian assistance to Indonesia. The Embassy maintain</w:t>
      </w:r>
      <w:r w:rsidR="007435A7">
        <w:rPr>
          <w:rFonts w:cs="Times"/>
          <w:color w:val="000000"/>
          <w:szCs w:val="20"/>
          <w:lang w:val="en-US"/>
        </w:rPr>
        <w:t>ed</w:t>
      </w:r>
      <w:r w:rsidRPr="000E22C1">
        <w:rPr>
          <w:rFonts w:cs="Times"/>
          <w:color w:val="000000"/>
          <w:szCs w:val="20"/>
          <w:lang w:val="en-US"/>
        </w:rPr>
        <w:t xml:space="preserve"> several response options to rapidly assist Indonesia following a humanitarian emergency. </w:t>
      </w:r>
    </w:p>
    <w:p w14:paraId="558FB9EA" w14:textId="76F0DA56" w:rsidR="00A11DD6" w:rsidRPr="000E22C1" w:rsidRDefault="00A11DD6" w:rsidP="00A11DD6">
      <w:pPr>
        <w:pStyle w:val="ListParagraph"/>
        <w:numPr>
          <w:ilvl w:val="0"/>
          <w:numId w:val="4"/>
        </w:numPr>
        <w:rPr>
          <w:rFonts w:cs="Times"/>
          <w:color w:val="000000"/>
          <w:szCs w:val="20"/>
          <w:lang w:val="en-US"/>
        </w:rPr>
      </w:pPr>
      <w:r w:rsidRPr="000E22C1">
        <w:rPr>
          <w:rFonts w:cs="Times"/>
          <w:color w:val="000000"/>
          <w:szCs w:val="20"/>
          <w:lang w:val="en-US"/>
        </w:rPr>
        <w:t xml:space="preserve">DMCreate (Disaster Management Capacity Development and Community Resilience) project, in partnership with </w:t>
      </w:r>
      <w:r>
        <w:rPr>
          <w:rFonts w:cs="Times"/>
          <w:color w:val="000000"/>
          <w:szCs w:val="20"/>
          <w:lang w:val="en-US"/>
        </w:rPr>
        <w:t xml:space="preserve">BNPB and BPBDs in NTT and South Sulawesi, </w:t>
      </w:r>
      <w:r w:rsidRPr="000E22C1">
        <w:rPr>
          <w:rFonts w:cs="Times"/>
          <w:color w:val="000000"/>
          <w:szCs w:val="20"/>
          <w:lang w:val="en-US"/>
        </w:rPr>
        <w:t>faith based organisations</w:t>
      </w:r>
      <w:r>
        <w:rPr>
          <w:rFonts w:cs="Times"/>
          <w:color w:val="000000"/>
          <w:szCs w:val="20"/>
          <w:lang w:val="en-US"/>
        </w:rPr>
        <w:t xml:space="preserve"> NU and Muhammadiyah, WFP and OCHA - support</w:t>
      </w:r>
      <w:r w:rsidR="007435A7">
        <w:rPr>
          <w:rFonts w:cs="Times"/>
          <w:color w:val="000000"/>
          <w:szCs w:val="20"/>
          <w:lang w:val="en-US"/>
        </w:rPr>
        <w:t>ed</w:t>
      </w:r>
      <w:r w:rsidRPr="000E22C1">
        <w:rPr>
          <w:rFonts w:cs="Times"/>
          <w:color w:val="000000"/>
          <w:szCs w:val="20"/>
          <w:lang w:val="en-US"/>
        </w:rPr>
        <w:t xml:space="preserve"> </w:t>
      </w:r>
      <w:r>
        <w:rPr>
          <w:rFonts w:cs="Times"/>
          <w:color w:val="000000"/>
          <w:szCs w:val="20"/>
          <w:lang w:val="en-US"/>
        </w:rPr>
        <w:t>GoI</w:t>
      </w:r>
      <w:r w:rsidRPr="000E22C1">
        <w:rPr>
          <w:rFonts w:cs="Times"/>
          <w:color w:val="000000"/>
          <w:szCs w:val="20"/>
          <w:lang w:val="en-US"/>
        </w:rPr>
        <w:t xml:space="preserve"> and community preparedness through DRM technical and institutional support and promot</w:t>
      </w:r>
      <w:r>
        <w:rPr>
          <w:rFonts w:cs="Times"/>
          <w:color w:val="000000"/>
          <w:szCs w:val="20"/>
          <w:lang w:val="en-US"/>
        </w:rPr>
        <w:t>e</w:t>
      </w:r>
      <w:r w:rsidR="007435A7">
        <w:rPr>
          <w:rFonts w:cs="Times"/>
          <w:color w:val="000000"/>
          <w:szCs w:val="20"/>
          <w:lang w:val="en-US"/>
        </w:rPr>
        <w:t>d</w:t>
      </w:r>
      <w:r w:rsidRPr="000E22C1">
        <w:rPr>
          <w:rFonts w:cs="Times"/>
          <w:color w:val="000000"/>
          <w:szCs w:val="20"/>
          <w:lang w:val="en-US"/>
        </w:rPr>
        <w:t xml:space="preserve"> an innovative approach to preparedness and partnerships. </w:t>
      </w:r>
    </w:p>
    <w:p w14:paraId="05DC30DC" w14:textId="3151C829" w:rsidR="00A11DD6" w:rsidRPr="006F0434" w:rsidRDefault="00A11DD6" w:rsidP="00A11DD6">
      <w:pPr>
        <w:pStyle w:val="ListParagraph"/>
        <w:numPr>
          <w:ilvl w:val="0"/>
          <w:numId w:val="4"/>
        </w:numPr>
        <w:rPr>
          <w:rFonts w:cs="Times"/>
          <w:color w:val="000000"/>
          <w:szCs w:val="20"/>
          <w:lang w:val="en-US"/>
        </w:rPr>
      </w:pPr>
      <w:r w:rsidRPr="000E22C1">
        <w:rPr>
          <w:rFonts w:cs="Times"/>
          <w:color w:val="000000"/>
          <w:szCs w:val="20"/>
          <w:lang w:val="en-US"/>
        </w:rPr>
        <w:t>DMInnovation (Disaster Management Innovation) project, in partnership with Geoscience Australia, NGOs, universities and private sector, support</w:t>
      </w:r>
      <w:r w:rsidR="007435A7">
        <w:rPr>
          <w:rFonts w:cs="Times"/>
          <w:color w:val="000000"/>
          <w:szCs w:val="20"/>
          <w:lang w:val="en-US"/>
        </w:rPr>
        <w:t>ed</w:t>
      </w:r>
      <w:r w:rsidRPr="000E22C1">
        <w:rPr>
          <w:rFonts w:cs="Times"/>
          <w:color w:val="000000"/>
          <w:szCs w:val="20"/>
          <w:lang w:val="en-US"/>
        </w:rPr>
        <w:t xml:space="preserve"> </w:t>
      </w:r>
      <w:r>
        <w:rPr>
          <w:rFonts w:cs="Times"/>
          <w:color w:val="000000"/>
          <w:szCs w:val="20"/>
          <w:lang w:val="en-US"/>
        </w:rPr>
        <w:t>GoI</w:t>
      </w:r>
      <w:r w:rsidRPr="000E22C1">
        <w:rPr>
          <w:rFonts w:cs="Times"/>
          <w:color w:val="000000"/>
          <w:szCs w:val="20"/>
          <w:lang w:val="en-US"/>
        </w:rPr>
        <w:t xml:space="preserve"> to be better able to make informed </w:t>
      </w:r>
      <w:r>
        <w:rPr>
          <w:rFonts w:cs="Times"/>
          <w:color w:val="000000"/>
          <w:szCs w:val="20"/>
          <w:lang w:val="en-US"/>
        </w:rPr>
        <w:t>DRM</w:t>
      </w:r>
      <w:r w:rsidRPr="000E22C1">
        <w:rPr>
          <w:rFonts w:cs="Times"/>
          <w:color w:val="000000"/>
          <w:szCs w:val="20"/>
          <w:lang w:val="en-US"/>
        </w:rPr>
        <w:t xml:space="preserve"> decisions by improving hazard information (earthquake, tsunami, flood and volcano), exposure mapping (buildings and key infrastructure) and disaster impact analysis using innovative tools and technology (e.g. InaSAFE). </w:t>
      </w:r>
    </w:p>
    <w:p w14:paraId="6B4B1C25" w14:textId="5170F8EC" w:rsidR="00A11DD6" w:rsidRDefault="00A11DD6" w:rsidP="00A11DD6">
      <w:r>
        <w:t xml:space="preserve">These continued investments, following the drawdown of the substantial AIFDR program, were made in order to complete some of the critical work under AIFDR, as well as to maintain relationships with Indonesia’s disaster management organisations – both government and non-government. </w:t>
      </w:r>
    </w:p>
    <w:p w14:paraId="6B131A44" w14:textId="3E37CD8D" w:rsidR="00F05CE4" w:rsidRPr="00F05CE4" w:rsidRDefault="00F05CE4" w:rsidP="007D01B9">
      <w:pPr>
        <w:rPr>
          <w:i/>
        </w:rPr>
      </w:pPr>
      <w:r w:rsidRPr="00F05CE4">
        <w:rPr>
          <w:i/>
        </w:rPr>
        <w:t>Lessons in DRM</w:t>
      </w:r>
    </w:p>
    <w:p w14:paraId="2DE95A28" w14:textId="6D692BAB" w:rsidR="007D01B9" w:rsidRDefault="007D01B9" w:rsidP="007D01B9">
      <w:r>
        <w:t>Australian and other donor investments in DRM in Indonesia have generated a range of insights and lessons. Recent Indonesian disaster responses</w:t>
      </w:r>
      <w:r w:rsidR="00DF4A1B">
        <w:t xml:space="preserve">, </w:t>
      </w:r>
      <w:r w:rsidR="007A44F7">
        <w:t>inc</w:t>
      </w:r>
      <w:r w:rsidR="00DF4A1B">
        <w:t>luding the one</w:t>
      </w:r>
      <w:r w:rsidR="009C0589">
        <w:t>s</w:t>
      </w:r>
      <w:r w:rsidR="00DF4A1B">
        <w:t xml:space="preserve"> in Lombok and Central Sulawesi,</w:t>
      </w:r>
      <w:r>
        <w:t xml:space="preserve"> have also benefitted from after action reviews. The lessons are presented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062555" w:rsidRPr="00062555" w14:paraId="44C68A13" w14:textId="77777777" w:rsidTr="007C7BBD">
        <w:trPr>
          <w:tblHeader/>
        </w:trPr>
        <w:tc>
          <w:tcPr>
            <w:tcW w:w="2405" w:type="dxa"/>
            <w:shd w:val="clear" w:color="auto" w:fill="B4C6E7" w:themeFill="accent1" w:themeFillTint="66"/>
          </w:tcPr>
          <w:p w14:paraId="56746243" w14:textId="17F3B3D7" w:rsidR="00062555" w:rsidRPr="00062555" w:rsidRDefault="00062555" w:rsidP="00A031E1">
            <w:pPr>
              <w:rPr>
                <w:rFonts w:cstheme="minorHAnsi"/>
                <w:b/>
                <w:sz w:val="18"/>
                <w:szCs w:val="18"/>
              </w:rPr>
            </w:pPr>
            <w:r w:rsidRPr="00062555">
              <w:rPr>
                <w:rFonts w:cstheme="minorHAnsi"/>
                <w:b/>
                <w:sz w:val="18"/>
                <w:szCs w:val="18"/>
              </w:rPr>
              <w:t>DRM Issue</w:t>
            </w:r>
          </w:p>
        </w:tc>
        <w:tc>
          <w:tcPr>
            <w:tcW w:w="6611" w:type="dxa"/>
            <w:shd w:val="clear" w:color="auto" w:fill="B4C6E7" w:themeFill="accent1" w:themeFillTint="66"/>
          </w:tcPr>
          <w:p w14:paraId="49EA8393" w14:textId="46F85835" w:rsidR="00062555" w:rsidRPr="00062555" w:rsidRDefault="00062555" w:rsidP="00A031E1">
            <w:pPr>
              <w:rPr>
                <w:rFonts w:eastAsiaTheme="minorEastAsia" w:cstheme="minorHAnsi"/>
                <w:b/>
                <w:sz w:val="18"/>
                <w:szCs w:val="18"/>
              </w:rPr>
            </w:pPr>
            <w:r w:rsidRPr="00062555">
              <w:rPr>
                <w:rFonts w:eastAsiaTheme="minorEastAsia" w:cstheme="minorHAnsi"/>
                <w:b/>
                <w:sz w:val="18"/>
                <w:szCs w:val="18"/>
              </w:rPr>
              <w:t>Lesson</w:t>
            </w:r>
          </w:p>
        </w:tc>
      </w:tr>
      <w:tr w:rsidR="00A031E1" w:rsidRPr="00F71AA1" w14:paraId="402BCEC8" w14:textId="77777777" w:rsidTr="007C7BBD">
        <w:tc>
          <w:tcPr>
            <w:tcW w:w="2405" w:type="dxa"/>
          </w:tcPr>
          <w:p w14:paraId="1B39DAE7" w14:textId="2A035C22" w:rsidR="00A031E1" w:rsidRPr="00F71AA1" w:rsidRDefault="00A031E1" w:rsidP="00A031E1">
            <w:pPr>
              <w:rPr>
                <w:rFonts w:cstheme="minorHAnsi"/>
                <w:sz w:val="18"/>
                <w:szCs w:val="18"/>
              </w:rPr>
            </w:pPr>
            <w:r w:rsidRPr="00F71AA1">
              <w:rPr>
                <w:rFonts w:cstheme="minorHAnsi"/>
                <w:sz w:val="18"/>
                <w:szCs w:val="18"/>
              </w:rPr>
              <w:t>DRM as a sector</w:t>
            </w:r>
            <w:r w:rsidR="00F71AA1" w:rsidRPr="00F71AA1">
              <w:rPr>
                <w:rFonts w:cstheme="minorHAnsi"/>
                <w:sz w:val="18"/>
                <w:szCs w:val="18"/>
              </w:rPr>
              <w:t>, or an ecosystem</w:t>
            </w:r>
          </w:p>
        </w:tc>
        <w:tc>
          <w:tcPr>
            <w:tcW w:w="6611" w:type="dxa"/>
          </w:tcPr>
          <w:p w14:paraId="158F93F5" w14:textId="1F9268E4" w:rsidR="00A031E1" w:rsidRPr="00F71AA1" w:rsidRDefault="0011378A" w:rsidP="00F05F80">
            <w:pPr>
              <w:rPr>
                <w:rFonts w:cstheme="minorHAnsi"/>
                <w:sz w:val="18"/>
                <w:szCs w:val="18"/>
              </w:rPr>
            </w:pPr>
            <w:r w:rsidRPr="00F71AA1">
              <w:rPr>
                <w:rFonts w:eastAsiaTheme="minorEastAsia" w:cstheme="minorHAnsi"/>
                <w:sz w:val="18"/>
                <w:szCs w:val="18"/>
              </w:rPr>
              <w:t>Reducing and managing disaster risks required multi-disciplinary and multi-stakeholder efforts.</w:t>
            </w:r>
            <w:r w:rsidRPr="00F71AA1">
              <w:rPr>
                <w:rStyle w:val="FootnoteReference"/>
                <w:rFonts w:eastAsiaTheme="minorEastAsia" w:cstheme="minorHAnsi"/>
                <w:sz w:val="18"/>
                <w:szCs w:val="18"/>
              </w:rPr>
              <w:footnoteReference w:id="17"/>
            </w:r>
            <w:r w:rsidRPr="00F71AA1">
              <w:rPr>
                <w:rFonts w:eastAsiaTheme="minorEastAsia" w:cstheme="minorHAnsi"/>
                <w:sz w:val="18"/>
                <w:szCs w:val="18"/>
              </w:rPr>
              <w:t xml:space="preserve"> No single agency can </w:t>
            </w:r>
            <w:r>
              <w:rPr>
                <w:rFonts w:eastAsiaTheme="minorEastAsia" w:cstheme="minorHAnsi"/>
                <w:sz w:val="18"/>
                <w:szCs w:val="18"/>
              </w:rPr>
              <w:t>address</w:t>
            </w:r>
            <w:r w:rsidRPr="00F71AA1">
              <w:rPr>
                <w:rFonts w:eastAsiaTheme="minorEastAsia" w:cstheme="minorHAnsi"/>
                <w:sz w:val="18"/>
                <w:szCs w:val="18"/>
              </w:rPr>
              <w:t xml:space="preserve"> all DRM </w:t>
            </w:r>
            <w:r>
              <w:rPr>
                <w:rFonts w:eastAsiaTheme="minorEastAsia" w:cstheme="minorHAnsi"/>
                <w:sz w:val="18"/>
                <w:szCs w:val="18"/>
              </w:rPr>
              <w:t>challenges.</w:t>
            </w:r>
            <w:r w:rsidRPr="00F71AA1">
              <w:rPr>
                <w:rFonts w:eastAsiaTheme="minorEastAsia" w:cstheme="minorHAnsi"/>
                <w:sz w:val="18"/>
                <w:szCs w:val="18"/>
              </w:rPr>
              <w:t xml:space="preserve"> Having a focused approach to solve a particular DRM </w:t>
            </w:r>
            <w:r>
              <w:rPr>
                <w:rFonts w:eastAsiaTheme="minorEastAsia" w:cstheme="minorHAnsi"/>
                <w:sz w:val="18"/>
                <w:szCs w:val="18"/>
              </w:rPr>
              <w:t>challenge</w:t>
            </w:r>
            <w:r w:rsidRPr="00F71AA1">
              <w:rPr>
                <w:rFonts w:eastAsiaTheme="minorEastAsia" w:cstheme="minorHAnsi"/>
                <w:sz w:val="18"/>
                <w:szCs w:val="18"/>
              </w:rPr>
              <w:t xml:space="preserve"> at local and/or national levels is important. However, too much focus on a particular agency </w:t>
            </w:r>
            <w:r>
              <w:rPr>
                <w:rFonts w:eastAsiaTheme="minorEastAsia" w:cstheme="minorHAnsi"/>
                <w:sz w:val="18"/>
                <w:szCs w:val="18"/>
              </w:rPr>
              <w:t>while</w:t>
            </w:r>
            <w:r w:rsidRPr="00F71AA1">
              <w:rPr>
                <w:rFonts w:eastAsiaTheme="minorEastAsia" w:cstheme="minorHAnsi"/>
                <w:sz w:val="18"/>
                <w:szCs w:val="18"/>
              </w:rPr>
              <w:t xml:space="preserve"> excluding other agencies can be counter-productive. There is a benefit to view DRM as an ecosystem because it allows a whole of government and civil society</w:t>
            </w:r>
            <w:r>
              <w:rPr>
                <w:rFonts w:eastAsiaTheme="minorEastAsia" w:cstheme="minorHAnsi"/>
                <w:sz w:val="18"/>
                <w:szCs w:val="18"/>
              </w:rPr>
              <w:t xml:space="preserve"> approach to</w:t>
            </w:r>
            <w:r w:rsidRPr="00F71AA1">
              <w:rPr>
                <w:rFonts w:eastAsiaTheme="minorEastAsia" w:cstheme="minorHAnsi"/>
                <w:sz w:val="18"/>
                <w:szCs w:val="18"/>
              </w:rPr>
              <w:t xml:space="preserve"> DRM. </w:t>
            </w:r>
            <w:r>
              <w:rPr>
                <w:rFonts w:eastAsiaTheme="minorEastAsia" w:cstheme="minorHAnsi"/>
                <w:sz w:val="18"/>
                <w:szCs w:val="18"/>
              </w:rPr>
              <w:t xml:space="preserve">Thus </w:t>
            </w:r>
            <w:r w:rsidRPr="00F71AA1">
              <w:rPr>
                <w:rFonts w:eastAsiaTheme="minorEastAsia" w:cstheme="minorHAnsi"/>
                <w:sz w:val="18"/>
                <w:szCs w:val="18"/>
              </w:rPr>
              <w:t xml:space="preserve">DRM should be seen as an ecosystem where all components are </w:t>
            </w:r>
            <w:r>
              <w:rPr>
                <w:rFonts w:eastAsiaTheme="minorEastAsia" w:cstheme="minorHAnsi"/>
                <w:sz w:val="18"/>
                <w:szCs w:val="18"/>
              </w:rPr>
              <w:t>systematically c</w:t>
            </w:r>
            <w:r w:rsidRPr="00F71AA1">
              <w:rPr>
                <w:rFonts w:eastAsiaTheme="minorEastAsia" w:cstheme="minorHAnsi"/>
                <w:sz w:val="18"/>
                <w:szCs w:val="18"/>
              </w:rPr>
              <w:t xml:space="preserve">onnected </w:t>
            </w:r>
            <w:r>
              <w:rPr>
                <w:rFonts w:eastAsiaTheme="minorEastAsia" w:cstheme="minorHAnsi"/>
                <w:sz w:val="18"/>
                <w:szCs w:val="18"/>
              </w:rPr>
              <w:t>and</w:t>
            </w:r>
            <w:r w:rsidRPr="00F71AA1">
              <w:rPr>
                <w:rFonts w:eastAsiaTheme="minorEastAsia" w:cstheme="minorHAnsi"/>
                <w:sz w:val="18"/>
                <w:szCs w:val="18"/>
              </w:rPr>
              <w:t xml:space="preserve"> where every organisation/stakeholder in that ecosystem has a role to play in reducing disaster risk by interact</w:t>
            </w:r>
            <w:r>
              <w:rPr>
                <w:rFonts w:eastAsiaTheme="minorEastAsia" w:cstheme="minorHAnsi"/>
                <w:sz w:val="18"/>
                <w:szCs w:val="18"/>
              </w:rPr>
              <w:t>ing</w:t>
            </w:r>
            <w:r w:rsidRPr="00F71AA1">
              <w:rPr>
                <w:rFonts w:eastAsiaTheme="minorEastAsia" w:cstheme="minorHAnsi"/>
                <w:sz w:val="18"/>
                <w:szCs w:val="18"/>
              </w:rPr>
              <w:t xml:space="preserve"> with one another.</w:t>
            </w:r>
            <w:r w:rsidR="00F05F80">
              <w:rPr>
                <w:rFonts w:eastAsiaTheme="minorEastAsia" w:cstheme="minorHAnsi"/>
                <w:sz w:val="18"/>
                <w:szCs w:val="18"/>
              </w:rPr>
              <w:t xml:space="preserve"> This include educating the community, as a crucial element of the ecosystem, so they will have some basic understanding or awareness on disasters risks reduction (i.e. how to react when tsunami hits their area).</w:t>
            </w:r>
          </w:p>
        </w:tc>
      </w:tr>
      <w:tr w:rsidR="00986C52" w:rsidRPr="00F71AA1" w14:paraId="04317799" w14:textId="77777777" w:rsidTr="00351A70">
        <w:tc>
          <w:tcPr>
            <w:tcW w:w="2405" w:type="dxa"/>
          </w:tcPr>
          <w:p w14:paraId="417BFF42" w14:textId="77777777" w:rsidR="00986C52" w:rsidRPr="00F71AA1" w:rsidRDefault="00986C52" w:rsidP="00351A70">
            <w:pPr>
              <w:rPr>
                <w:rFonts w:cstheme="minorHAnsi"/>
                <w:sz w:val="18"/>
                <w:szCs w:val="18"/>
              </w:rPr>
            </w:pPr>
            <w:r w:rsidRPr="00F71AA1">
              <w:rPr>
                <w:rFonts w:cstheme="minorHAnsi"/>
                <w:sz w:val="18"/>
                <w:szCs w:val="18"/>
              </w:rPr>
              <w:t xml:space="preserve">BNPB accountability </w:t>
            </w:r>
          </w:p>
        </w:tc>
        <w:tc>
          <w:tcPr>
            <w:tcW w:w="6611" w:type="dxa"/>
          </w:tcPr>
          <w:p w14:paraId="4CFC5A39" w14:textId="1AC5C4B2" w:rsidR="00986C52" w:rsidRPr="00F71AA1" w:rsidRDefault="00986C52" w:rsidP="00351A70">
            <w:pPr>
              <w:rPr>
                <w:rFonts w:cstheme="minorHAnsi"/>
                <w:sz w:val="18"/>
                <w:szCs w:val="18"/>
              </w:rPr>
            </w:pPr>
            <w:r w:rsidRPr="00F71AA1">
              <w:rPr>
                <w:rFonts w:cstheme="minorHAnsi"/>
                <w:sz w:val="18"/>
                <w:szCs w:val="18"/>
              </w:rPr>
              <w:t>Significant development efforts have been made to establish BNP</w:t>
            </w:r>
            <w:r>
              <w:rPr>
                <w:rFonts w:cstheme="minorHAnsi"/>
                <w:sz w:val="18"/>
                <w:szCs w:val="18"/>
              </w:rPr>
              <w:t>B</w:t>
            </w:r>
            <w:r w:rsidRPr="00F71AA1">
              <w:rPr>
                <w:rFonts w:cstheme="minorHAnsi"/>
                <w:sz w:val="18"/>
                <w:szCs w:val="18"/>
              </w:rPr>
              <w:t xml:space="preserve"> infrastructure and equipment, with </w:t>
            </w:r>
            <w:r>
              <w:rPr>
                <w:rFonts w:cstheme="minorHAnsi"/>
                <w:sz w:val="18"/>
                <w:szCs w:val="18"/>
              </w:rPr>
              <w:t xml:space="preserve">a </w:t>
            </w:r>
            <w:r w:rsidRPr="00F71AA1">
              <w:rPr>
                <w:rFonts w:cstheme="minorHAnsi"/>
                <w:sz w:val="18"/>
                <w:szCs w:val="18"/>
              </w:rPr>
              <w:t>new central premises, and staff of approximately 500 people. Coordination, capacity building and community preparedness have received less attention</w:t>
            </w:r>
            <w:r w:rsidRPr="00F71AA1">
              <w:rPr>
                <w:rFonts w:cstheme="minorHAnsi"/>
                <w:sz w:val="18"/>
                <w:szCs w:val="18"/>
                <w:shd w:val="clear" w:color="auto" w:fill="FFFFFF"/>
              </w:rPr>
              <w:t xml:space="preserve"> from BNPB and there is a need to foster </w:t>
            </w:r>
            <w:r w:rsidRPr="00F71AA1">
              <w:rPr>
                <w:rFonts w:cstheme="minorHAnsi"/>
                <w:sz w:val="18"/>
                <w:szCs w:val="18"/>
              </w:rPr>
              <w:t xml:space="preserve">a culture of accountability for </w:t>
            </w:r>
            <w:r>
              <w:rPr>
                <w:rFonts w:cstheme="minorHAnsi"/>
                <w:sz w:val="18"/>
                <w:szCs w:val="18"/>
              </w:rPr>
              <w:t xml:space="preserve">collective </w:t>
            </w:r>
            <w:r w:rsidRPr="00F71AA1">
              <w:rPr>
                <w:rFonts w:cstheme="minorHAnsi"/>
                <w:sz w:val="18"/>
                <w:szCs w:val="18"/>
              </w:rPr>
              <w:t>results and commitment to public service.</w:t>
            </w:r>
            <w:r w:rsidRPr="00F71AA1">
              <w:rPr>
                <w:rStyle w:val="FootnoteReference"/>
                <w:rFonts w:cstheme="minorHAnsi"/>
                <w:sz w:val="18"/>
                <w:szCs w:val="18"/>
              </w:rPr>
              <w:footnoteReference w:id="18"/>
            </w:r>
            <w:r w:rsidR="00876BD3">
              <w:rPr>
                <w:rFonts w:cstheme="minorHAnsi"/>
                <w:sz w:val="18"/>
                <w:szCs w:val="18"/>
              </w:rPr>
              <w:t xml:space="preserve"> A need for accountability is even more significant when a disaster happened.</w:t>
            </w:r>
          </w:p>
          <w:p w14:paraId="081E0EFB" w14:textId="77777777" w:rsidR="00986C52" w:rsidRPr="00F71AA1" w:rsidRDefault="00986C52" w:rsidP="00351A70">
            <w:pPr>
              <w:rPr>
                <w:rFonts w:cstheme="minorHAnsi"/>
                <w:sz w:val="18"/>
                <w:szCs w:val="18"/>
              </w:rPr>
            </w:pPr>
            <w:r w:rsidRPr="00F71AA1">
              <w:rPr>
                <w:rFonts w:cstheme="minorHAnsi"/>
                <w:sz w:val="18"/>
                <w:szCs w:val="18"/>
              </w:rPr>
              <w:t xml:space="preserve">BNPB has a crucial capacity building role with respect to BPBDs. For example, BPBDs require technical support on </w:t>
            </w:r>
            <w:r>
              <w:rPr>
                <w:rFonts w:cstheme="minorHAnsi"/>
                <w:sz w:val="18"/>
                <w:szCs w:val="18"/>
              </w:rPr>
              <w:t>DRM</w:t>
            </w:r>
            <w:r w:rsidRPr="00F71AA1">
              <w:rPr>
                <w:rFonts w:cstheme="minorHAnsi"/>
                <w:sz w:val="18"/>
                <w:szCs w:val="18"/>
              </w:rPr>
              <w:t xml:space="preserve"> planning</w:t>
            </w:r>
            <w:r>
              <w:rPr>
                <w:rFonts w:cstheme="minorHAnsi"/>
                <w:sz w:val="18"/>
                <w:szCs w:val="18"/>
              </w:rPr>
              <w:t xml:space="preserve"> and implementation</w:t>
            </w:r>
            <w:r w:rsidRPr="00F71AA1">
              <w:rPr>
                <w:rFonts w:cstheme="minorHAnsi"/>
                <w:sz w:val="18"/>
                <w:szCs w:val="18"/>
              </w:rPr>
              <w:t xml:space="preserve">, which should be aligned with the regional development plan. However, </w:t>
            </w:r>
            <w:r>
              <w:rPr>
                <w:rFonts w:cstheme="minorHAnsi"/>
                <w:sz w:val="18"/>
                <w:szCs w:val="18"/>
              </w:rPr>
              <w:t>there is no regulated relationship between BNPB and BPBDs. S</w:t>
            </w:r>
            <w:r w:rsidRPr="00F71AA1">
              <w:rPr>
                <w:rFonts w:cstheme="minorHAnsi"/>
                <w:sz w:val="18"/>
                <w:szCs w:val="18"/>
              </w:rPr>
              <w:t xml:space="preserve">upport </w:t>
            </w:r>
            <w:r>
              <w:rPr>
                <w:rFonts w:cstheme="minorHAnsi"/>
                <w:sz w:val="18"/>
                <w:szCs w:val="18"/>
              </w:rPr>
              <w:t xml:space="preserve">provided by </w:t>
            </w:r>
            <w:r w:rsidRPr="00F71AA1">
              <w:rPr>
                <w:rFonts w:cstheme="minorHAnsi"/>
                <w:sz w:val="18"/>
                <w:szCs w:val="18"/>
              </w:rPr>
              <w:t xml:space="preserve">BNPB </w:t>
            </w:r>
            <w:r>
              <w:rPr>
                <w:rFonts w:cstheme="minorHAnsi"/>
                <w:sz w:val="18"/>
                <w:szCs w:val="18"/>
              </w:rPr>
              <w:t xml:space="preserve">could be strengthened, including strengthening </w:t>
            </w:r>
            <w:r w:rsidRPr="00F71AA1">
              <w:rPr>
                <w:rFonts w:cstheme="minorHAnsi"/>
                <w:sz w:val="18"/>
                <w:szCs w:val="18"/>
              </w:rPr>
              <w:t>BNPB</w:t>
            </w:r>
            <w:r>
              <w:rPr>
                <w:rFonts w:cstheme="minorHAnsi"/>
                <w:sz w:val="18"/>
                <w:szCs w:val="18"/>
              </w:rPr>
              <w:t>’s</w:t>
            </w:r>
            <w:r w:rsidRPr="00F71AA1">
              <w:rPr>
                <w:rFonts w:cstheme="minorHAnsi"/>
                <w:sz w:val="18"/>
                <w:szCs w:val="18"/>
              </w:rPr>
              <w:t xml:space="preserve"> accountability for BPBD capacity development.</w:t>
            </w:r>
          </w:p>
        </w:tc>
      </w:tr>
      <w:tr w:rsidR="00A031E1" w:rsidRPr="00F71AA1" w14:paraId="3837B959" w14:textId="77777777" w:rsidTr="007C7BBD">
        <w:tc>
          <w:tcPr>
            <w:tcW w:w="2405" w:type="dxa"/>
          </w:tcPr>
          <w:p w14:paraId="2C8CDA39" w14:textId="229F7CA4" w:rsidR="00A031E1" w:rsidRPr="00F71AA1" w:rsidRDefault="00986C52" w:rsidP="00DF4A1B">
            <w:pPr>
              <w:rPr>
                <w:rFonts w:cstheme="minorHAnsi"/>
                <w:sz w:val="18"/>
                <w:szCs w:val="18"/>
                <w:shd w:val="clear" w:color="auto" w:fill="FFFFFF"/>
              </w:rPr>
            </w:pPr>
            <w:r>
              <w:rPr>
                <w:rFonts w:cstheme="minorHAnsi"/>
                <w:sz w:val="18"/>
                <w:szCs w:val="18"/>
              </w:rPr>
              <w:t>BPBDs</w:t>
            </w:r>
            <w:r w:rsidR="00A031E1" w:rsidRPr="00F71AA1">
              <w:rPr>
                <w:rFonts w:cstheme="minorHAnsi"/>
                <w:sz w:val="18"/>
                <w:szCs w:val="18"/>
              </w:rPr>
              <w:t xml:space="preserve"> capacity </w:t>
            </w:r>
          </w:p>
        </w:tc>
        <w:tc>
          <w:tcPr>
            <w:tcW w:w="6611" w:type="dxa"/>
          </w:tcPr>
          <w:p w14:paraId="6DE00477" w14:textId="5B7D7179" w:rsidR="0082732F" w:rsidRDefault="006E42E1" w:rsidP="0011378A">
            <w:pPr>
              <w:spacing w:before="0" w:after="120"/>
              <w:rPr>
                <w:rFonts w:cstheme="minorHAnsi"/>
                <w:sz w:val="18"/>
                <w:szCs w:val="18"/>
              </w:rPr>
            </w:pPr>
            <w:r>
              <w:rPr>
                <w:rFonts w:cstheme="minorHAnsi"/>
                <w:sz w:val="18"/>
                <w:szCs w:val="18"/>
              </w:rPr>
              <w:t>Despite the fact that Indonesia is a disaster prone country, DRM is actually a new sector/portfolio for Indonesian government. It become</w:t>
            </w:r>
            <w:r w:rsidR="00206824">
              <w:rPr>
                <w:rFonts w:cstheme="minorHAnsi"/>
                <w:sz w:val="18"/>
                <w:szCs w:val="18"/>
              </w:rPr>
              <w:t>s</w:t>
            </w:r>
            <w:r>
              <w:rPr>
                <w:rFonts w:cstheme="minorHAnsi"/>
                <w:sz w:val="18"/>
                <w:szCs w:val="18"/>
              </w:rPr>
              <w:t xml:space="preserve"> a </w:t>
            </w:r>
            <w:r w:rsidR="00206824">
              <w:rPr>
                <w:rFonts w:cstheme="minorHAnsi"/>
                <w:sz w:val="18"/>
                <w:szCs w:val="18"/>
              </w:rPr>
              <w:t>significant</w:t>
            </w:r>
            <w:r>
              <w:rPr>
                <w:rFonts w:cstheme="minorHAnsi"/>
                <w:sz w:val="18"/>
                <w:szCs w:val="18"/>
              </w:rPr>
              <w:t xml:space="preserve"> sector/portfolio since the boxing day tsunami in 2004. Before that</w:t>
            </w:r>
            <w:r w:rsidR="0082732F">
              <w:rPr>
                <w:rFonts w:cstheme="minorHAnsi"/>
                <w:sz w:val="18"/>
                <w:szCs w:val="18"/>
              </w:rPr>
              <w:t>,</w:t>
            </w:r>
            <w:r>
              <w:rPr>
                <w:rFonts w:cstheme="minorHAnsi"/>
                <w:sz w:val="18"/>
                <w:szCs w:val="18"/>
              </w:rPr>
              <w:t xml:space="preserve"> DRM is not even considered as cross cutting issue, such as gender for example. BNPB, the national </w:t>
            </w:r>
            <w:r w:rsidR="002E2348">
              <w:rPr>
                <w:rFonts w:cstheme="minorHAnsi"/>
                <w:sz w:val="18"/>
                <w:szCs w:val="18"/>
              </w:rPr>
              <w:t>ag</w:t>
            </w:r>
            <w:r w:rsidR="00462248">
              <w:rPr>
                <w:rFonts w:cstheme="minorHAnsi"/>
                <w:sz w:val="18"/>
                <w:szCs w:val="18"/>
              </w:rPr>
              <w:t>e</w:t>
            </w:r>
            <w:r w:rsidR="002E2348">
              <w:rPr>
                <w:rFonts w:cstheme="minorHAnsi"/>
                <w:sz w:val="18"/>
                <w:szCs w:val="18"/>
              </w:rPr>
              <w:t xml:space="preserve">ncy for disaster management, was established in 2008 while most of the BPBDs (at provincial and kabupaten/kota levels) were established after 2009. </w:t>
            </w:r>
          </w:p>
          <w:p w14:paraId="464638E6" w14:textId="79E82ECF" w:rsidR="0011378A" w:rsidRPr="00F71AA1" w:rsidRDefault="002E2348" w:rsidP="0011378A">
            <w:pPr>
              <w:spacing w:before="0" w:after="120"/>
              <w:rPr>
                <w:rFonts w:cstheme="minorHAnsi"/>
                <w:sz w:val="18"/>
                <w:szCs w:val="18"/>
                <w:shd w:val="clear" w:color="auto" w:fill="FFFFFF"/>
              </w:rPr>
            </w:pPr>
            <w:r>
              <w:rPr>
                <w:rFonts w:cstheme="minorHAnsi"/>
                <w:sz w:val="18"/>
                <w:szCs w:val="18"/>
              </w:rPr>
              <w:t xml:space="preserve">As other new agencies, the first generation of BNPB/BPBD staff were actually recruited without any background or experience in disaster and therefore </w:t>
            </w:r>
            <w:r w:rsidR="0011378A" w:rsidRPr="00F71AA1">
              <w:rPr>
                <w:rFonts w:cstheme="minorHAnsi"/>
                <w:sz w:val="18"/>
                <w:szCs w:val="18"/>
              </w:rPr>
              <w:t>have limited capacities</w:t>
            </w:r>
            <w:r w:rsidR="0082732F">
              <w:rPr>
                <w:rFonts w:cstheme="minorHAnsi"/>
                <w:sz w:val="18"/>
                <w:szCs w:val="18"/>
              </w:rPr>
              <w:t xml:space="preserve"> and understanding</w:t>
            </w:r>
            <w:r w:rsidR="0011378A" w:rsidRPr="00F71AA1">
              <w:rPr>
                <w:rFonts w:cstheme="minorHAnsi"/>
                <w:sz w:val="18"/>
                <w:szCs w:val="18"/>
              </w:rPr>
              <w:t xml:space="preserve"> </w:t>
            </w:r>
            <w:r w:rsidR="0082732F">
              <w:rPr>
                <w:rFonts w:cstheme="minorHAnsi"/>
                <w:sz w:val="18"/>
                <w:szCs w:val="18"/>
              </w:rPr>
              <w:t>on</w:t>
            </w:r>
            <w:r w:rsidR="0082732F" w:rsidRPr="00F71AA1">
              <w:rPr>
                <w:rFonts w:cstheme="minorHAnsi"/>
                <w:sz w:val="18"/>
                <w:szCs w:val="18"/>
              </w:rPr>
              <w:t xml:space="preserve"> </w:t>
            </w:r>
            <w:r w:rsidR="0011378A" w:rsidRPr="00F71AA1">
              <w:rPr>
                <w:rFonts w:cstheme="minorHAnsi"/>
                <w:sz w:val="18"/>
                <w:szCs w:val="18"/>
              </w:rPr>
              <w:t>disaster management</w:t>
            </w:r>
            <w:r w:rsidR="00462248">
              <w:rPr>
                <w:rFonts w:cstheme="minorHAnsi"/>
                <w:sz w:val="18"/>
                <w:szCs w:val="18"/>
              </w:rPr>
              <w:t>. Those</w:t>
            </w:r>
            <w:r w:rsidR="0011378A" w:rsidRPr="00F71AA1">
              <w:rPr>
                <w:rFonts w:cstheme="minorHAnsi"/>
                <w:sz w:val="18"/>
                <w:szCs w:val="18"/>
              </w:rPr>
              <w:t xml:space="preserve"> staff are not sufficiently trained in disaster </w:t>
            </w:r>
            <w:r w:rsidR="0011378A">
              <w:rPr>
                <w:rFonts w:cstheme="minorHAnsi"/>
                <w:sz w:val="18"/>
                <w:szCs w:val="18"/>
              </w:rPr>
              <w:t xml:space="preserve">preparedness and </w:t>
            </w:r>
            <w:r w:rsidR="0011378A" w:rsidRPr="00F71AA1">
              <w:rPr>
                <w:rFonts w:cstheme="minorHAnsi"/>
                <w:sz w:val="18"/>
                <w:szCs w:val="18"/>
              </w:rPr>
              <w:t>response or familiar with the relevant regulations.</w:t>
            </w:r>
            <w:r w:rsidR="0011378A">
              <w:rPr>
                <w:rFonts w:cstheme="minorHAnsi"/>
                <w:sz w:val="18"/>
                <w:szCs w:val="18"/>
                <w:shd w:val="clear" w:color="auto" w:fill="FFFFFF"/>
              </w:rPr>
              <w:t xml:space="preserve"> </w:t>
            </w:r>
            <w:r w:rsidR="0011378A" w:rsidRPr="00F71AA1">
              <w:rPr>
                <w:rFonts w:cstheme="minorHAnsi"/>
                <w:sz w:val="18"/>
                <w:szCs w:val="18"/>
                <w:shd w:val="clear" w:color="auto" w:fill="FFFFFF"/>
              </w:rPr>
              <w:t>When a disaster is declared at provincial</w:t>
            </w:r>
            <w:r w:rsidR="00462248">
              <w:rPr>
                <w:rFonts w:cstheme="minorHAnsi"/>
                <w:sz w:val="18"/>
                <w:szCs w:val="18"/>
                <w:shd w:val="clear" w:color="auto" w:fill="FFFFFF"/>
              </w:rPr>
              <w:t xml:space="preserve"> or kabupaten/kota</w:t>
            </w:r>
            <w:r w:rsidR="0011378A" w:rsidRPr="00F71AA1">
              <w:rPr>
                <w:rFonts w:cstheme="minorHAnsi"/>
                <w:sz w:val="18"/>
                <w:szCs w:val="18"/>
                <w:shd w:val="clear" w:color="auto" w:fill="FFFFFF"/>
              </w:rPr>
              <w:t xml:space="preserve"> level, both district and provincial level have responded without</w:t>
            </w:r>
            <w:r w:rsidR="0011378A">
              <w:rPr>
                <w:rFonts w:cstheme="minorHAnsi"/>
                <w:sz w:val="18"/>
                <w:szCs w:val="18"/>
                <w:shd w:val="clear" w:color="auto" w:fill="FFFFFF"/>
              </w:rPr>
              <w:t xml:space="preserve"> adequate</w:t>
            </w:r>
            <w:r w:rsidR="0011378A" w:rsidRPr="00F71AA1">
              <w:rPr>
                <w:rFonts w:cstheme="minorHAnsi"/>
                <w:sz w:val="18"/>
                <w:szCs w:val="18"/>
                <w:shd w:val="clear" w:color="auto" w:fill="FFFFFF"/>
              </w:rPr>
              <w:t xml:space="preserve"> </w:t>
            </w:r>
            <w:r w:rsidR="00462248">
              <w:rPr>
                <w:rFonts w:cstheme="minorHAnsi"/>
                <w:sz w:val="18"/>
                <w:szCs w:val="18"/>
                <w:shd w:val="clear" w:color="auto" w:fill="FFFFFF"/>
              </w:rPr>
              <w:t>capacity</w:t>
            </w:r>
            <w:r w:rsidR="0011378A" w:rsidRPr="00F71AA1">
              <w:rPr>
                <w:rFonts w:cstheme="minorHAnsi"/>
                <w:sz w:val="18"/>
                <w:szCs w:val="18"/>
                <w:shd w:val="clear" w:color="auto" w:fill="FFFFFF"/>
              </w:rPr>
              <w:t xml:space="preserve">. </w:t>
            </w:r>
            <w:r w:rsidR="0011378A" w:rsidRPr="00F71AA1">
              <w:rPr>
                <w:rFonts w:cstheme="minorHAnsi"/>
                <w:sz w:val="18"/>
                <w:szCs w:val="18"/>
              </w:rPr>
              <w:t xml:space="preserve">This results in poor use of resources, duplication </w:t>
            </w:r>
            <w:r w:rsidR="0011378A">
              <w:rPr>
                <w:rFonts w:cstheme="minorHAnsi"/>
                <w:sz w:val="18"/>
                <w:szCs w:val="18"/>
              </w:rPr>
              <w:t xml:space="preserve">of effort and instruction </w:t>
            </w:r>
            <w:r w:rsidR="0011378A" w:rsidRPr="00F71AA1">
              <w:rPr>
                <w:rFonts w:cstheme="minorHAnsi"/>
                <w:sz w:val="18"/>
                <w:szCs w:val="18"/>
              </w:rPr>
              <w:t xml:space="preserve">and </w:t>
            </w:r>
            <w:r w:rsidR="0011378A">
              <w:rPr>
                <w:rFonts w:cstheme="minorHAnsi"/>
                <w:sz w:val="18"/>
                <w:szCs w:val="18"/>
              </w:rPr>
              <w:t xml:space="preserve">consequent </w:t>
            </w:r>
            <w:r w:rsidR="0011378A" w:rsidRPr="00F71AA1">
              <w:rPr>
                <w:rFonts w:cstheme="minorHAnsi"/>
                <w:sz w:val="18"/>
                <w:szCs w:val="18"/>
              </w:rPr>
              <w:t>confusion during a response.</w:t>
            </w:r>
          </w:p>
          <w:p w14:paraId="329C7B6C" w14:textId="572BEE50" w:rsidR="00A031E1" w:rsidRPr="00F71AA1" w:rsidRDefault="00A031E1" w:rsidP="00F872EF">
            <w:pPr>
              <w:rPr>
                <w:rFonts w:cstheme="minorHAnsi"/>
                <w:sz w:val="18"/>
                <w:szCs w:val="18"/>
              </w:rPr>
            </w:pPr>
          </w:p>
        </w:tc>
      </w:tr>
      <w:tr w:rsidR="00A031E1" w:rsidRPr="00F71AA1" w14:paraId="362BD2F0" w14:textId="77777777" w:rsidTr="007C7BBD">
        <w:tc>
          <w:tcPr>
            <w:tcW w:w="2405" w:type="dxa"/>
          </w:tcPr>
          <w:p w14:paraId="611334BA" w14:textId="4B624808" w:rsidR="00A031E1" w:rsidRPr="00F71AA1" w:rsidRDefault="007B1767" w:rsidP="007B1767">
            <w:pPr>
              <w:rPr>
                <w:rFonts w:cstheme="minorHAnsi"/>
                <w:sz w:val="18"/>
                <w:szCs w:val="18"/>
              </w:rPr>
            </w:pPr>
            <w:r>
              <w:rPr>
                <w:rFonts w:cstheme="minorHAnsi"/>
                <w:sz w:val="18"/>
                <w:szCs w:val="18"/>
                <w:shd w:val="clear" w:color="auto" w:fill="FFFFFF"/>
              </w:rPr>
              <w:t xml:space="preserve">Role of </w:t>
            </w:r>
            <w:r w:rsidR="00A031E1" w:rsidRPr="00F71AA1">
              <w:rPr>
                <w:rFonts w:cstheme="minorHAnsi"/>
                <w:sz w:val="18"/>
                <w:szCs w:val="18"/>
                <w:shd w:val="clear" w:color="auto" w:fill="FFFFFF"/>
              </w:rPr>
              <w:t xml:space="preserve">Operations Centre </w:t>
            </w:r>
            <w:r>
              <w:rPr>
                <w:rFonts w:cstheme="minorHAnsi"/>
                <w:sz w:val="18"/>
                <w:szCs w:val="18"/>
                <w:shd w:val="clear" w:color="auto" w:fill="FFFFFF"/>
              </w:rPr>
              <w:t xml:space="preserve">Control for Disaster Response </w:t>
            </w:r>
            <w:r w:rsidR="00A031E1" w:rsidRPr="00F71AA1">
              <w:rPr>
                <w:rFonts w:cstheme="minorHAnsi"/>
                <w:sz w:val="18"/>
                <w:szCs w:val="18"/>
                <w:shd w:val="clear" w:color="auto" w:fill="FFFFFF"/>
              </w:rPr>
              <w:t>(Pusdalops</w:t>
            </w:r>
            <w:r>
              <w:rPr>
                <w:rFonts w:cstheme="minorHAnsi"/>
                <w:sz w:val="18"/>
                <w:szCs w:val="18"/>
                <w:shd w:val="clear" w:color="auto" w:fill="FFFFFF"/>
              </w:rPr>
              <w:t xml:space="preserve"> - PB</w:t>
            </w:r>
            <w:r w:rsidR="00B90269">
              <w:rPr>
                <w:rFonts w:cstheme="minorHAnsi"/>
                <w:sz w:val="18"/>
                <w:szCs w:val="18"/>
                <w:shd w:val="clear" w:color="auto" w:fill="FFFFFF"/>
              </w:rPr>
              <w:t>)</w:t>
            </w:r>
          </w:p>
        </w:tc>
        <w:tc>
          <w:tcPr>
            <w:tcW w:w="6611" w:type="dxa"/>
          </w:tcPr>
          <w:p w14:paraId="513B56C2" w14:textId="1382E67E" w:rsidR="00986C52" w:rsidRDefault="00B90269" w:rsidP="007B1767">
            <w:pPr>
              <w:rPr>
                <w:rFonts w:cstheme="minorHAnsi"/>
                <w:sz w:val="18"/>
                <w:szCs w:val="18"/>
                <w:lang w:eastAsia="zh-CN"/>
              </w:rPr>
            </w:pPr>
            <w:r>
              <w:rPr>
                <w:rFonts w:cstheme="minorHAnsi"/>
                <w:sz w:val="18"/>
                <w:szCs w:val="18"/>
                <w:lang w:eastAsia="zh-CN"/>
              </w:rPr>
              <w:t>Pusdalops</w:t>
            </w:r>
            <w:r w:rsidR="007B1767">
              <w:rPr>
                <w:rFonts w:cstheme="minorHAnsi"/>
                <w:sz w:val="18"/>
                <w:szCs w:val="18"/>
                <w:lang w:eastAsia="zh-CN"/>
              </w:rPr>
              <w:t xml:space="preserve"> -</w:t>
            </w:r>
            <w:r w:rsidR="0011378A" w:rsidRPr="00F71AA1">
              <w:rPr>
                <w:rFonts w:cstheme="minorHAnsi"/>
                <w:sz w:val="18"/>
                <w:szCs w:val="18"/>
                <w:lang w:eastAsia="zh-CN"/>
              </w:rPr>
              <w:t xml:space="preserve"> </w:t>
            </w:r>
            <w:r w:rsidR="007B1767">
              <w:rPr>
                <w:rFonts w:cstheme="minorHAnsi"/>
                <w:sz w:val="18"/>
                <w:szCs w:val="18"/>
                <w:lang w:eastAsia="zh-CN"/>
              </w:rPr>
              <w:t xml:space="preserve">PB is an element of BNPB/BPBD with a main role to lead the information and communication system in disaster response.  This includes </w:t>
            </w:r>
            <w:r w:rsidR="007B1767" w:rsidRPr="00F71AA1">
              <w:rPr>
                <w:rFonts w:cstheme="minorHAnsi"/>
                <w:sz w:val="18"/>
                <w:szCs w:val="18"/>
                <w:lang w:eastAsia="zh-CN"/>
              </w:rPr>
              <w:t xml:space="preserve">providing information on early warning, emerging risks, resource mobilisation and emergency response planning at provincial </w:t>
            </w:r>
            <w:r w:rsidR="007B1767">
              <w:rPr>
                <w:rFonts w:cstheme="minorHAnsi"/>
                <w:sz w:val="18"/>
                <w:szCs w:val="18"/>
                <w:lang w:eastAsia="zh-CN"/>
              </w:rPr>
              <w:t>and kabup</w:t>
            </w:r>
            <w:r w:rsidR="00412E88">
              <w:rPr>
                <w:rFonts w:cstheme="minorHAnsi"/>
                <w:sz w:val="18"/>
                <w:szCs w:val="18"/>
                <w:lang w:eastAsia="zh-CN"/>
              </w:rPr>
              <w:t>a</w:t>
            </w:r>
            <w:r w:rsidR="007B1767">
              <w:rPr>
                <w:rFonts w:cstheme="minorHAnsi"/>
                <w:sz w:val="18"/>
                <w:szCs w:val="18"/>
                <w:lang w:eastAsia="zh-CN"/>
              </w:rPr>
              <w:t xml:space="preserve">ten/kota </w:t>
            </w:r>
            <w:r w:rsidR="007B1767" w:rsidRPr="00F71AA1">
              <w:rPr>
                <w:rFonts w:cstheme="minorHAnsi"/>
                <w:sz w:val="18"/>
                <w:szCs w:val="18"/>
                <w:lang w:eastAsia="zh-CN"/>
              </w:rPr>
              <w:t xml:space="preserve">level. </w:t>
            </w:r>
            <w:r w:rsidR="007B1767">
              <w:rPr>
                <w:rFonts w:cstheme="minorHAnsi"/>
                <w:sz w:val="18"/>
                <w:szCs w:val="18"/>
                <w:lang w:eastAsia="zh-CN"/>
              </w:rPr>
              <w:t xml:space="preserve"> Pusdalops – PB </w:t>
            </w:r>
            <w:r w:rsidR="0011378A" w:rsidRPr="00F71AA1">
              <w:rPr>
                <w:rFonts w:cstheme="minorHAnsi"/>
                <w:sz w:val="18"/>
                <w:szCs w:val="18"/>
                <w:lang w:eastAsia="zh-CN"/>
              </w:rPr>
              <w:t>are the ‘backbone’ of disaster response</w:t>
            </w:r>
            <w:r w:rsidR="003D3358">
              <w:rPr>
                <w:rFonts w:cstheme="minorHAnsi"/>
                <w:sz w:val="18"/>
                <w:szCs w:val="18"/>
                <w:lang w:eastAsia="zh-CN"/>
              </w:rPr>
              <w:t xml:space="preserve"> </w:t>
            </w:r>
            <w:r w:rsidR="007B1767">
              <w:rPr>
                <w:rFonts w:cstheme="minorHAnsi"/>
                <w:sz w:val="18"/>
                <w:szCs w:val="18"/>
                <w:lang w:eastAsia="zh-CN"/>
              </w:rPr>
              <w:t xml:space="preserve">and </w:t>
            </w:r>
            <w:r w:rsidR="0011378A" w:rsidRPr="00F71AA1">
              <w:rPr>
                <w:rFonts w:cstheme="minorHAnsi"/>
                <w:sz w:val="18"/>
                <w:szCs w:val="18"/>
                <w:lang w:eastAsia="zh-CN"/>
              </w:rPr>
              <w:t xml:space="preserve">have a pivotal role with reliable communication links to national and district level authorities. </w:t>
            </w:r>
          </w:p>
          <w:p w14:paraId="38DA9FA8" w14:textId="1CEFBA87" w:rsidR="00A031E1" w:rsidRPr="00F71AA1" w:rsidRDefault="0011378A" w:rsidP="007B1767">
            <w:pPr>
              <w:rPr>
                <w:rFonts w:cstheme="minorHAnsi"/>
                <w:b/>
                <w:sz w:val="18"/>
                <w:szCs w:val="18"/>
                <w:shd w:val="clear" w:color="auto" w:fill="FFFFFF"/>
              </w:rPr>
            </w:pPr>
            <w:r w:rsidRPr="00F71AA1">
              <w:rPr>
                <w:rFonts w:eastAsiaTheme="minorEastAsia" w:cstheme="minorHAnsi"/>
                <w:sz w:val="18"/>
                <w:szCs w:val="18"/>
                <w:lang w:eastAsia="zh-CN"/>
              </w:rPr>
              <w:t xml:space="preserve">BNPB, with support from donors including </w:t>
            </w:r>
            <w:r w:rsidRPr="00F71AA1">
              <w:rPr>
                <w:rFonts w:cstheme="minorHAnsi"/>
                <w:sz w:val="18"/>
                <w:szCs w:val="18"/>
              </w:rPr>
              <w:t xml:space="preserve">Australia, developed </w:t>
            </w:r>
            <w:r w:rsidR="00B90269">
              <w:rPr>
                <w:rFonts w:cstheme="minorHAnsi"/>
                <w:sz w:val="18"/>
                <w:szCs w:val="18"/>
                <w:lang w:eastAsia="zh-CN"/>
              </w:rPr>
              <w:t xml:space="preserve">Pusdalops </w:t>
            </w:r>
            <w:r w:rsidRPr="00F71AA1">
              <w:rPr>
                <w:rFonts w:cstheme="minorHAnsi"/>
                <w:sz w:val="18"/>
                <w:szCs w:val="18"/>
              </w:rPr>
              <w:t>in several provinces</w:t>
            </w:r>
            <w:r w:rsidR="007B1767">
              <w:rPr>
                <w:rFonts w:cstheme="minorHAnsi"/>
                <w:sz w:val="18"/>
                <w:szCs w:val="18"/>
              </w:rPr>
              <w:t xml:space="preserve"> and districts</w:t>
            </w:r>
            <w:r w:rsidRPr="00F71AA1">
              <w:rPr>
                <w:rFonts w:cstheme="minorHAnsi"/>
                <w:sz w:val="18"/>
                <w:szCs w:val="18"/>
              </w:rPr>
              <w:t>. BNPB’s Data and Information Centre, with Australian assistance</w:t>
            </w:r>
            <w:r w:rsidR="007B1767">
              <w:rPr>
                <w:rFonts w:cstheme="minorHAnsi"/>
                <w:sz w:val="18"/>
                <w:szCs w:val="18"/>
              </w:rPr>
              <w:t>,</w:t>
            </w:r>
            <w:r w:rsidRPr="00F71AA1">
              <w:rPr>
                <w:rFonts w:cstheme="minorHAnsi"/>
                <w:sz w:val="18"/>
                <w:szCs w:val="18"/>
              </w:rPr>
              <w:t xml:space="preserve"> </w:t>
            </w:r>
            <w:r w:rsidR="007B1767" w:rsidRPr="00F71AA1">
              <w:rPr>
                <w:rFonts w:cstheme="minorHAnsi"/>
                <w:sz w:val="18"/>
                <w:szCs w:val="18"/>
              </w:rPr>
              <w:t xml:space="preserve">has developed ICT systems </w:t>
            </w:r>
            <w:r w:rsidRPr="00F71AA1">
              <w:rPr>
                <w:rFonts w:cstheme="minorHAnsi"/>
                <w:sz w:val="18"/>
                <w:szCs w:val="18"/>
              </w:rPr>
              <w:t xml:space="preserve">that can support all </w:t>
            </w:r>
            <w:r w:rsidR="00B90269">
              <w:rPr>
                <w:rFonts w:cstheme="minorHAnsi"/>
                <w:sz w:val="18"/>
                <w:szCs w:val="18"/>
                <w:lang w:eastAsia="zh-CN"/>
              </w:rPr>
              <w:t>Pusdalops</w:t>
            </w:r>
            <w:r w:rsidRPr="00F71AA1">
              <w:rPr>
                <w:rFonts w:cstheme="minorHAnsi"/>
                <w:sz w:val="18"/>
                <w:szCs w:val="18"/>
              </w:rPr>
              <w:t>. Guidelines and SOPs, as well as</w:t>
            </w:r>
            <w:r>
              <w:rPr>
                <w:rFonts w:cstheme="minorHAnsi"/>
                <w:sz w:val="18"/>
                <w:szCs w:val="18"/>
              </w:rPr>
              <w:t xml:space="preserve"> development of curricula and</w:t>
            </w:r>
            <w:r w:rsidRPr="00F71AA1">
              <w:rPr>
                <w:rFonts w:cstheme="minorHAnsi"/>
                <w:sz w:val="18"/>
                <w:szCs w:val="18"/>
              </w:rPr>
              <w:t xml:space="preserve"> training</w:t>
            </w:r>
            <w:r>
              <w:rPr>
                <w:rFonts w:cstheme="minorHAnsi"/>
                <w:sz w:val="18"/>
                <w:szCs w:val="18"/>
              </w:rPr>
              <w:t xml:space="preserve"> programmes for further development</w:t>
            </w:r>
            <w:r w:rsidRPr="00F71AA1">
              <w:rPr>
                <w:rFonts w:cstheme="minorHAnsi"/>
                <w:sz w:val="18"/>
                <w:szCs w:val="18"/>
              </w:rPr>
              <w:t xml:space="preserve"> of </w:t>
            </w:r>
            <w:r w:rsidR="00B90269">
              <w:rPr>
                <w:rFonts w:cstheme="minorHAnsi"/>
                <w:sz w:val="18"/>
                <w:szCs w:val="18"/>
                <w:lang w:eastAsia="zh-CN"/>
              </w:rPr>
              <w:t xml:space="preserve">Pusdalops </w:t>
            </w:r>
            <w:r w:rsidRPr="00F71AA1">
              <w:rPr>
                <w:rFonts w:cstheme="minorHAnsi"/>
                <w:sz w:val="18"/>
                <w:szCs w:val="18"/>
              </w:rPr>
              <w:t>personnel</w:t>
            </w:r>
            <w:r w:rsidR="00FC60AE">
              <w:rPr>
                <w:rFonts w:cstheme="minorHAnsi"/>
                <w:sz w:val="18"/>
                <w:szCs w:val="18"/>
              </w:rPr>
              <w:t>,</w:t>
            </w:r>
            <w:r w:rsidRPr="00F71AA1">
              <w:rPr>
                <w:rFonts w:cstheme="minorHAnsi"/>
                <w:sz w:val="18"/>
                <w:szCs w:val="18"/>
              </w:rPr>
              <w:t xml:space="preserve"> need to be enhanced and/or maintained to enable </w:t>
            </w:r>
            <w:r w:rsidR="00B90269">
              <w:rPr>
                <w:rFonts w:cstheme="minorHAnsi"/>
                <w:sz w:val="18"/>
                <w:szCs w:val="18"/>
                <w:lang w:eastAsia="zh-CN"/>
              </w:rPr>
              <w:t xml:space="preserve">Pusdalops </w:t>
            </w:r>
            <w:r w:rsidRPr="00F71AA1">
              <w:rPr>
                <w:rFonts w:cstheme="minorHAnsi"/>
                <w:sz w:val="18"/>
                <w:szCs w:val="18"/>
              </w:rPr>
              <w:t>to fulfil their crucial role.</w:t>
            </w:r>
            <w:r w:rsidRPr="00F71AA1">
              <w:rPr>
                <w:rFonts w:cstheme="minorHAnsi"/>
                <w:sz w:val="18"/>
                <w:szCs w:val="18"/>
                <w:vertAlign w:val="superscript"/>
              </w:rPr>
              <w:footnoteReference w:id="19"/>
            </w:r>
          </w:p>
        </w:tc>
      </w:tr>
      <w:tr w:rsidR="00986C52" w:rsidRPr="00F71AA1" w14:paraId="0C093EB8" w14:textId="77777777" w:rsidTr="00351A70">
        <w:tc>
          <w:tcPr>
            <w:tcW w:w="2405" w:type="dxa"/>
          </w:tcPr>
          <w:p w14:paraId="5868CEBC" w14:textId="2C235278" w:rsidR="00986C52" w:rsidRPr="00F71AA1" w:rsidRDefault="00986C52" w:rsidP="00351A70">
            <w:pPr>
              <w:rPr>
                <w:rFonts w:cstheme="minorHAnsi"/>
                <w:sz w:val="18"/>
                <w:szCs w:val="18"/>
                <w:shd w:val="clear" w:color="auto" w:fill="FFFFFF"/>
              </w:rPr>
            </w:pPr>
            <w:r>
              <w:rPr>
                <w:rFonts w:cstheme="minorHAnsi"/>
                <w:sz w:val="18"/>
                <w:szCs w:val="18"/>
                <w:shd w:val="clear" w:color="auto" w:fill="FFFFFF"/>
              </w:rPr>
              <w:t>Coordination</w:t>
            </w:r>
          </w:p>
        </w:tc>
        <w:tc>
          <w:tcPr>
            <w:tcW w:w="6611" w:type="dxa"/>
          </w:tcPr>
          <w:p w14:paraId="47CFDAC9" w14:textId="03BA56BB" w:rsidR="00986C52" w:rsidRDefault="00986C52" w:rsidP="003D3358">
            <w:pPr>
              <w:rPr>
                <w:rFonts w:cstheme="minorHAnsi"/>
                <w:sz w:val="18"/>
                <w:szCs w:val="18"/>
                <w:lang w:eastAsia="zh-CN"/>
              </w:rPr>
            </w:pPr>
            <w:r>
              <w:rPr>
                <w:rFonts w:cstheme="minorHAnsi"/>
                <w:sz w:val="18"/>
                <w:szCs w:val="18"/>
                <w:lang w:eastAsia="zh-CN"/>
              </w:rPr>
              <w:t xml:space="preserve">Disaster is a multi-disciplinary event and therefore it needs </w:t>
            </w:r>
            <w:r w:rsidR="003D3358">
              <w:rPr>
                <w:rFonts w:cstheme="minorHAnsi"/>
                <w:sz w:val="18"/>
                <w:szCs w:val="18"/>
                <w:lang w:eastAsia="zh-CN"/>
              </w:rPr>
              <w:t xml:space="preserve">many </w:t>
            </w:r>
            <w:r>
              <w:rPr>
                <w:rFonts w:cstheme="minorHAnsi"/>
                <w:sz w:val="18"/>
                <w:szCs w:val="18"/>
                <w:lang w:eastAsia="zh-CN"/>
              </w:rPr>
              <w:t xml:space="preserve">stakeholders </w:t>
            </w:r>
            <w:r w:rsidR="003D3358">
              <w:rPr>
                <w:rFonts w:cstheme="minorHAnsi"/>
                <w:sz w:val="18"/>
                <w:szCs w:val="18"/>
                <w:lang w:eastAsia="zh-CN"/>
              </w:rPr>
              <w:t xml:space="preserve">to </w:t>
            </w:r>
            <w:r>
              <w:rPr>
                <w:rFonts w:cstheme="minorHAnsi"/>
                <w:sz w:val="18"/>
                <w:szCs w:val="18"/>
                <w:lang w:eastAsia="zh-CN"/>
              </w:rPr>
              <w:t xml:space="preserve">respond. In dealing with </w:t>
            </w:r>
            <w:r w:rsidR="003D3358">
              <w:rPr>
                <w:rFonts w:cstheme="minorHAnsi"/>
                <w:sz w:val="18"/>
                <w:szCs w:val="18"/>
                <w:lang w:eastAsia="zh-CN"/>
              </w:rPr>
              <w:t xml:space="preserve">these </w:t>
            </w:r>
            <w:r>
              <w:rPr>
                <w:rFonts w:cstheme="minorHAnsi"/>
                <w:sz w:val="18"/>
                <w:szCs w:val="18"/>
                <w:lang w:eastAsia="zh-CN"/>
              </w:rPr>
              <w:t xml:space="preserve">stakeholders, coordination becomes a necessity. </w:t>
            </w:r>
            <w:r w:rsidRPr="00F71AA1">
              <w:rPr>
                <w:rFonts w:cstheme="minorHAnsi"/>
                <w:sz w:val="18"/>
                <w:szCs w:val="18"/>
                <w:shd w:val="clear" w:color="auto" w:fill="FFFFFF"/>
              </w:rPr>
              <w:t xml:space="preserve">The division of functions and tasks between </w:t>
            </w:r>
            <w:r>
              <w:rPr>
                <w:rFonts w:cstheme="minorHAnsi"/>
                <w:sz w:val="18"/>
                <w:szCs w:val="18"/>
                <w:shd w:val="clear" w:color="auto" w:fill="FFFFFF"/>
              </w:rPr>
              <w:t xml:space="preserve">national, </w:t>
            </w:r>
            <w:r w:rsidRPr="00F71AA1">
              <w:rPr>
                <w:rFonts w:cstheme="minorHAnsi"/>
                <w:sz w:val="18"/>
                <w:szCs w:val="18"/>
                <w:shd w:val="clear" w:color="auto" w:fill="FFFFFF"/>
              </w:rPr>
              <w:t xml:space="preserve">provincial and district </w:t>
            </w:r>
            <w:r>
              <w:rPr>
                <w:rFonts w:cstheme="minorHAnsi"/>
                <w:sz w:val="18"/>
                <w:szCs w:val="18"/>
                <w:shd w:val="clear" w:color="auto" w:fill="FFFFFF"/>
              </w:rPr>
              <w:t>agencies</w:t>
            </w:r>
            <w:r w:rsidRPr="00F71AA1">
              <w:rPr>
                <w:rFonts w:cstheme="minorHAnsi"/>
                <w:sz w:val="18"/>
                <w:szCs w:val="18"/>
                <w:shd w:val="clear" w:color="auto" w:fill="FFFFFF"/>
              </w:rPr>
              <w:t xml:space="preserve"> </w:t>
            </w:r>
            <w:r>
              <w:rPr>
                <w:rFonts w:cstheme="minorHAnsi"/>
                <w:sz w:val="18"/>
                <w:szCs w:val="18"/>
                <w:shd w:val="clear" w:color="auto" w:fill="FFFFFF"/>
              </w:rPr>
              <w:t xml:space="preserve">needs to be </w:t>
            </w:r>
            <w:r w:rsidRPr="00F71AA1">
              <w:rPr>
                <w:rFonts w:cstheme="minorHAnsi"/>
                <w:sz w:val="18"/>
                <w:szCs w:val="18"/>
                <w:shd w:val="clear" w:color="auto" w:fill="FFFFFF"/>
              </w:rPr>
              <w:t>regulated clearly</w:t>
            </w:r>
            <w:r>
              <w:rPr>
                <w:rFonts w:cstheme="minorHAnsi"/>
                <w:sz w:val="18"/>
                <w:szCs w:val="18"/>
                <w:shd w:val="clear" w:color="auto" w:fill="FFFFFF"/>
              </w:rPr>
              <w:t xml:space="preserve">. Lack of clarity and coordination have resulted in multiple command posts at national, provincial and district level being created during disasters and support not being coordinated through a single response mechanism. </w:t>
            </w:r>
            <w:r w:rsidRPr="00F71AA1">
              <w:rPr>
                <w:rFonts w:cstheme="minorHAnsi"/>
                <w:sz w:val="18"/>
                <w:szCs w:val="18"/>
              </w:rPr>
              <w:t>The</w:t>
            </w:r>
            <w:r>
              <w:rPr>
                <w:rFonts w:cstheme="minorHAnsi"/>
                <w:sz w:val="18"/>
                <w:szCs w:val="18"/>
              </w:rPr>
              <w:t>re needs to be more clarity on the</w:t>
            </w:r>
            <w:r w:rsidRPr="00F71AA1">
              <w:rPr>
                <w:rFonts w:cstheme="minorHAnsi"/>
                <w:sz w:val="18"/>
                <w:szCs w:val="18"/>
              </w:rPr>
              <w:t xml:space="preserve"> role of the Provincial BPBD in coordinating resources</w:t>
            </w:r>
            <w:r>
              <w:rPr>
                <w:rFonts w:cstheme="minorHAnsi"/>
                <w:sz w:val="18"/>
                <w:szCs w:val="18"/>
              </w:rPr>
              <w:t xml:space="preserve"> in the event that a disaster is declared at provincial level</w:t>
            </w:r>
            <w:r w:rsidR="00FC60AE">
              <w:rPr>
                <w:rFonts w:cstheme="minorHAnsi"/>
                <w:sz w:val="18"/>
                <w:szCs w:val="18"/>
              </w:rPr>
              <w:t>, and so forth</w:t>
            </w:r>
            <w:r>
              <w:rPr>
                <w:rFonts w:cstheme="minorHAnsi"/>
                <w:sz w:val="18"/>
                <w:szCs w:val="18"/>
              </w:rPr>
              <w:t>. Knowledge</w:t>
            </w:r>
            <w:r w:rsidR="00FC60AE">
              <w:rPr>
                <w:rFonts w:cstheme="minorHAnsi"/>
                <w:sz w:val="18"/>
                <w:szCs w:val="18"/>
              </w:rPr>
              <w:t>/</w:t>
            </w:r>
            <w:r>
              <w:rPr>
                <w:rFonts w:cstheme="minorHAnsi"/>
                <w:sz w:val="18"/>
                <w:szCs w:val="18"/>
              </w:rPr>
              <w:t xml:space="preserve"> information sharing and collaboration amongst stakeholders are </w:t>
            </w:r>
            <w:r w:rsidR="00FC60AE">
              <w:rPr>
                <w:rFonts w:cstheme="minorHAnsi"/>
                <w:sz w:val="18"/>
                <w:szCs w:val="18"/>
              </w:rPr>
              <w:t>crucially</w:t>
            </w:r>
            <w:r>
              <w:rPr>
                <w:rFonts w:cstheme="minorHAnsi"/>
                <w:sz w:val="18"/>
                <w:szCs w:val="18"/>
              </w:rPr>
              <w:t xml:space="preserve"> important in order to avoid duplication and to leverage impact</w:t>
            </w:r>
            <w:r w:rsidR="00FC60AE">
              <w:rPr>
                <w:rFonts w:cstheme="minorHAnsi"/>
                <w:sz w:val="18"/>
                <w:szCs w:val="18"/>
              </w:rPr>
              <w:t xml:space="preserve"> of the response</w:t>
            </w:r>
            <w:r>
              <w:rPr>
                <w:rFonts w:cstheme="minorHAnsi"/>
                <w:sz w:val="18"/>
                <w:szCs w:val="18"/>
              </w:rPr>
              <w:t>.</w:t>
            </w:r>
          </w:p>
        </w:tc>
      </w:tr>
      <w:tr w:rsidR="00A031E1" w:rsidRPr="00F71AA1" w14:paraId="5233D657" w14:textId="77777777" w:rsidTr="007C7BBD">
        <w:tc>
          <w:tcPr>
            <w:tcW w:w="2405" w:type="dxa"/>
          </w:tcPr>
          <w:p w14:paraId="390D3C23" w14:textId="77777777" w:rsidR="00A031E1" w:rsidRPr="00F71AA1" w:rsidRDefault="00A031E1" w:rsidP="00A031E1">
            <w:pPr>
              <w:rPr>
                <w:rFonts w:eastAsia="PMingLiU" w:cstheme="minorHAnsi"/>
                <w:sz w:val="18"/>
                <w:szCs w:val="18"/>
              </w:rPr>
            </w:pPr>
            <w:r w:rsidRPr="00F71AA1">
              <w:rPr>
                <w:rFonts w:cstheme="minorHAnsi"/>
                <w:sz w:val="18"/>
                <w:szCs w:val="18"/>
                <w:shd w:val="clear" w:color="auto" w:fill="FFFFFF"/>
              </w:rPr>
              <w:t>Planning and Budgeting</w:t>
            </w:r>
          </w:p>
          <w:p w14:paraId="4BC8CD37" w14:textId="77777777" w:rsidR="00A031E1" w:rsidRPr="00F71AA1" w:rsidRDefault="00A031E1" w:rsidP="00A031E1">
            <w:pPr>
              <w:rPr>
                <w:rFonts w:cstheme="minorHAnsi"/>
                <w:sz w:val="18"/>
                <w:szCs w:val="18"/>
              </w:rPr>
            </w:pPr>
          </w:p>
        </w:tc>
        <w:tc>
          <w:tcPr>
            <w:tcW w:w="6611" w:type="dxa"/>
          </w:tcPr>
          <w:p w14:paraId="71758581" w14:textId="3464B58E" w:rsidR="00A031E1" w:rsidRPr="00F71AA1" w:rsidRDefault="00A031E1" w:rsidP="00A031E1">
            <w:pPr>
              <w:rPr>
                <w:rStyle w:val="hps"/>
                <w:rFonts w:cstheme="minorHAnsi"/>
                <w:sz w:val="18"/>
                <w:szCs w:val="18"/>
              </w:rPr>
            </w:pPr>
            <w:r w:rsidRPr="00F71AA1">
              <w:rPr>
                <w:rFonts w:cstheme="minorHAnsi"/>
                <w:sz w:val="18"/>
                <w:szCs w:val="18"/>
              </w:rPr>
              <w:t xml:space="preserve">The National Government has shown its commitment to </w:t>
            </w:r>
            <w:r w:rsidR="00E87519">
              <w:rPr>
                <w:rFonts w:cstheme="minorHAnsi"/>
                <w:sz w:val="18"/>
                <w:szCs w:val="18"/>
              </w:rPr>
              <w:t>DRM</w:t>
            </w:r>
            <w:r w:rsidRPr="00F71AA1">
              <w:rPr>
                <w:rFonts w:cstheme="minorHAnsi"/>
                <w:sz w:val="18"/>
                <w:szCs w:val="18"/>
              </w:rPr>
              <w:t xml:space="preserve"> through budget allocations. </w:t>
            </w:r>
            <w:r w:rsidRPr="00F71AA1">
              <w:rPr>
                <w:rStyle w:val="hps"/>
                <w:rFonts w:cstheme="minorHAnsi"/>
                <w:sz w:val="18"/>
                <w:szCs w:val="18"/>
              </w:rPr>
              <w:t xml:space="preserve">Government funding for </w:t>
            </w:r>
            <w:r w:rsidR="00E87519">
              <w:rPr>
                <w:rStyle w:val="hps"/>
                <w:rFonts w:cstheme="minorHAnsi"/>
                <w:sz w:val="18"/>
                <w:szCs w:val="18"/>
              </w:rPr>
              <w:t>DRM</w:t>
            </w:r>
            <w:r w:rsidRPr="00F71AA1">
              <w:rPr>
                <w:rStyle w:val="hps"/>
                <w:rFonts w:cstheme="minorHAnsi"/>
                <w:sz w:val="18"/>
                <w:szCs w:val="18"/>
              </w:rPr>
              <w:t xml:space="preserve"> allocated through BNPB </w:t>
            </w:r>
            <w:r w:rsidRPr="00F71AA1">
              <w:rPr>
                <w:rFonts w:cstheme="minorHAnsi"/>
                <w:sz w:val="18"/>
                <w:szCs w:val="18"/>
              </w:rPr>
              <w:t xml:space="preserve">increased on average by 124 per cent per year between </w:t>
            </w:r>
            <w:r w:rsidRPr="00F71AA1">
              <w:rPr>
                <w:rStyle w:val="hps"/>
                <w:rFonts w:cstheme="minorHAnsi"/>
                <w:sz w:val="18"/>
                <w:szCs w:val="18"/>
              </w:rPr>
              <w:t>2007</w:t>
            </w:r>
            <w:r w:rsidR="00E45402">
              <w:rPr>
                <w:rStyle w:val="hps"/>
                <w:rFonts w:cstheme="minorHAnsi"/>
                <w:sz w:val="18"/>
                <w:szCs w:val="18"/>
              </w:rPr>
              <w:t xml:space="preserve"> to </w:t>
            </w:r>
            <w:r w:rsidRPr="00F71AA1">
              <w:rPr>
                <w:rStyle w:val="hps"/>
                <w:rFonts w:cstheme="minorHAnsi"/>
                <w:sz w:val="18"/>
                <w:szCs w:val="18"/>
              </w:rPr>
              <w:t>2012, from</w:t>
            </w:r>
            <w:r w:rsidRPr="00F71AA1">
              <w:rPr>
                <w:rFonts w:cstheme="minorHAnsi"/>
                <w:sz w:val="18"/>
                <w:szCs w:val="18"/>
              </w:rPr>
              <w:t xml:space="preserve"> </w:t>
            </w:r>
            <w:r w:rsidRPr="00F71AA1">
              <w:rPr>
                <w:rStyle w:val="hps"/>
                <w:rFonts w:cstheme="minorHAnsi"/>
                <w:sz w:val="18"/>
                <w:szCs w:val="18"/>
              </w:rPr>
              <w:t>IDR 91.1 billion in</w:t>
            </w:r>
            <w:r w:rsidRPr="00F71AA1">
              <w:rPr>
                <w:rFonts w:cstheme="minorHAnsi"/>
                <w:sz w:val="18"/>
                <w:szCs w:val="18"/>
              </w:rPr>
              <w:t xml:space="preserve"> </w:t>
            </w:r>
            <w:r w:rsidRPr="00F71AA1">
              <w:rPr>
                <w:rStyle w:val="hps"/>
                <w:rFonts w:cstheme="minorHAnsi"/>
                <w:sz w:val="18"/>
                <w:szCs w:val="18"/>
              </w:rPr>
              <w:t>2008 to</w:t>
            </w:r>
            <w:r w:rsidRPr="00F71AA1">
              <w:rPr>
                <w:rFonts w:cstheme="minorHAnsi"/>
                <w:sz w:val="18"/>
                <w:szCs w:val="18"/>
              </w:rPr>
              <w:t xml:space="preserve"> </w:t>
            </w:r>
            <w:r w:rsidRPr="00F71AA1">
              <w:rPr>
                <w:rStyle w:val="hps"/>
                <w:rFonts w:cstheme="minorHAnsi"/>
                <w:sz w:val="18"/>
                <w:szCs w:val="18"/>
              </w:rPr>
              <w:t>IDR 1.1</w:t>
            </w:r>
            <w:r w:rsidRPr="00F71AA1">
              <w:rPr>
                <w:rFonts w:cstheme="minorHAnsi"/>
                <w:sz w:val="18"/>
                <w:szCs w:val="18"/>
              </w:rPr>
              <w:t xml:space="preserve"> </w:t>
            </w:r>
            <w:r w:rsidRPr="00F71AA1">
              <w:rPr>
                <w:rStyle w:val="hps"/>
                <w:rFonts w:cstheme="minorHAnsi"/>
                <w:sz w:val="18"/>
                <w:szCs w:val="18"/>
              </w:rPr>
              <w:t>trillion</w:t>
            </w:r>
            <w:r w:rsidRPr="00F71AA1">
              <w:rPr>
                <w:rStyle w:val="FootnoteReference"/>
                <w:rFonts w:cstheme="minorHAnsi"/>
                <w:b/>
                <w:sz w:val="18"/>
                <w:szCs w:val="18"/>
                <w:shd w:val="clear" w:color="auto" w:fill="FFFFFF"/>
              </w:rPr>
              <w:footnoteReference w:id="20"/>
            </w:r>
            <w:r w:rsidRPr="00F71AA1">
              <w:rPr>
                <w:rFonts w:cstheme="minorHAnsi"/>
                <w:sz w:val="18"/>
                <w:szCs w:val="18"/>
              </w:rPr>
              <w:t xml:space="preserve">. The </w:t>
            </w:r>
            <w:r w:rsidRPr="00F71AA1">
              <w:rPr>
                <w:rStyle w:val="hps"/>
                <w:rFonts w:cstheme="minorHAnsi"/>
                <w:sz w:val="18"/>
                <w:szCs w:val="18"/>
              </w:rPr>
              <w:t>portion of</w:t>
            </w:r>
            <w:r w:rsidRPr="00F71AA1">
              <w:rPr>
                <w:rFonts w:cstheme="minorHAnsi"/>
                <w:sz w:val="18"/>
                <w:szCs w:val="18"/>
              </w:rPr>
              <w:t xml:space="preserve"> </w:t>
            </w:r>
            <w:r w:rsidRPr="00F71AA1">
              <w:rPr>
                <w:rStyle w:val="hps"/>
                <w:rFonts w:cstheme="minorHAnsi"/>
                <w:sz w:val="18"/>
                <w:szCs w:val="18"/>
              </w:rPr>
              <w:t>BNPB budget</w:t>
            </w:r>
            <w:r w:rsidRPr="00F71AA1">
              <w:rPr>
                <w:rFonts w:cstheme="minorHAnsi"/>
                <w:sz w:val="18"/>
                <w:szCs w:val="18"/>
              </w:rPr>
              <w:t xml:space="preserve"> compared </w:t>
            </w:r>
            <w:r w:rsidRPr="00F71AA1">
              <w:rPr>
                <w:rStyle w:val="hps"/>
                <w:rFonts w:cstheme="minorHAnsi"/>
                <w:sz w:val="18"/>
                <w:szCs w:val="18"/>
              </w:rPr>
              <w:t>to the total of Ministries/Agencies allocation increased</w:t>
            </w:r>
            <w:r w:rsidRPr="00F71AA1">
              <w:rPr>
                <w:rFonts w:cstheme="minorHAnsi"/>
                <w:sz w:val="18"/>
                <w:szCs w:val="18"/>
              </w:rPr>
              <w:t xml:space="preserve"> </w:t>
            </w:r>
            <w:r w:rsidRPr="00F71AA1">
              <w:rPr>
                <w:rStyle w:val="hps"/>
                <w:rFonts w:cstheme="minorHAnsi"/>
                <w:sz w:val="18"/>
                <w:szCs w:val="18"/>
              </w:rPr>
              <w:t>from 0.02</w:t>
            </w:r>
            <w:r w:rsidRPr="00F71AA1">
              <w:rPr>
                <w:rFonts w:cstheme="minorHAnsi"/>
                <w:sz w:val="18"/>
                <w:szCs w:val="18"/>
              </w:rPr>
              <w:t xml:space="preserve">% </w:t>
            </w:r>
            <w:r w:rsidRPr="00F71AA1">
              <w:rPr>
                <w:rStyle w:val="hps"/>
                <w:rFonts w:cstheme="minorHAnsi"/>
                <w:sz w:val="18"/>
                <w:szCs w:val="18"/>
              </w:rPr>
              <w:t>in</w:t>
            </w:r>
            <w:r w:rsidRPr="00F71AA1">
              <w:rPr>
                <w:rFonts w:cstheme="minorHAnsi"/>
                <w:sz w:val="18"/>
                <w:szCs w:val="18"/>
              </w:rPr>
              <w:t xml:space="preserve"> </w:t>
            </w:r>
            <w:r w:rsidRPr="00F71AA1">
              <w:rPr>
                <w:rStyle w:val="hps"/>
                <w:rFonts w:cstheme="minorHAnsi"/>
                <w:sz w:val="18"/>
                <w:szCs w:val="18"/>
              </w:rPr>
              <w:t>2008 to</w:t>
            </w:r>
            <w:r w:rsidRPr="00F71AA1">
              <w:rPr>
                <w:rFonts w:cstheme="minorHAnsi"/>
                <w:sz w:val="18"/>
                <w:szCs w:val="18"/>
              </w:rPr>
              <w:t xml:space="preserve"> </w:t>
            </w:r>
            <w:r w:rsidRPr="00F71AA1">
              <w:rPr>
                <w:rStyle w:val="hps"/>
                <w:rFonts w:cstheme="minorHAnsi"/>
                <w:sz w:val="18"/>
                <w:szCs w:val="18"/>
              </w:rPr>
              <w:t>0.2%</w:t>
            </w:r>
            <w:r w:rsidRPr="00F71AA1">
              <w:rPr>
                <w:rFonts w:cstheme="minorHAnsi"/>
                <w:sz w:val="18"/>
                <w:szCs w:val="18"/>
              </w:rPr>
              <w:t xml:space="preserve"> </w:t>
            </w:r>
            <w:r w:rsidRPr="00F71AA1">
              <w:rPr>
                <w:rStyle w:val="hps"/>
                <w:rFonts w:cstheme="minorHAnsi"/>
                <w:sz w:val="18"/>
                <w:szCs w:val="18"/>
              </w:rPr>
              <w:t>in 2012.</w:t>
            </w:r>
          </w:p>
          <w:p w14:paraId="35D68C22" w14:textId="33D39773" w:rsidR="00AC376A" w:rsidRDefault="00A031E1" w:rsidP="00DD4474">
            <w:pPr>
              <w:rPr>
                <w:rStyle w:val="hps"/>
                <w:rFonts w:cstheme="minorHAnsi"/>
                <w:sz w:val="18"/>
                <w:szCs w:val="18"/>
              </w:rPr>
            </w:pPr>
            <w:r w:rsidRPr="00F71AA1">
              <w:rPr>
                <w:rFonts w:cstheme="minorHAnsi"/>
                <w:sz w:val="18"/>
                <w:szCs w:val="18"/>
              </w:rPr>
              <w:t xml:space="preserve">Funding at district and provincial levels is hindered by local fiscal capacity and </w:t>
            </w:r>
            <w:r w:rsidR="00E45402">
              <w:rPr>
                <w:rFonts w:cstheme="minorHAnsi"/>
                <w:sz w:val="18"/>
                <w:szCs w:val="18"/>
              </w:rPr>
              <w:t xml:space="preserve">lack of </w:t>
            </w:r>
            <w:r w:rsidRPr="00F71AA1">
              <w:rPr>
                <w:rFonts w:cstheme="minorHAnsi"/>
                <w:sz w:val="18"/>
                <w:szCs w:val="18"/>
              </w:rPr>
              <w:t xml:space="preserve">technical inputs into planning and budgeting processes. </w:t>
            </w:r>
            <w:r w:rsidRPr="00F71AA1">
              <w:rPr>
                <w:rStyle w:val="hps"/>
                <w:rFonts w:cstheme="minorHAnsi"/>
                <w:sz w:val="18"/>
                <w:szCs w:val="18"/>
              </w:rPr>
              <w:t xml:space="preserve">Regional budgets are required to allocate </w:t>
            </w:r>
            <w:r w:rsidRPr="00F71AA1">
              <w:rPr>
                <w:rFonts w:cstheme="minorHAnsi"/>
                <w:sz w:val="18"/>
                <w:szCs w:val="18"/>
              </w:rPr>
              <w:t>20</w:t>
            </w:r>
            <w:r w:rsidRPr="00F71AA1">
              <w:rPr>
                <w:rStyle w:val="hps"/>
                <w:rFonts w:cstheme="minorHAnsi"/>
                <w:sz w:val="18"/>
                <w:szCs w:val="18"/>
              </w:rPr>
              <w:t>%</w:t>
            </w:r>
            <w:r w:rsidRPr="00F71AA1">
              <w:rPr>
                <w:rFonts w:cstheme="minorHAnsi"/>
                <w:sz w:val="18"/>
                <w:szCs w:val="18"/>
              </w:rPr>
              <w:t xml:space="preserve"> for </w:t>
            </w:r>
            <w:r w:rsidRPr="00F71AA1">
              <w:rPr>
                <w:rStyle w:val="hps"/>
                <w:rFonts w:cstheme="minorHAnsi"/>
                <w:sz w:val="18"/>
                <w:szCs w:val="18"/>
              </w:rPr>
              <w:t>education and</w:t>
            </w:r>
            <w:r w:rsidRPr="00F71AA1">
              <w:rPr>
                <w:rFonts w:cstheme="minorHAnsi"/>
                <w:sz w:val="18"/>
                <w:szCs w:val="18"/>
              </w:rPr>
              <w:t xml:space="preserve"> 10% for </w:t>
            </w:r>
            <w:r w:rsidRPr="00F71AA1">
              <w:rPr>
                <w:rStyle w:val="hps"/>
                <w:rFonts w:cstheme="minorHAnsi"/>
                <w:sz w:val="18"/>
                <w:szCs w:val="18"/>
              </w:rPr>
              <w:t>health</w:t>
            </w:r>
            <w:r w:rsidRPr="00F71AA1">
              <w:rPr>
                <w:rFonts w:cstheme="minorHAnsi"/>
                <w:sz w:val="18"/>
                <w:szCs w:val="18"/>
              </w:rPr>
              <w:t xml:space="preserve">. </w:t>
            </w:r>
            <w:r w:rsidRPr="00F71AA1">
              <w:rPr>
                <w:rStyle w:val="hps"/>
                <w:rFonts w:cstheme="minorHAnsi"/>
                <w:sz w:val="18"/>
                <w:szCs w:val="18"/>
              </w:rPr>
              <w:t>The remaining</w:t>
            </w:r>
            <w:r w:rsidRPr="00F71AA1">
              <w:rPr>
                <w:rFonts w:cstheme="minorHAnsi"/>
                <w:sz w:val="18"/>
                <w:szCs w:val="18"/>
              </w:rPr>
              <w:t xml:space="preserve"> </w:t>
            </w:r>
            <w:r w:rsidRPr="00F71AA1">
              <w:rPr>
                <w:rStyle w:val="hps"/>
                <w:rFonts w:cstheme="minorHAnsi"/>
                <w:sz w:val="18"/>
                <w:szCs w:val="18"/>
              </w:rPr>
              <w:t>budget</w:t>
            </w:r>
            <w:r w:rsidRPr="00F71AA1">
              <w:rPr>
                <w:rFonts w:cstheme="minorHAnsi"/>
                <w:sz w:val="18"/>
                <w:szCs w:val="18"/>
              </w:rPr>
              <w:t xml:space="preserve"> </w:t>
            </w:r>
            <w:r w:rsidRPr="00F71AA1">
              <w:rPr>
                <w:rStyle w:val="hps"/>
                <w:rFonts w:cstheme="minorHAnsi"/>
                <w:sz w:val="18"/>
                <w:szCs w:val="18"/>
              </w:rPr>
              <w:t>is used to</w:t>
            </w:r>
            <w:r w:rsidRPr="00F71AA1">
              <w:rPr>
                <w:rFonts w:cstheme="minorHAnsi"/>
                <w:sz w:val="18"/>
                <w:szCs w:val="18"/>
              </w:rPr>
              <w:t xml:space="preserve"> </w:t>
            </w:r>
            <w:r w:rsidRPr="00F71AA1">
              <w:rPr>
                <w:rStyle w:val="hps"/>
                <w:rFonts w:cstheme="minorHAnsi"/>
                <w:sz w:val="18"/>
                <w:szCs w:val="18"/>
              </w:rPr>
              <w:t>fund all</w:t>
            </w:r>
            <w:r w:rsidRPr="00F71AA1">
              <w:rPr>
                <w:rFonts w:cstheme="minorHAnsi"/>
                <w:sz w:val="18"/>
                <w:szCs w:val="18"/>
              </w:rPr>
              <w:t xml:space="preserve"> </w:t>
            </w:r>
            <w:r w:rsidRPr="00F71AA1">
              <w:rPr>
                <w:rStyle w:val="hps"/>
                <w:rFonts w:cstheme="minorHAnsi"/>
                <w:sz w:val="18"/>
                <w:szCs w:val="18"/>
              </w:rPr>
              <w:t>sectors including</w:t>
            </w:r>
            <w:r w:rsidRPr="00F71AA1">
              <w:rPr>
                <w:rFonts w:cstheme="minorHAnsi"/>
                <w:sz w:val="18"/>
                <w:szCs w:val="18"/>
              </w:rPr>
              <w:t xml:space="preserve"> </w:t>
            </w:r>
            <w:r w:rsidR="00E87519">
              <w:rPr>
                <w:rStyle w:val="hps"/>
                <w:rFonts w:cstheme="minorHAnsi"/>
                <w:sz w:val="18"/>
                <w:szCs w:val="18"/>
              </w:rPr>
              <w:t>DRM</w:t>
            </w:r>
            <w:r w:rsidRPr="00F71AA1">
              <w:rPr>
                <w:rStyle w:val="hps"/>
                <w:rFonts w:cstheme="minorHAnsi"/>
                <w:sz w:val="18"/>
                <w:szCs w:val="18"/>
              </w:rPr>
              <w:t>, with allocations estimated to be less than 0.04%</w:t>
            </w:r>
            <w:r w:rsidR="00E45402">
              <w:rPr>
                <w:rStyle w:val="hps"/>
                <w:rFonts w:cstheme="minorHAnsi"/>
                <w:sz w:val="18"/>
                <w:szCs w:val="18"/>
              </w:rPr>
              <w:t xml:space="preserve"> for DRM.</w:t>
            </w:r>
            <w:r w:rsidRPr="00F71AA1">
              <w:rPr>
                <w:rStyle w:val="hps"/>
                <w:rFonts w:cstheme="minorHAnsi"/>
                <w:sz w:val="18"/>
                <w:szCs w:val="18"/>
              </w:rPr>
              <w:t xml:space="preserve"> </w:t>
            </w:r>
          </w:p>
          <w:p w14:paraId="7AEEBF24" w14:textId="15C8078E" w:rsidR="00DD4474" w:rsidRDefault="00DD4474" w:rsidP="00DD4474">
            <w:pPr>
              <w:rPr>
                <w:rFonts w:cstheme="minorHAnsi"/>
                <w:sz w:val="18"/>
                <w:szCs w:val="18"/>
                <w:shd w:val="clear" w:color="auto" w:fill="FFFFFF"/>
              </w:rPr>
            </w:pPr>
            <w:r w:rsidRPr="00F71AA1">
              <w:rPr>
                <w:rStyle w:val="hps"/>
                <w:rFonts w:cstheme="minorHAnsi"/>
                <w:sz w:val="18"/>
                <w:szCs w:val="18"/>
              </w:rPr>
              <w:t>A sizeable portion of sub-national budgets is allocated to administration and salaries.</w:t>
            </w:r>
            <w:r>
              <w:rPr>
                <w:rStyle w:val="hps"/>
                <w:rFonts w:cstheme="minorHAnsi"/>
                <w:sz w:val="18"/>
                <w:szCs w:val="18"/>
              </w:rPr>
              <w:t xml:space="preserve"> </w:t>
            </w:r>
            <w:r w:rsidRPr="00F71AA1">
              <w:rPr>
                <w:rStyle w:val="hps"/>
                <w:rFonts w:cstheme="minorHAnsi"/>
                <w:sz w:val="18"/>
                <w:szCs w:val="18"/>
              </w:rPr>
              <w:t xml:space="preserve">The current budget situation means that BPBDs have </w:t>
            </w:r>
            <w:r w:rsidRPr="00F71AA1">
              <w:rPr>
                <w:rFonts w:eastAsia="PMingLiU" w:cstheme="minorHAnsi"/>
                <w:sz w:val="18"/>
                <w:szCs w:val="18"/>
              </w:rPr>
              <w:t>budget for personnel and operating costs, but insufficient budget to implement DRM programs. As a consequence, they rely on BNPB to implement national programs and activities, which do not always have local ownership.</w:t>
            </w:r>
            <w:r w:rsidRPr="00F71AA1">
              <w:rPr>
                <w:rFonts w:cstheme="minorHAnsi"/>
                <w:sz w:val="18"/>
                <w:szCs w:val="18"/>
                <w:shd w:val="clear" w:color="auto" w:fill="FFFFFF"/>
              </w:rPr>
              <w:t xml:space="preserve"> </w:t>
            </w:r>
          </w:p>
          <w:p w14:paraId="448F8D7D" w14:textId="5433553F" w:rsidR="00A031E1" w:rsidRPr="00F71AA1" w:rsidRDefault="00A031E1" w:rsidP="00AF79AE">
            <w:pPr>
              <w:rPr>
                <w:rFonts w:eastAsia="PMingLiU" w:cstheme="minorHAnsi"/>
                <w:sz w:val="18"/>
                <w:szCs w:val="18"/>
              </w:rPr>
            </w:pPr>
            <w:r w:rsidRPr="00F71AA1">
              <w:rPr>
                <w:rStyle w:val="hps"/>
                <w:rFonts w:cstheme="minorHAnsi"/>
                <w:sz w:val="18"/>
                <w:szCs w:val="18"/>
              </w:rPr>
              <w:t xml:space="preserve">Stronger technical inputs from BPBDs can result in better budget allocations. </w:t>
            </w:r>
            <w:r w:rsidR="00AC376A">
              <w:rPr>
                <w:rFonts w:cstheme="minorHAnsi"/>
                <w:sz w:val="18"/>
                <w:szCs w:val="18"/>
              </w:rPr>
              <w:t xml:space="preserve">After a disaster, in the case of Lombok and Central Sulawesi for example, the affected local government will need to re-formulate their budget to focus on Rehabilitation and Reconstruction. </w:t>
            </w:r>
            <w:r w:rsidRPr="00F71AA1">
              <w:rPr>
                <w:rFonts w:cstheme="minorHAnsi"/>
                <w:sz w:val="18"/>
                <w:szCs w:val="18"/>
              </w:rPr>
              <w:t xml:space="preserve">Technical capacity strengthening for BPBDs and policy makers (including Bappeda, the Department of Finance and key parliament members) is critical to develop high quality and context specific plans and budgets. The MSS on </w:t>
            </w:r>
            <w:r w:rsidR="00E87519">
              <w:rPr>
                <w:rFonts w:cstheme="minorHAnsi"/>
                <w:sz w:val="18"/>
                <w:szCs w:val="18"/>
              </w:rPr>
              <w:t>DRM</w:t>
            </w:r>
            <w:r w:rsidRPr="00F71AA1">
              <w:rPr>
                <w:rFonts w:cstheme="minorHAnsi"/>
                <w:sz w:val="18"/>
                <w:szCs w:val="18"/>
              </w:rPr>
              <w:t xml:space="preserve"> provide</w:t>
            </w:r>
            <w:r w:rsidR="00E45402">
              <w:rPr>
                <w:rFonts w:cstheme="minorHAnsi"/>
                <w:sz w:val="18"/>
                <w:szCs w:val="18"/>
              </w:rPr>
              <w:t>s</w:t>
            </w:r>
            <w:r w:rsidRPr="00F71AA1">
              <w:rPr>
                <w:rFonts w:cstheme="minorHAnsi"/>
                <w:sz w:val="18"/>
                <w:szCs w:val="18"/>
              </w:rPr>
              <w:t xml:space="preserve"> an opportunity </w:t>
            </w:r>
            <w:r w:rsidR="0011378A">
              <w:rPr>
                <w:rFonts w:cstheme="minorHAnsi"/>
                <w:sz w:val="18"/>
                <w:szCs w:val="18"/>
              </w:rPr>
              <w:t xml:space="preserve">to develop local capacity </w:t>
            </w:r>
            <w:r w:rsidRPr="00F71AA1">
              <w:rPr>
                <w:rFonts w:cstheme="minorHAnsi"/>
                <w:sz w:val="18"/>
                <w:szCs w:val="18"/>
              </w:rPr>
              <w:t xml:space="preserve">to influence budget allocations. </w:t>
            </w:r>
          </w:p>
        </w:tc>
      </w:tr>
      <w:tr w:rsidR="00A031E1" w:rsidRPr="00F71AA1" w14:paraId="4D4418C0" w14:textId="77777777" w:rsidTr="007C7BBD">
        <w:tc>
          <w:tcPr>
            <w:tcW w:w="2405" w:type="dxa"/>
          </w:tcPr>
          <w:p w14:paraId="29B2B0F5" w14:textId="77777777" w:rsidR="00A031E1" w:rsidRPr="00F71AA1" w:rsidRDefault="00A031E1" w:rsidP="00A031E1">
            <w:pPr>
              <w:rPr>
                <w:rFonts w:cstheme="minorHAnsi"/>
                <w:sz w:val="18"/>
                <w:szCs w:val="18"/>
                <w:shd w:val="clear" w:color="auto" w:fill="FFFFFF"/>
              </w:rPr>
            </w:pPr>
            <w:r w:rsidRPr="00F71AA1">
              <w:rPr>
                <w:rFonts w:cstheme="minorHAnsi"/>
                <w:sz w:val="18"/>
                <w:szCs w:val="18"/>
                <w:shd w:val="clear" w:color="auto" w:fill="FFFFFF"/>
              </w:rPr>
              <w:t>Data, science and tools</w:t>
            </w:r>
          </w:p>
        </w:tc>
        <w:tc>
          <w:tcPr>
            <w:tcW w:w="6611" w:type="dxa"/>
          </w:tcPr>
          <w:p w14:paraId="7F7CCC4E" w14:textId="77777777" w:rsidR="007A44F7" w:rsidRDefault="00A031E1" w:rsidP="009C0589">
            <w:pPr>
              <w:rPr>
                <w:rFonts w:cstheme="minorHAnsi"/>
                <w:sz w:val="18"/>
                <w:szCs w:val="18"/>
              </w:rPr>
            </w:pPr>
            <w:r w:rsidRPr="00F71AA1">
              <w:rPr>
                <w:rFonts w:cstheme="minorHAnsi"/>
                <w:sz w:val="18"/>
                <w:szCs w:val="18"/>
              </w:rPr>
              <w:t>While high quality data tools</w:t>
            </w:r>
            <w:r w:rsidR="009C0589">
              <w:rPr>
                <w:rFonts w:cstheme="minorHAnsi"/>
                <w:sz w:val="18"/>
                <w:szCs w:val="18"/>
              </w:rPr>
              <w:t>, IT</w:t>
            </w:r>
            <w:r w:rsidRPr="00F71AA1">
              <w:rPr>
                <w:rFonts w:cstheme="minorHAnsi"/>
                <w:sz w:val="18"/>
                <w:szCs w:val="18"/>
              </w:rPr>
              <w:t xml:space="preserve"> and science have been developed to enable risk and impact mapping, the uptake at sub-national levels has been variable and is dependent on the skills, capacity and resourcing in BPBDs. </w:t>
            </w:r>
            <w:r w:rsidR="009C0589">
              <w:rPr>
                <w:rFonts w:cstheme="minorHAnsi"/>
                <w:sz w:val="18"/>
                <w:szCs w:val="18"/>
              </w:rPr>
              <w:t xml:space="preserve">Also, it is important for BNPB, BPBDs, BMKG, BPPT and other related agencies to allocate </w:t>
            </w:r>
            <w:r w:rsidR="00F05F80">
              <w:rPr>
                <w:rFonts w:cstheme="minorHAnsi"/>
                <w:sz w:val="18"/>
                <w:szCs w:val="18"/>
              </w:rPr>
              <w:t xml:space="preserve">sufficient </w:t>
            </w:r>
            <w:r w:rsidR="009C0589">
              <w:rPr>
                <w:rFonts w:cstheme="minorHAnsi"/>
                <w:sz w:val="18"/>
                <w:szCs w:val="18"/>
              </w:rPr>
              <w:t xml:space="preserve">budget for maintaining those tools and to provide </w:t>
            </w:r>
            <w:r w:rsidR="00F05F80">
              <w:rPr>
                <w:rFonts w:cstheme="minorHAnsi"/>
                <w:sz w:val="18"/>
                <w:szCs w:val="18"/>
              </w:rPr>
              <w:t xml:space="preserve">some </w:t>
            </w:r>
            <w:r w:rsidR="009C0589">
              <w:rPr>
                <w:rFonts w:cstheme="minorHAnsi"/>
                <w:sz w:val="18"/>
                <w:szCs w:val="18"/>
              </w:rPr>
              <w:t xml:space="preserve">capacity to the staff to </w:t>
            </w:r>
            <w:r w:rsidR="00F05F80">
              <w:rPr>
                <w:rFonts w:cstheme="minorHAnsi"/>
                <w:sz w:val="18"/>
                <w:szCs w:val="18"/>
              </w:rPr>
              <w:t xml:space="preserve">enable them to </w:t>
            </w:r>
            <w:r w:rsidR="009C0589">
              <w:rPr>
                <w:rFonts w:cstheme="minorHAnsi"/>
                <w:sz w:val="18"/>
                <w:szCs w:val="18"/>
              </w:rPr>
              <w:t xml:space="preserve">interpret the data provided by the tools. </w:t>
            </w:r>
          </w:p>
          <w:p w14:paraId="473B6951" w14:textId="0B66B0E5" w:rsidR="00A031E1" w:rsidRPr="00F71AA1" w:rsidRDefault="007A44F7" w:rsidP="007A44F7">
            <w:pPr>
              <w:rPr>
                <w:rFonts w:cstheme="minorHAnsi"/>
                <w:sz w:val="18"/>
                <w:szCs w:val="18"/>
              </w:rPr>
            </w:pPr>
            <w:r>
              <w:rPr>
                <w:rFonts w:cstheme="minorHAnsi"/>
                <w:sz w:val="18"/>
                <w:szCs w:val="18"/>
              </w:rPr>
              <w:t xml:space="preserve">On the other hand, it is also crucial to develop logistic management capacity of BPBD, PMI, local NGOs and other relevant agencies. A use of standardized tools to input the data into an integrated logistics management system using mobile phone for example will help the decision makers in understanding the kinds of logistics (food or NFIs) required, how much and by when. </w:t>
            </w:r>
            <w:r w:rsidR="00A031E1" w:rsidRPr="00F71AA1">
              <w:rPr>
                <w:rFonts w:cstheme="minorHAnsi"/>
                <w:sz w:val="18"/>
                <w:szCs w:val="18"/>
              </w:rPr>
              <w:t xml:space="preserve">NGOs have taken up risk assessment and contingency planning for DRM. </w:t>
            </w:r>
            <w:r w:rsidR="00A031E1" w:rsidRPr="00F71AA1">
              <w:rPr>
                <w:rStyle w:val="FootnoteReference"/>
                <w:rFonts w:cstheme="minorHAnsi"/>
                <w:sz w:val="18"/>
                <w:szCs w:val="18"/>
              </w:rPr>
              <w:footnoteReference w:id="21"/>
            </w:r>
          </w:p>
        </w:tc>
      </w:tr>
    </w:tbl>
    <w:p w14:paraId="61A58C4C" w14:textId="77777777" w:rsidR="00F05CE4" w:rsidRDefault="00F05CE4" w:rsidP="007D01B9">
      <w:pPr>
        <w:rPr>
          <w:i/>
        </w:rPr>
      </w:pPr>
      <w:r>
        <w:rPr>
          <w:i/>
        </w:rPr>
        <w:t>Lessons in Public Sector Reform</w:t>
      </w:r>
    </w:p>
    <w:p w14:paraId="367F44B8" w14:textId="10D3CCF5" w:rsidR="00F05CE4" w:rsidRDefault="007D01B9" w:rsidP="007D01B9">
      <w:r w:rsidRPr="002839AE">
        <w:t xml:space="preserve">Public </w:t>
      </w:r>
      <w:r w:rsidR="00F05CE4">
        <w:t>sector</w:t>
      </w:r>
      <w:r w:rsidR="00F05CE4" w:rsidRPr="002839AE">
        <w:t xml:space="preserve"> </w:t>
      </w:r>
      <w:r w:rsidRPr="002839AE">
        <w:t>reform</w:t>
      </w:r>
      <w:r>
        <w:t xml:space="preserve"> has been one of </w:t>
      </w:r>
      <w:r w:rsidR="0094476B">
        <w:t>GoI</w:t>
      </w:r>
      <w:r>
        <w:t>’s top priorities since</w:t>
      </w:r>
      <w:r w:rsidR="00A11DD6">
        <w:t xml:space="preserve"> the</w:t>
      </w:r>
      <w:r>
        <w:t xml:space="preserve"> </w:t>
      </w:r>
      <w:r w:rsidR="00F05CE4">
        <w:t xml:space="preserve">start of </w:t>
      </w:r>
      <w:r w:rsidR="00A11DD6">
        <w:t xml:space="preserve">the </w:t>
      </w:r>
      <w:r w:rsidRPr="00C80BCF">
        <w:rPr>
          <w:i/>
        </w:rPr>
        <w:t>Reformasi</w:t>
      </w:r>
      <w:r w:rsidRPr="002839AE">
        <w:t xml:space="preserve"> </w:t>
      </w:r>
      <w:r w:rsidR="00F05CE4">
        <w:t xml:space="preserve">era </w:t>
      </w:r>
      <w:r w:rsidRPr="002839AE">
        <w:t xml:space="preserve">in 1998. </w:t>
      </w:r>
      <w:r>
        <w:t>Successive governments have recognised that</w:t>
      </w:r>
      <w:r w:rsidRPr="002839AE">
        <w:rPr>
          <w:color w:val="212121"/>
        </w:rPr>
        <w:t xml:space="preserve"> an efficient and effective bureaucracy is necessary</w:t>
      </w:r>
      <w:r>
        <w:t xml:space="preserve"> </w:t>
      </w:r>
      <w:r w:rsidRPr="002839AE">
        <w:rPr>
          <w:color w:val="212121"/>
        </w:rPr>
        <w:t>to improve service delivery, accountability and good governance.</w:t>
      </w:r>
      <w:r>
        <w:t xml:space="preserve"> </w:t>
      </w:r>
      <w:r w:rsidRPr="002839AE">
        <w:t xml:space="preserve">Indonesia has been </w:t>
      </w:r>
      <w:r>
        <w:t>incrementally</w:t>
      </w:r>
      <w:r w:rsidRPr="002839AE">
        <w:t xml:space="preserve"> reforming its public sector from the central to local level governmental institutions. Pilot p</w:t>
      </w:r>
      <w:r>
        <w:t>rojects for bureaucratic reform</w:t>
      </w:r>
      <w:r w:rsidRPr="002839AE">
        <w:t xml:space="preserve"> </w:t>
      </w:r>
      <w:r>
        <w:t>have been rolled out in</w:t>
      </w:r>
      <w:r w:rsidRPr="002839AE">
        <w:t xml:space="preserve"> </w:t>
      </w:r>
      <w:r>
        <w:t>central government institutions including the</w:t>
      </w:r>
      <w:r w:rsidRPr="002839AE">
        <w:t xml:space="preserve"> Ministry of Finance</w:t>
      </w:r>
      <w:r w:rsidR="00206824">
        <w:t xml:space="preserve"> (MOF)</w:t>
      </w:r>
      <w:r w:rsidRPr="002839AE">
        <w:t>, the Supreme Audit Board</w:t>
      </w:r>
      <w:r w:rsidR="00F05CE4">
        <w:t xml:space="preserve"> (BPK)</w:t>
      </w:r>
      <w:r w:rsidRPr="002839AE">
        <w:t>, and the Supreme Court</w:t>
      </w:r>
      <w:r w:rsidR="00F05CE4">
        <w:t xml:space="preserve"> (MA)</w:t>
      </w:r>
      <w:r w:rsidRPr="002839AE">
        <w:t>. After partial reforms within several units under the Ministry of Finance, a fuller reform at the Ministry of Finance was officially launched in late 2006</w:t>
      </w:r>
      <w:r>
        <w:t>.</w:t>
      </w:r>
      <w:r>
        <w:rPr>
          <w:rStyle w:val="FootnoteReference"/>
        </w:rPr>
        <w:footnoteReference w:id="22"/>
      </w:r>
      <w:r w:rsidRPr="002839AE">
        <w:t xml:space="preserve"> </w:t>
      </w:r>
    </w:p>
    <w:p w14:paraId="7D6D2026" w14:textId="5717B843" w:rsidR="007D01B9" w:rsidRPr="0051775D" w:rsidRDefault="0094476B" w:rsidP="007D01B9">
      <w:pPr>
        <w:rPr>
          <w:color w:val="212121"/>
        </w:rPr>
      </w:pPr>
      <w:r>
        <w:t>GoI</w:t>
      </w:r>
      <w:r w:rsidR="007D01B9" w:rsidRPr="002839AE">
        <w:t xml:space="preserve"> has called for international </w:t>
      </w:r>
      <w:r w:rsidR="00F05CE4">
        <w:t xml:space="preserve">development partners </w:t>
      </w:r>
      <w:r w:rsidR="007D01B9" w:rsidRPr="002839AE">
        <w:t xml:space="preserve">such as </w:t>
      </w:r>
      <w:r w:rsidR="00E45402">
        <w:t>Australia, US</w:t>
      </w:r>
      <w:r w:rsidR="007D01B9" w:rsidRPr="002839AE">
        <w:t>, European Commission, IMF, and UNDP to support public sector reform in the last 10-15 years. Such calls have been well documented in the last ten years</w:t>
      </w:r>
      <w:r w:rsidR="007D01B9">
        <w:t>.</w:t>
      </w:r>
      <w:r w:rsidR="007D01B9">
        <w:rPr>
          <w:rStyle w:val="FootnoteReference"/>
        </w:rPr>
        <w:footnoteReference w:id="23"/>
      </w:r>
      <w:r w:rsidR="007D01B9">
        <w:t xml:space="preserve"> </w:t>
      </w:r>
      <w:r w:rsidR="00F05CE4">
        <w:t>As part of the public sector reform, i</w:t>
      </w:r>
      <w:r w:rsidR="007D01B9">
        <w:t xml:space="preserve">mproving accountability and service delivery in DRM </w:t>
      </w:r>
      <w:r w:rsidR="00503BDC">
        <w:t xml:space="preserve">is </w:t>
      </w:r>
      <w:r w:rsidR="007D01B9">
        <w:t xml:space="preserve">now essential to make progress. However, it should be noted that </w:t>
      </w:r>
      <w:r w:rsidR="007D01B9">
        <w:rPr>
          <w:color w:val="212121"/>
        </w:rPr>
        <w:t>resistance to reform can be</w:t>
      </w:r>
      <w:r w:rsidR="007D01B9" w:rsidRPr="002839AE">
        <w:rPr>
          <w:color w:val="212121"/>
        </w:rPr>
        <w:t xml:space="preserve"> strong and progress is likely to be difficult</w:t>
      </w:r>
      <w:r w:rsidR="007D01B9">
        <w:rPr>
          <w:color w:val="212121"/>
        </w:rPr>
        <w:t xml:space="preserve"> and unpredictable</w:t>
      </w:r>
      <w:r w:rsidR="007D01B9" w:rsidRPr="002839AE">
        <w:rPr>
          <w:color w:val="212121"/>
        </w:rPr>
        <w:t>.</w:t>
      </w:r>
      <w:r w:rsidR="007D01B9">
        <w:rPr>
          <w:rStyle w:val="FootnoteReference"/>
          <w:color w:val="212121"/>
        </w:rPr>
        <w:footnoteReference w:id="24"/>
      </w:r>
    </w:p>
    <w:p w14:paraId="5E773D2D" w14:textId="77777777" w:rsidR="007D01B9" w:rsidRPr="00401646" w:rsidRDefault="007D01B9" w:rsidP="007D01B9">
      <w:r>
        <w:rPr>
          <w:shd w:val="clear" w:color="auto" w:fill="FFFFFF"/>
        </w:rPr>
        <w:t xml:space="preserve">Lessons from public sector reform programs in Indonesia provide insight into how changes can be supported in BNPB: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874EE4" w:rsidRPr="00874EE4" w14:paraId="05C7604E" w14:textId="77777777" w:rsidTr="0050021E">
        <w:trPr>
          <w:tblHeader/>
        </w:trPr>
        <w:tc>
          <w:tcPr>
            <w:tcW w:w="2547" w:type="dxa"/>
            <w:shd w:val="clear" w:color="auto" w:fill="B4C6E7" w:themeFill="accent1" w:themeFillTint="66"/>
          </w:tcPr>
          <w:p w14:paraId="0414EDFF" w14:textId="47B98889" w:rsidR="00874EE4" w:rsidRPr="00874EE4" w:rsidRDefault="00874EE4" w:rsidP="006F2D06">
            <w:pPr>
              <w:rPr>
                <w:b/>
                <w:shd w:val="clear" w:color="auto" w:fill="FFFFFF"/>
              </w:rPr>
            </w:pPr>
            <w:r w:rsidRPr="00874EE4">
              <w:rPr>
                <w:b/>
                <w:color w:val="212121"/>
              </w:rPr>
              <w:t>Public Sector Reform Issue</w:t>
            </w:r>
          </w:p>
        </w:tc>
        <w:tc>
          <w:tcPr>
            <w:tcW w:w="6469" w:type="dxa"/>
            <w:shd w:val="clear" w:color="auto" w:fill="B4C6E7" w:themeFill="accent1" w:themeFillTint="66"/>
          </w:tcPr>
          <w:p w14:paraId="31FB03A3" w14:textId="4D7710BC" w:rsidR="00874EE4" w:rsidRPr="00874EE4" w:rsidRDefault="00874EE4" w:rsidP="006F2D06">
            <w:pPr>
              <w:rPr>
                <w:b/>
                <w:color w:val="212121"/>
              </w:rPr>
            </w:pPr>
            <w:r w:rsidRPr="00874EE4">
              <w:rPr>
                <w:b/>
                <w:color w:val="212121"/>
              </w:rPr>
              <w:t>Lesson</w:t>
            </w:r>
          </w:p>
        </w:tc>
      </w:tr>
      <w:tr w:rsidR="007D01B9" w14:paraId="55971806" w14:textId="77777777" w:rsidTr="00A2435F">
        <w:tc>
          <w:tcPr>
            <w:tcW w:w="2547" w:type="dxa"/>
          </w:tcPr>
          <w:p w14:paraId="039F7FF5" w14:textId="77777777" w:rsidR="007D01B9" w:rsidRDefault="007D01B9" w:rsidP="006F2D06">
            <w:pPr>
              <w:rPr>
                <w:shd w:val="clear" w:color="auto" w:fill="FFFFFF"/>
              </w:rPr>
            </w:pPr>
            <w:r>
              <w:rPr>
                <w:shd w:val="clear" w:color="auto" w:fill="FFFFFF"/>
              </w:rPr>
              <w:t>Program design</w:t>
            </w:r>
          </w:p>
        </w:tc>
        <w:tc>
          <w:tcPr>
            <w:tcW w:w="6469" w:type="dxa"/>
          </w:tcPr>
          <w:p w14:paraId="18FC8863" w14:textId="77777777" w:rsidR="007D01B9" w:rsidRDefault="007D01B9" w:rsidP="006F2D06">
            <w:pPr>
              <w:rPr>
                <w:color w:val="212121"/>
              </w:rPr>
            </w:pPr>
            <w:r>
              <w:rPr>
                <w:color w:val="212121"/>
              </w:rPr>
              <w:t xml:space="preserve">Working with </w:t>
            </w:r>
            <w:r w:rsidRPr="002839AE">
              <w:rPr>
                <w:color w:val="212121"/>
              </w:rPr>
              <w:t xml:space="preserve">reform-minded leaders through a flexible funding arrangement </w:t>
            </w:r>
            <w:r>
              <w:rPr>
                <w:color w:val="212121"/>
              </w:rPr>
              <w:t xml:space="preserve">is more likely to succeed than delivering a range of predetermined capacity support programs. </w:t>
            </w:r>
          </w:p>
          <w:p w14:paraId="2B090227" w14:textId="1A7EB4AE" w:rsidR="007D01B9" w:rsidRDefault="007D01B9" w:rsidP="006F2D06">
            <w:pPr>
              <w:rPr>
                <w:iCs/>
              </w:rPr>
            </w:pPr>
            <w:r>
              <w:rPr>
                <w:iCs/>
              </w:rPr>
              <w:t xml:space="preserve">A strong rationale for the program, </w:t>
            </w:r>
            <w:r w:rsidRPr="002839AE">
              <w:rPr>
                <w:iCs/>
              </w:rPr>
              <w:t xml:space="preserve">clarity of objectives </w:t>
            </w:r>
            <w:r>
              <w:rPr>
                <w:iCs/>
              </w:rPr>
              <w:t xml:space="preserve">and a </w:t>
            </w:r>
            <w:r w:rsidRPr="002839AE">
              <w:rPr>
                <w:iCs/>
              </w:rPr>
              <w:t xml:space="preserve">partnership </w:t>
            </w:r>
            <w:r>
              <w:rPr>
                <w:iCs/>
              </w:rPr>
              <w:t>approach is recommended to support flexible delivery to achieve results.</w:t>
            </w:r>
          </w:p>
          <w:p w14:paraId="13A450E3" w14:textId="77777777" w:rsidR="007D01B9" w:rsidRDefault="007D01B9" w:rsidP="006F2D06">
            <w:r>
              <w:rPr>
                <w:iCs/>
              </w:rPr>
              <w:t>A clear</w:t>
            </w:r>
            <w:r w:rsidRPr="002839AE">
              <w:rPr>
                <w:iCs/>
              </w:rPr>
              <w:t xml:space="preserve"> governance structure can ensure </w:t>
            </w:r>
            <w:r>
              <w:rPr>
                <w:iCs/>
              </w:rPr>
              <w:t>a good match between resource allocation and</w:t>
            </w:r>
            <w:r w:rsidRPr="002839AE">
              <w:rPr>
                <w:iCs/>
              </w:rPr>
              <w:t xml:space="preserve"> </w:t>
            </w:r>
            <w:r>
              <w:rPr>
                <w:iCs/>
              </w:rPr>
              <w:t xml:space="preserve">program objectives, and also provide </w:t>
            </w:r>
            <w:r w:rsidRPr="002839AE">
              <w:t>clarity over management arrangements</w:t>
            </w:r>
            <w:r>
              <w:t>.</w:t>
            </w:r>
            <w:r w:rsidRPr="002839AE">
              <w:t xml:space="preserve"> </w:t>
            </w:r>
          </w:p>
          <w:p w14:paraId="47F8D0E9" w14:textId="77777777" w:rsidR="007D01B9" w:rsidRDefault="007D01B9" w:rsidP="006F2D06">
            <w:r>
              <w:t>Clear m</w:t>
            </w:r>
            <w:r w:rsidRPr="002839AE">
              <w:t>onitoring and evaluation arrangements can help improve the quality of the interventi</w:t>
            </w:r>
            <w:r>
              <w:t>on.</w:t>
            </w:r>
            <w:r>
              <w:rPr>
                <w:rStyle w:val="FootnoteReference"/>
              </w:rPr>
              <w:footnoteReference w:id="25"/>
            </w:r>
          </w:p>
          <w:p w14:paraId="21BFC937" w14:textId="5A96D964" w:rsidR="009C220F" w:rsidRDefault="00D10933" w:rsidP="00D10933">
            <w:pPr>
              <w:rPr>
                <w:shd w:val="clear" w:color="auto" w:fill="FFFFFF"/>
              </w:rPr>
            </w:pPr>
            <w:r>
              <w:t>Having a s</w:t>
            </w:r>
            <w:r w:rsidR="009C220F">
              <w:t>trong buy in from partner government</w:t>
            </w:r>
            <w:r>
              <w:t>s</w:t>
            </w:r>
            <w:r w:rsidR="009C220F">
              <w:t xml:space="preserve"> is a critical element </w:t>
            </w:r>
            <w:r>
              <w:t xml:space="preserve">for developing and implementing a </w:t>
            </w:r>
            <w:r w:rsidR="006B19C3">
              <w:t xml:space="preserve">development </w:t>
            </w:r>
            <w:r>
              <w:t>program</w:t>
            </w:r>
            <w:r w:rsidR="006B19C3">
              <w:t>.</w:t>
            </w:r>
          </w:p>
        </w:tc>
      </w:tr>
      <w:tr w:rsidR="007D01B9" w14:paraId="56A6CEB9" w14:textId="77777777" w:rsidTr="00A2435F">
        <w:tc>
          <w:tcPr>
            <w:tcW w:w="2547" w:type="dxa"/>
          </w:tcPr>
          <w:p w14:paraId="20817E3D" w14:textId="77777777" w:rsidR="007D01B9" w:rsidRDefault="007D01B9" w:rsidP="006F2D06">
            <w:pPr>
              <w:rPr>
                <w:shd w:val="clear" w:color="auto" w:fill="FFFFFF"/>
              </w:rPr>
            </w:pPr>
            <w:r>
              <w:rPr>
                <w:shd w:val="clear" w:color="auto" w:fill="FFFFFF"/>
              </w:rPr>
              <w:t>Timing of support</w:t>
            </w:r>
          </w:p>
        </w:tc>
        <w:tc>
          <w:tcPr>
            <w:tcW w:w="6469" w:type="dxa"/>
          </w:tcPr>
          <w:p w14:paraId="4CC50021" w14:textId="77777777" w:rsidR="007D01B9" w:rsidRDefault="007D01B9" w:rsidP="003E0D0C">
            <w:r w:rsidRPr="002839AE">
              <w:t>International support p</w:t>
            </w:r>
            <w:r>
              <w:t>rior to national elections can</w:t>
            </w:r>
            <w:r w:rsidRPr="002839AE">
              <w:t xml:space="preserve"> be a challenge as </w:t>
            </w:r>
            <w:r>
              <w:t>there is a</w:t>
            </w:r>
            <w:r w:rsidRPr="002839AE">
              <w:t xml:space="preserve"> limited window of opportunity for cooperation.</w:t>
            </w:r>
          </w:p>
          <w:p w14:paraId="22D4BEC2" w14:textId="63EA0AB9" w:rsidR="006B19C3" w:rsidRPr="0050441B" w:rsidRDefault="006B19C3" w:rsidP="00622CD7">
            <w:r>
              <w:t>Trying to engage GOI officials in any design related activities (even for one meeting) during and/or after a disaster (no matter the scale of the event) could be a challenge.</w:t>
            </w:r>
            <w:r w:rsidR="00622CD7">
              <w:t xml:space="preserve"> It is prudent not to have a tight time schedule when designing a program.</w:t>
            </w:r>
          </w:p>
        </w:tc>
      </w:tr>
      <w:tr w:rsidR="007D01B9" w14:paraId="484F1D8E" w14:textId="77777777" w:rsidTr="00A2435F">
        <w:tc>
          <w:tcPr>
            <w:tcW w:w="2547" w:type="dxa"/>
          </w:tcPr>
          <w:p w14:paraId="58557C87" w14:textId="58DDA5CA" w:rsidR="007D01B9" w:rsidRDefault="00D10933" w:rsidP="006F2D06">
            <w:pPr>
              <w:rPr>
                <w:shd w:val="clear" w:color="auto" w:fill="FFFFFF"/>
              </w:rPr>
            </w:pPr>
            <w:r>
              <w:rPr>
                <w:shd w:val="clear" w:color="auto" w:fill="FFFFFF"/>
              </w:rPr>
              <w:t>Multi-</w:t>
            </w:r>
            <w:r w:rsidR="007D01B9">
              <w:rPr>
                <w:shd w:val="clear" w:color="auto" w:fill="FFFFFF"/>
              </w:rPr>
              <w:t>Partnership</w:t>
            </w:r>
          </w:p>
        </w:tc>
        <w:tc>
          <w:tcPr>
            <w:tcW w:w="6469" w:type="dxa"/>
          </w:tcPr>
          <w:p w14:paraId="793BD0E8" w14:textId="0E6727EE" w:rsidR="00D10933" w:rsidRDefault="00D10933" w:rsidP="006F2D06">
            <w:r>
              <w:t xml:space="preserve">Working with more than one </w:t>
            </w:r>
            <w:r w:rsidR="00622CD7">
              <w:t xml:space="preserve">GOI </w:t>
            </w:r>
            <w:r>
              <w:t xml:space="preserve">agency could be challenging but will ensure stronger support, leverage impact and </w:t>
            </w:r>
            <w:r w:rsidR="00B23E52">
              <w:t>provide bigger chance for sustainability.</w:t>
            </w:r>
          </w:p>
          <w:p w14:paraId="62972168" w14:textId="2B3DB454" w:rsidR="007D01B9" w:rsidRDefault="007D01B9" w:rsidP="006F2D06">
            <w:r>
              <w:t>Create</w:t>
            </w:r>
            <w:r w:rsidRPr="002839AE">
              <w:t xml:space="preserve"> some space to work with a </w:t>
            </w:r>
            <w:r>
              <w:t>specific agenda</w:t>
            </w:r>
            <w:r w:rsidRPr="002839AE">
              <w:t xml:space="preserve"> proposed by the </w:t>
            </w:r>
            <w:r>
              <w:t>relevant Ministries/Agency</w:t>
            </w:r>
            <w:r w:rsidRPr="002839AE">
              <w:t xml:space="preserve">. </w:t>
            </w:r>
          </w:p>
          <w:p w14:paraId="5AE96EDE" w14:textId="77777777" w:rsidR="007D01B9" w:rsidRPr="002839AE" w:rsidRDefault="007D01B9" w:rsidP="006F2D06">
            <w:r>
              <w:t>When working with sub-national governments work through</w:t>
            </w:r>
            <w:r w:rsidRPr="002839AE">
              <w:t xml:space="preserve"> MoHA as well as other ministries such as Bappenas.</w:t>
            </w:r>
            <w:r>
              <w:rPr>
                <w:rStyle w:val="FootnoteReference"/>
              </w:rPr>
              <w:footnoteReference w:id="26"/>
            </w:r>
          </w:p>
        </w:tc>
      </w:tr>
      <w:tr w:rsidR="007D01B9" w14:paraId="55D33293" w14:textId="77777777" w:rsidTr="00A2435F">
        <w:tc>
          <w:tcPr>
            <w:tcW w:w="2547" w:type="dxa"/>
          </w:tcPr>
          <w:p w14:paraId="1E2DA170" w14:textId="505A2847" w:rsidR="007D01B9" w:rsidRDefault="007D01B9" w:rsidP="00B23E52">
            <w:pPr>
              <w:rPr>
                <w:shd w:val="clear" w:color="auto" w:fill="FFFFFF"/>
              </w:rPr>
            </w:pPr>
            <w:r w:rsidRPr="00E65D87">
              <w:t>Capacity development</w:t>
            </w:r>
            <w:r w:rsidR="00A2435F">
              <w:t xml:space="preserve"> </w:t>
            </w:r>
            <w:r w:rsidR="00B23E52">
              <w:t>not substitution</w:t>
            </w:r>
          </w:p>
        </w:tc>
        <w:tc>
          <w:tcPr>
            <w:tcW w:w="6469" w:type="dxa"/>
          </w:tcPr>
          <w:p w14:paraId="38928D6A" w14:textId="6229439A" w:rsidR="00B23E52" w:rsidRDefault="007D01B9" w:rsidP="006F2D06">
            <w:r>
              <w:t>Capacity development can be transformed into</w:t>
            </w:r>
            <w:r w:rsidRPr="00E65D87">
              <w:t xml:space="preserve"> capacit</w:t>
            </w:r>
            <w:r>
              <w:t>y substitution and dependency on</w:t>
            </w:r>
            <w:r w:rsidRPr="00E65D87">
              <w:t xml:space="preserve"> external experts.</w:t>
            </w:r>
            <w:r>
              <w:t xml:space="preserve"> This has been well observed in the case of UNISDR’s secondment to BNPB</w:t>
            </w:r>
            <w:r>
              <w:rPr>
                <w:rStyle w:val="FootnoteReference"/>
              </w:rPr>
              <w:footnoteReference w:id="27"/>
            </w:r>
            <w:r w:rsidR="00E45402">
              <w:t>,</w:t>
            </w:r>
            <w:r>
              <w:t xml:space="preserve"> the AIFDR program</w:t>
            </w:r>
            <w:r>
              <w:rPr>
                <w:rStyle w:val="FootnoteReference"/>
              </w:rPr>
              <w:footnoteReference w:id="28"/>
            </w:r>
            <w:r>
              <w:t xml:space="preserve"> and a recent experiment in BPBD capacity development supported by the USAID TATTs project</w:t>
            </w:r>
            <w:r>
              <w:rPr>
                <w:rStyle w:val="FootnoteReference"/>
              </w:rPr>
              <w:footnoteReference w:id="29"/>
            </w:r>
            <w:r>
              <w:t xml:space="preserve">. </w:t>
            </w:r>
          </w:p>
          <w:p w14:paraId="32772F43" w14:textId="77777777" w:rsidR="007D01B9" w:rsidRDefault="007D01B9" w:rsidP="006F2D06">
            <w:r>
              <w:t>E</w:t>
            </w:r>
            <w:r w:rsidRPr="00E65D87">
              <w:t xml:space="preserve">xternal technical assistance </w:t>
            </w:r>
            <w:r>
              <w:t>should be stationed at different levels from national and sub-national levels</w:t>
            </w:r>
            <w:r w:rsidRPr="00E65D87">
              <w:t>.</w:t>
            </w:r>
            <w:r>
              <w:t xml:space="preserve"> Capacity substitution is a risk that should be managed, particularly in the early stages of the intervention.</w:t>
            </w:r>
          </w:p>
          <w:p w14:paraId="5796F8CA" w14:textId="6D8063B1" w:rsidR="00622CD7" w:rsidRDefault="00622CD7" w:rsidP="00622CD7">
            <w:r>
              <w:t>Developing a staging approach for capacity development is recommended. For example, during the first three years one can focus on providing capacity building of local agencies while during the fourth and fifth years the focus could shift to coaching and mentoring plus refresher training, with an aim that by the end of the fifth year the local agencies could perform their roles independently.</w:t>
            </w:r>
          </w:p>
        </w:tc>
      </w:tr>
      <w:tr w:rsidR="00A2435F" w14:paraId="513C8F08" w14:textId="77777777" w:rsidTr="00A2435F">
        <w:tc>
          <w:tcPr>
            <w:tcW w:w="2547" w:type="dxa"/>
          </w:tcPr>
          <w:p w14:paraId="0D43C1CB" w14:textId="70082CF1" w:rsidR="00A2435F" w:rsidRPr="00B13708" w:rsidRDefault="00B23E52" w:rsidP="00B23E52">
            <w:r>
              <w:rPr>
                <w:bCs/>
              </w:rPr>
              <w:t>Institutional instead of individual c</w:t>
            </w:r>
            <w:r w:rsidRPr="00B13708">
              <w:rPr>
                <w:bCs/>
              </w:rPr>
              <w:t xml:space="preserve">apacity </w:t>
            </w:r>
            <w:r w:rsidR="00A2435F" w:rsidRPr="00B13708">
              <w:rPr>
                <w:bCs/>
              </w:rPr>
              <w:t>building</w:t>
            </w:r>
          </w:p>
        </w:tc>
        <w:tc>
          <w:tcPr>
            <w:tcW w:w="6469" w:type="dxa"/>
          </w:tcPr>
          <w:p w14:paraId="3CBB592B" w14:textId="54340949" w:rsidR="00B23E52" w:rsidRDefault="00A2435F" w:rsidP="003E0D0C">
            <w:r>
              <w:t>A demand driven capacity development agenda can provide better outcomes.</w:t>
            </w:r>
            <w:r>
              <w:rPr>
                <w:rStyle w:val="FootnoteReference"/>
              </w:rPr>
              <w:t xml:space="preserve"> </w:t>
            </w:r>
            <w:r>
              <w:rPr>
                <w:rStyle w:val="FootnoteReference"/>
              </w:rPr>
              <w:footnoteReference w:id="30"/>
            </w:r>
            <w:r>
              <w:t xml:space="preserve"> Lessons from previous DFAT support (e.g. AIFDR) suggest that despite clear benefits of new sophisticated science and IT technologies for DRM innovation, adequate adoption of such technology to actual daily DRM policy making and practice can only be sustained if there is genuine demand from policy makers</w:t>
            </w:r>
            <w:r w:rsidR="00515A7C">
              <w:t>. Other component needed is sufficient capacity of the staff to analyse the information provided by the technologies so that they can provide valuable inputs to the decision makers</w:t>
            </w:r>
            <w:r>
              <w:t>.</w:t>
            </w:r>
            <w:r>
              <w:rPr>
                <w:rStyle w:val="FootnoteReference"/>
              </w:rPr>
              <w:t xml:space="preserve"> </w:t>
            </w:r>
          </w:p>
          <w:p w14:paraId="7B6E4AE8" w14:textId="14E324BA" w:rsidR="00A2435F" w:rsidRDefault="00B23E52" w:rsidP="000F0305">
            <w:r>
              <w:t xml:space="preserve">While sending </w:t>
            </w:r>
            <w:r w:rsidR="005C52C2">
              <w:t>staff for training abroad could, amongst others, boast their confidence</w:t>
            </w:r>
            <w:r w:rsidR="000F0305">
              <w:t xml:space="preserve"> </w:t>
            </w:r>
            <w:r w:rsidR="005C52C2">
              <w:t>the impact of conducting in</w:t>
            </w:r>
            <w:r w:rsidR="000F0305">
              <w:t>-</w:t>
            </w:r>
            <w:r w:rsidR="005C52C2">
              <w:t>country training with more participants</w:t>
            </w:r>
            <w:r w:rsidR="00515A7C">
              <w:t xml:space="preserve"> involved</w:t>
            </w:r>
            <w:r w:rsidR="005C52C2">
              <w:t>, followed by one-on-one coaching</w:t>
            </w:r>
            <w:r w:rsidR="00515A7C">
              <w:t xml:space="preserve"> and mentoring</w:t>
            </w:r>
            <w:r w:rsidR="005C52C2">
              <w:t xml:space="preserve">, </w:t>
            </w:r>
            <w:r w:rsidR="000F0305">
              <w:t xml:space="preserve">has </w:t>
            </w:r>
            <w:r w:rsidR="005C52C2">
              <w:t xml:space="preserve">proven to be more successful in increasing the capacity of the institution. This approach will </w:t>
            </w:r>
            <w:r w:rsidR="00DE45D8">
              <w:t>sustain some capacity within the agency in the case of staff rotation.</w:t>
            </w:r>
            <w:r w:rsidR="005C52C2">
              <w:t xml:space="preserve">   </w:t>
            </w:r>
            <w:r w:rsidR="00A2435F">
              <w:t xml:space="preserve">The legitimacy of </w:t>
            </w:r>
            <w:r w:rsidR="00DE45D8">
              <w:t xml:space="preserve">institutional </w:t>
            </w:r>
            <w:r w:rsidR="00A2435F">
              <w:t xml:space="preserve">capacity building is crucial for sustainability of DRM reform. </w:t>
            </w:r>
          </w:p>
        </w:tc>
      </w:tr>
    </w:tbl>
    <w:p w14:paraId="05FA9B8B" w14:textId="77777777" w:rsidR="00F05CE4" w:rsidRPr="004355AA" w:rsidRDefault="00F05CE4" w:rsidP="00F05CE4">
      <w:pPr>
        <w:pStyle w:val="Heading3"/>
        <w:rPr>
          <w:shd w:val="clear" w:color="auto" w:fill="FFFFFF"/>
        </w:rPr>
      </w:pPr>
      <w:bookmarkStart w:id="25" w:name="_Toc525550765"/>
      <w:r w:rsidRPr="004355AA">
        <w:rPr>
          <w:shd w:val="clear" w:color="auto" w:fill="FFFFFF"/>
        </w:rPr>
        <w:t xml:space="preserve">Current </w:t>
      </w:r>
      <w:r>
        <w:rPr>
          <w:shd w:val="clear" w:color="auto" w:fill="FFFFFF"/>
        </w:rPr>
        <w:t>Other Development Partners’ DRM</w:t>
      </w:r>
      <w:r w:rsidRPr="004355AA">
        <w:rPr>
          <w:shd w:val="clear" w:color="auto" w:fill="FFFFFF"/>
        </w:rPr>
        <w:t xml:space="preserve"> programs</w:t>
      </w:r>
      <w:bookmarkEnd w:id="25"/>
    </w:p>
    <w:p w14:paraId="6DA82A5A" w14:textId="5A258E1B" w:rsidR="007D01B9" w:rsidRPr="00D7424F" w:rsidRDefault="007D01B9" w:rsidP="007D01B9">
      <w:pPr>
        <w:rPr>
          <w:b/>
        </w:rPr>
      </w:pPr>
      <w:r w:rsidRPr="00D7424F">
        <w:rPr>
          <w:b/>
        </w:rPr>
        <w:t xml:space="preserve">StIRRD (NZAID) 2014 -2019 </w:t>
      </w:r>
    </w:p>
    <w:p w14:paraId="676DBC93" w14:textId="2FE4FCE6" w:rsidR="007D01B9" w:rsidRPr="005003EA" w:rsidRDefault="00021E64" w:rsidP="007D01B9">
      <w:r>
        <w:t>T</w:t>
      </w:r>
      <w:r w:rsidRPr="005003EA">
        <w:t>he</w:t>
      </w:r>
      <w:r>
        <w:t xml:space="preserve"> Government of New Zealand provides funding to</w:t>
      </w:r>
      <w:r w:rsidRPr="005003EA">
        <w:t xml:space="preserve"> Gajah Mada University and GNS Science t</w:t>
      </w:r>
      <w:r>
        <w:t xml:space="preserve">o </w:t>
      </w:r>
      <w:r w:rsidRPr="005003EA">
        <w:t>implement the Strengthened Indonesian Resilience Redu</w:t>
      </w:r>
      <w:r>
        <w:t>cing Risk from Disasters (StIRR</w:t>
      </w:r>
      <w:r w:rsidRPr="005003EA">
        <w:t xml:space="preserve">D) program in the provinces of West Sumatra (Padang City, Agam, and Pesisir Selatan), Bengkulu (Bengkulu City and Seluma), Central Sulawesi (Palu City, Donggala, and Morowali) and West Nusa Tenggara (Mataram City, and Sumbawa). </w:t>
      </w:r>
    </w:p>
    <w:p w14:paraId="77E8333C" w14:textId="77777777" w:rsidR="007D01B9" w:rsidRPr="008B6431" w:rsidRDefault="007D01B9" w:rsidP="007D01B9">
      <w:pPr>
        <w:rPr>
          <w:color w:val="FF0000"/>
        </w:rPr>
      </w:pPr>
      <w:r w:rsidRPr="005003EA">
        <w:t>The program assist</w:t>
      </w:r>
      <w:r>
        <w:t>s</w:t>
      </w:r>
      <w:r w:rsidRPr="005003EA">
        <w:t xml:space="preserve"> </w:t>
      </w:r>
      <w:r>
        <w:t xml:space="preserve">eight </w:t>
      </w:r>
      <w:r w:rsidRPr="005003EA">
        <w:t xml:space="preserve">local governments to manage their own risks and improve communications at all levels of the community. </w:t>
      </w:r>
      <w:r>
        <w:t xml:space="preserve">In each district a </w:t>
      </w:r>
      <w:r w:rsidRPr="005003EA">
        <w:rPr>
          <w:color w:val="000000"/>
          <w:shd w:val="clear" w:color="auto" w:fill="FFFFFF"/>
        </w:rPr>
        <w:t>BPBD-led action plan</w:t>
      </w:r>
      <w:r>
        <w:rPr>
          <w:color w:val="000000"/>
          <w:shd w:val="clear" w:color="auto" w:fill="FFFFFF"/>
        </w:rPr>
        <w:t xml:space="preserve"> was developed</w:t>
      </w:r>
      <w:r w:rsidRPr="005003EA">
        <w:rPr>
          <w:color w:val="000000"/>
          <w:shd w:val="clear" w:color="auto" w:fill="FFFFFF"/>
        </w:rPr>
        <w:t xml:space="preserve">, </w:t>
      </w:r>
      <w:r>
        <w:rPr>
          <w:color w:val="000000"/>
          <w:shd w:val="clear" w:color="auto" w:fill="FFFFFF"/>
        </w:rPr>
        <w:t>which describes the program targets for DRM</w:t>
      </w:r>
      <w:r w:rsidRPr="005003EA">
        <w:rPr>
          <w:color w:val="000000"/>
          <w:shd w:val="clear" w:color="auto" w:fill="FFFFFF"/>
        </w:rPr>
        <w:t xml:space="preserve"> institutions, budget, program, </w:t>
      </w:r>
      <w:r>
        <w:rPr>
          <w:color w:val="000000"/>
          <w:shd w:val="clear" w:color="auto" w:fill="FFFFFF"/>
        </w:rPr>
        <w:t xml:space="preserve">and </w:t>
      </w:r>
      <w:r w:rsidRPr="005003EA">
        <w:rPr>
          <w:color w:val="000000"/>
          <w:shd w:val="clear" w:color="auto" w:fill="FFFFFF"/>
        </w:rPr>
        <w:t xml:space="preserve">human resources. </w:t>
      </w:r>
      <w:r w:rsidRPr="005003EA">
        <w:rPr>
          <w:shd w:val="clear" w:color="auto" w:fill="FFFFFF"/>
        </w:rPr>
        <w:t>Commitment and support from political leaders</w:t>
      </w:r>
      <w:r>
        <w:rPr>
          <w:shd w:val="clear" w:color="auto" w:fill="FFFFFF"/>
        </w:rPr>
        <w:t xml:space="preserve"> is crucial to ensure district policies and planning incorporate DRR action</w:t>
      </w:r>
      <w:r w:rsidRPr="005003EA">
        <w:rPr>
          <w:shd w:val="clear" w:color="auto" w:fill="FFFFFF"/>
        </w:rPr>
        <w:t>.</w:t>
      </w:r>
      <w:r>
        <w:rPr>
          <w:shd w:val="clear" w:color="auto" w:fill="FFFFFF"/>
        </w:rPr>
        <w:t xml:space="preserve"> </w:t>
      </w:r>
      <w:r>
        <w:rPr>
          <w:color w:val="000000"/>
          <w:shd w:val="clear" w:color="auto" w:fill="FFFFFF"/>
        </w:rPr>
        <w:t>P</w:t>
      </w:r>
      <w:r w:rsidRPr="005003EA">
        <w:rPr>
          <w:color w:val="000000"/>
          <w:shd w:val="clear" w:color="auto" w:fill="FFFFFF"/>
        </w:rPr>
        <w:t xml:space="preserve">rogram activities include DRR training </w:t>
      </w:r>
      <w:r w:rsidRPr="005003EA">
        <w:rPr>
          <w:shd w:val="clear" w:color="auto" w:fill="FFFFFF"/>
        </w:rPr>
        <w:t>and visit</w:t>
      </w:r>
      <w:r>
        <w:rPr>
          <w:shd w:val="clear" w:color="auto" w:fill="FFFFFF"/>
        </w:rPr>
        <w:t>s for local</w:t>
      </w:r>
      <w:r w:rsidRPr="005003EA">
        <w:rPr>
          <w:shd w:val="clear" w:color="auto" w:fill="FFFFFF"/>
        </w:rPr>
        <w:t xml:space="preserve"> government</w:t>
      </w:r>
      <w:r>
        <w:rPr>
          <w:shd w:val="clear" w:color="auto" w:fill="FFFFFF"/>
        </w:rPr>
        <w:t xml:space="preserve"> officials</w:t>
      </w:r>
      <w:r w:rsidRPr="005003EA">
        <w:rPr>
          <w:shd w:val="clear" w:color="auto" w:fill="FFFFFF"/>
        </w:rPr>
        <w:t>, parliament members and community leaders</w:t>
      </w:r>
      <w:r>
        <w:rPr>
          <w:shd w:val="clear" w:color="auto" w:fill="FFFFFF"/>
        </w:rPr>
        <w:t xml:space="preserve"> to comparable government structures in New Zealand</w:t>
      </w:r>
      <w:r w:rsidRPr="005003EA">
        <w:rPr>
          <w:shd w:val="clear" w:color="auto" w:fill="FFFFFF"/>
        </w:rPr>
        <w:t>.</w:t>
      </w:r>
      <w:r>
        <w:rPr>
          <w:shd w:val="clear" w:color="auto" w:fill="FFFFFF"/>
        </w:rPr>
        <w:t xml:space="preserve"> </w:t>
      </w:r>
      <w:r>
        <w:t>The program aims to benefit</w:t>
      </w:r>
      <w:r w:rsidRPr="005003EA">
        <w:t xml:space="preserve"> a total population of 3.75 million people through its engagement with related government agencies, universities, and private sector organi</w:t>
      </w:r>
      <w:r>
        <w:t>s</w:t>
      </w:r>
      <w:r w:rsidRPr="005003EA">
        <w:t>ations.</w:t>
      </w:r>
      <w:r>
        <w:t xml:space="preserve"> </w:t>
      </w:r>
    </w:p>
    <w:p w14:paraId="22026ADA" w14:textId="6DC983AA" w:rsidR="007D01B9" w:rsidRPr="00D7424F" w:rsidRDefault="007D01B9" w:rsidP="007D01B9">
      <w:pPr>
        <w:rPr>
          <w:b/>
          <w:shd w:val="clear" w:color="auto" w:fill="FFFFFF"/>
        </w:rPr>
      </w:pPr>
      <w:r w:rsidRPr="00D7424F">
        <w:rPr>
          <w:b/>
          <w:shd w:val="clear" w:color="auto" w:fill="FFFFFF"/>
        </w:rPr>
        <w:t xml:space="preserve">TATT (USAID) 2014 – 2018 </w:t>
      </w:r>
    </w:p>
    <w:p w14:paraId="51C9EFF5" w14:textId="77777777" w:rsidR="007D01B9" w:rsidRPr="005003EA" w:rsidRDefault="007D01B9" w:rsidP="007D01B9">
      <w:pPr>
        <w:rPr>
          <w:shd w:val="clear" w:color="auto" w:fill="FFFFFF"/>
        </w:rPr>
      </w:pPr>
      <w:r w:rsidRPr="005003EA">
        <w:rPr>
          <w:shd w:val="clear" w:color="auto" w:fill="FFFFFF"/>
        </w:rPr>
        <w:t>Working in eight provinces of West Sumatra, Central Java, East Java, Southeast Sulawesi, North Maluku, Maluku, West Papua</w:t>
      </w:r>
      <w:r>
        <w:rPr>
          <w:shd w:val="clear" w:color="auto" w:fill="FFFFFF"/>
        </w:rPr>
        <w:t xml:space="preserve"> and Papua, a consortium of actors</w:t>
      </w:r>
      <w:r w:rsidRPr="005003EA">
        <w:rPr>
          <w:shd w:val="clear" w:color="auto" w:fill="FFFFFF"/>
        </w:rPr>
        <w:t xml:space="preserve"> consist</w:t>
      </w:r>
      <w:r>
        <w:rPr>
          <w:shd w:val="clear" w:color="auto" w:fill="FFFFFF"/>
        </w:rPr>
        <w:t>ing</w:t>
      </w:r>
      <w:r w:rsidRPr="005003EA">
        <w:rPr>
          <w:shd w:val="clear" w:color="auto" w:fill="FFFFFF"/>
        </w:rPr>
        <w:t xml:space="preserve"> of Mercy Corps, Arbeiter-Samariter-Bund,</w:t>
      </w:r>
      <w:r w:rsidRPr="005003EA">
        <w:rPr>
          <w:color w:val="333333"/>
          <w:shd w:val="clear" w:color="auto" w:fill="FFFFFF"/>
        </w:rPr>
        <w:t xml:space="preserve"> Lingkar Association, </w:t>
      </w:r>
      <w:r>
        <w:rPr>
          <w:color w:val="333333"/>
          <w:shd w:val="clear" w:color="auto" w:fill="FFFFFF"/>
        </w:rPr>
        <w:t xml:space="preserve">Cardno, and </w:t>
      </w:r>
      <w:r w:rsidRPr="005003EA">
        <w:rPr>
          <w:color w:val="333333"/>
          <w:shd w:val="clear" w:color="auto" w:fill="FFFFFF"/>
        </w:rPr>
        <w:t>Unive</w:t>
      </w:r>
      <w:r>
        <w:rPr>
          <w:color w:val="333333"/>
          <w:shd w:val="clear" w:color="auto" w:fill="FFFFFF"/>
        </w:rPr>
        <w:t>rsity Forum for DRR implements the</w:t>
      </w:r>
      <w:r w:rsidRPr="005003EA">
        <w:rPr>
          <w:color w:val="333333"/>
          <w:shd w:val="clear" w:color="auto" w:fill="FFFFFF"/>
        </w:rPr>
        <w:t xml:space="preserve"> USAID-funded </w:t>
      </w:r>
      <w:r w:rsidRPr="005003EA">
        <w:rPr>
          <w:shd w:val="clear" w:color="auto" w:fill="FFFFFF"/>
        </w:rPr>
        <w:t xml:space="preserve">Technical Assistance and Training Team (TATT) program. </w:t>
      </w:r>
    </w:p>
    <w:p w14:paraId="4B075DC6" w14:textId="77777777" w:rsidR="007D01B9" w:rsidRPr="005003EA" w:rsidRDefault="007D01B9" w:rsidP="007D01B9">
      <w:pPr>
        <w:rPr>
          <w:rFonts w:eastAsia="Times New Roman"/>
        </w:rPr>
      </w:pPr>
      <w:r w:rsidRPr="005003EA">
        <w:rPr>
          <w:shd w:val="clear" w:color="auto" w:fill="FFFFFF"/>
        </w:rPr>
        <w:t xml:space="preserve">With provincial BPBDs as </w:t>
      </w:r>
      <w:r>
        <w:rPr>
          <w:shd w:val="clear" w:color="auto" w:fill="FFFFFF"/>
        </w:rPr>
        <w:t xml:space="preserve">the </w:t>
      </w:r>
      <w:r w:rsidRPr="005003EA">
        <w:rPr>
          <w:shd w:val="clear" w:color="auto" w:fill="FFFFFF"/>
        </w:rPr>
        <w:t xml:space="preserve">main counterpart, </w:t>
      </w:r>
      <w:r>
        <w:rPr>
          <w:shd w:val="clear" w:color="auto" w:fill="FFFFFF"/>
        </w:rPr>
        <w:t xml:space="preserve">the </w:t>
      </w:r>
      <w:r>
        <w:rPr>
          <w:color w:val="333333"/>
          <w:shd w:val="clear" w:color="auto" w:fill="FFFFFF"/>
        </w:rPr>
        <w:t>TATT program aims to increase</w:t>
      </w:r>
      <w:r w:rsidRPr="005003EA">
        <w:rPr>
          <w:color w:val="333333"/>
          <w:shd w:val="clear" w:color="auto" w:fill="FFFFFF"/>
        </w:rPr>
        <w:t xml:space="preserve"> disaster management capa</w:t>
      </w:r>
      <w:r>
        <w:rPr>
          <w:color w:val="333333"/>
          <w:shd w:val="clear" w:color="auto" w:fill="FFFFFF"/>
        </w:rPr>
        <w:t>city</w:t>
      </w:r>
      <w:r w:rsidRPr="005003EA">
        <w:rPr>
          <w:color w:val="333333"/>
          <w:shd w:val="clear" w:color="auto" w:fill="FFFFFF"/>
        </w:rPr>
        <w:t xml:space="preserve"> by</w:t>
      </w:r>
      <w:r>
        <w:rPr>
          <w:shd w:val="clear" w:color="auto" w:fill="FFFFFF"/>
        </w:rPr>
        <w:t xml:space="preserve"> strengthening the BPBD</w:t>
      </w:r>
      <w:r w:rsidRPr="005003EA">
        <w:rPr>
          <w:shd w:val="clear" w:color="auto" w:fill="FFFFFF"/>
        </w:rPr>
        <w:t xml:space="preserve"> coordination role and inclusive DRM services, as well as institutionali</w:t>
      </w:r>
      <w:r>
        <w:rPr>
          <w:shd w:val="clear" w:color="auto" w:fill="FFFFFF"/>
        </w:rPr>
        <w:t>s</w:t>
      </w:r>
      <w:r w:rsidRPr="005003EA">
        <w:rPr>
          <w:shd w:val="clear" w:color="auto" w:fill="FFFFFF"/>
        </w:rPr>
        <w:t xml:space="preserve">ing </w:t>
      </w:r>
      <w:r>
        <w:rPr>
          <w:shd w:val="clear" w:color="auto" w:fill="FFFFFF"/>
        </w:rPr>
        <w:t xml:space="preserve">a </w:t>
      </w:r>
      <w:r w:rsidRPr="005003EA">
        <w:rPr>
          <w:shd w:val="clear" w:color="auto" w:fill="FFFFFF"/>
        </w:rPr>
        <w:t>tra</w:t>
      </w:r>
      <w:r>
        <w:rPr>
          <w:shd w:val="clear" w:color="auto" w:fill="FFFFFF"/>
        </w:rPr>
        <w:t>ining program</w:t>
      </w:r>
      <w:r w:rsidRPr="005003EA">
        <w:rPr>
          <w:shd w:val="clear" w:color="auto" w:fill="FFFFFF"/>
        </w:rPr>
        <w:t>.</w:t>
      </w:r>
    </w:p>
    <w:p w14:paraId="74A5519D" w14:textId="281AD866" w:rsidR="007D01B9" w:rsidRDefault="007D01B9" w:rsidP="007D01B9">
      <w:pPr>
        <w:rPr>
          <w:shd w:val="clear" w:color="auto" w:fill="FFFFFF"/>
        </w:rPr>
      </w:pPr>
      <w:r w:rsidRPr="007454D2">
        <w:rPr>
          <w:shd w:val="clear" w:color="auto" w:fill="FFFFFF"/>
        </w:rPr>
        <w:t>The program is lik</w:t>
      </w:r>
      <w:r>
        <w:rPr>
          <w:shd w:val="clear" w:color="auto" w:fill="FFFFFF"/>
        </w:rPr>
        <w:t xml:space="preserve">ely to be extended and scaled up to </w:t>
      </w:r>
      <w:r w:rsidRPr="007454D2">
        <w:rPr>
          <w:shd w:val="clear" w:color="auto" w:fill="FFFFFF"/>
        </w:rPr>
        <w:t>cover slow onset disa</w:t>
      </w:r>
      <w:r>
        <w:rPr>
          <w:shd w:val="clear" w:color="auto" w:fill="FFFFFF"/>
        </w:rPr>
        <w:t xml:space="preserve">sters and recurrent land fires, </w:t>
      </w:r>
      <w:r w:rsidRPr="007454D2">
        <w:rPr>
          <w:shd w:val="clear" w:color="auto" w:fill="FFFFFF"/>
        </w:rPr>
        <w:t>strengthening linkage</w:t>
      </w:r>
      <w:r>
        <w:rPr>
          <w:shd w:val="clear" w:color="auto" w:fill="FFFFFF"/>
        </w:rPr>
        <w:t>s</w:t>
      </w:r>
      <w:r w:rsidRPr="007454D2">
        <w:rPr>
          <w:shd w:val="clear" w:color="auto" w:fill="FFFFFF"/>
        </w:rPr>
        <w:t xml:space="preserve"> to </w:t>
      </w:r>
      <w:r>
        <w:rPr>
          <w:shd w:val="clear" w:color="auto" w:fill="FFFFFF"/>
        </w:rPr>
        <w:t xml:space="preserve">the </w:t>
      </w:r>
      <w:r w:rsidRPr="004D48CF">
        <w:rPr>
          <w:shd w:val="clear" w:color="auto" w:fill="FFFFFF"/>
        </w:rPr>
        <w:t>US Forest Service-managed Incident Command System program.</w:t>
      </w:r>
    </w:p>
    <w:p w14:paraId="0538E854" w14:textId="7670BB68" w:rsidR="007D01B9" w:rsidRPr="00D7424F" w:rsidRDefault="007D01B9" w:rsidP="007D01B9">
      <w:pPr>
        <w:rPr>
          <w:b/>
          <w:shd w:val="clear" w:color="auto" w:fill="FFFFFF"/>
        </w:rPr>
      </w:pPr>
      <w:r w:rsidRPr="00D7424F">
        <w:rPr>
          <w:b/>
          <w:shd w:val="clear" w:color="auto" w:fill="FFFFFF"/>
        </w:rPr>
        <w:t xml:space="preserve">APIK (USAID) 2015 – 2020 </w:t>
      </w:r>
    </w:p>
    <w:p w14:paraId="73358E64" w14:textId="4C91CEDD" w:rsidR="007D01B9" w:rsidRDefault="007D01B9" w:rsidP="007D01B9">
      <w:pPr>
        <w:rPr>
          <w:shd w:val="clear" w:color="auto" w:fill="FFFFFF"/>
        </w:rPr>
      </w:pPr>
      <w:r w:rsidRPr="005003EA">
        <w:rPr>
          <w:shd w:val="clear" w:color="auto" w:fill="FFFFFF"/>
        </w:rPr>
        <w:t xml:space="preserve">Partnering with the Ministry of Environment and Forestry and BAPPENAS at the national level as well as related offices at sub-national level including BPBDs, </w:t>
      </w:r>
      <w:r>
        <w:rPr>
          <w:shd w:val="clear" w:color="auto" w:fill="FFFFFF"/>
        </w:rPr>
        <w:t>the USAID-funded APIK program (</w:t>
      </w:r>
      <w:r w:rsidRPr="000670A5">
        <w:rPr>
          <w:i/>
          <w:shd w:val="clear" w:color="auto" w:fill="FFFFFF"/>
        </w:rPr>
        <w:t>Adaptasi Perubahan Iklim dan Ketangguhan</w:t>
      </w:r>
      <w:r w:rsidRPr="004D48CF">
        <w:rPr>
          <w:shd w:val="clear" w:color="auto" w:fill="FFFFFF"/>
        </w:rPr>
        <w:t xml:space="preserve"> </w:t>
      </w:r>
      <w:r>
        <w:rPr>
          <w:shd w:val="clear" w:color="auto" w:fill="FFFFFF"/>
        </w:rPr>
        <w:t>or</w:t>
      </w:r>
      <w:r w:rsidRPr="004D48CF">
        <w:rPr>
          <w:shd w:val="clear" w:color="auto" w:fill="FFFFFF"/>
        </w:rPr>
        <w:t xml:space="preserve"> Climate Change Adaptation and Resilience</w:t>
      </w:r>
      <w:r>
        <w:rPr>
          <w:shd w:val="clear" w:color="auto" w:fill="FFFFFF"/>
        </w:rPr>
        <w:t xml:space="preserve">) </w:t>
      </w:r>
      <w:r w:rsidR="00B13708">
        <w:rPr>
          <w:shd w:val="clear" w:color="auto" w:fill="FFFFFF"/>
        </w:rPr>
        <w:t>focuses its work</w:t>
      </w:r>
      <w:r w:rsidRPr="005003EA">
        <w:rPr>
          <w:shd w:val="clear" w:color="auto" w:fill="FFFFFF"/>
        </w:rPr>
        <w:t xml:space="preserve"> </w:t>
      </w:r>
      <w:r>
        <w:rPr>
          <w:shd w:val="clear" w:color="auto" w:fill="FFFFFF"/>
        </w:rPr>
        <w:t>on:</w:t>
      </w:r>
    </w:p>
    <w:p w14:paraId="68A49527" w14:textId="5DD27998" w:rsidR="007D01B9" w:rsidRPr="00D7424F" w:rsidRDefault="007D01B9" w:rsidP="00E50F22">
      <w:pPr>
        <w:pStyle w:val="ListParagraph"/>
        <w:numPr>
          <w:ilvl w:val="0"/>
          <w:numId w:val="3"/>
        </w:numPr>
        <w:rPr>
          <w:shd w:val="clear" w:color="auto" w:fill="FFFFFF"/>
        </w:rPr>
      </w:pPr>
      <w:r w:rsidRPr="00D7424F">
        <w:rPr>
          <w:shd w:val="clear" w:color="auto" w:fill="FFFFFF"/>
        </w:rPr>
        <w:t xml:space="preserve">integration and coordination of Climate Change Adaptation and </w:t>
      </w:r>
      <w:r w:rsidR="00E87519">
        <w:rPr>
          <w:shd w:val="clear" w:color="auto" w:fill="FFFFFF"/>
        </w:rPr>
        <w:t>DRR</w:t>
      </w:r>
      <w:r w:rsidRPr="00D7424F">
        <w:rPr>
          <w:shd w:val="clear" w:color="auto" w:fill="FFFFFF"/>
        </w:rPr>
        <w:t xml:space="preserve"> into policy</w:t>
      </w:r>
    </w:p>
    <w:p w14:paraId="0CFAD8B4" w14:textId="77777777" w:rsidR="007D01B9" w:rsidRPr="00D7424F" w:rsidRDefault="007D01B9" w:rsidP="00E50F22">
      <w:pPr>
        <w:pStyle w:val="ListParagraph"/>
        <w:numPr>
          <w:ilvl w:val="0"/>
          <w:numId w:val="3"/>
        </w:numPr>
        <w:rPr>
          <w:shd w:val="clear" w:color="auto" w:fill="FFFFFF"/>
        </w:rPr>
      </w:pPr>
      <w:r w:rsidRPr="00D7424F">
        <w:rPr>
          <w:shd w:val="clear" w:color="auto" w:fill="FFFFFF"/>
        </w:rPr>
        <w:t>enhancing sub-national government and community resilience to climate change and weather-related disasters</w:t>
      </w:r>
    </w:p>
    <w:p w14:paraId="0E583B93" w14:textId="77777777" w:rsidR="007D01B9" w:rsidRPr="00D7424F" w:rsidRDefault="007D01B9" w:rsidP="00E50F22">
      <w:pPr>
        <w:pStyle w:val="ListParagraph"/>
        <w:numPr>
          <w:ilvl w:val="0"/>
          <w:numId w:val="3"/>
        </w:numPr>
        <w:rPr>
          <w:shd w:val="clear" w:color="auto" w:fill="FFFFFF"/>
        </w:rPr>
      </w:pPr>
      <w:r w:rsidRPr="00D7424F">
        <w:rPr>
          <w:shd w:val="clear" w:color="auto" w:fill="FFFFFF"/>
        </w:rPr>
        <w:t>strengthening climate and weather information services</w:t>
      </w:r>
    </w:p>
    <w:p w14:paraId="69F22322" w14:textId="77777777" w:rsidR="007D01B9" w:rsidRPr="00D7424F" w:rsidRDefault="007D01B9" w:rsidP="00E50F22">
      <w:pPr>
        <w:pStyle w:val="ListParagraph"/>
        <w:numPr>
          <w:ilvl w:val="0"/>
          <w:numId w:val="3"/>
        </w:numPr>
        <w:rPr>
          <w:shd w:val="clear" w:color="auto" w:fill="FFFFFF"/>
        </w:rPr>
      </w:pPr>
      <w:r w:rsidRPr="00D7424F">
        <w:rPr>
          <w:shd w:val="clear" w:color="auto" w:fill="FFFFFF"/>
        </w:rPr>
        <w:t>awareness and capacity development for private sector organi</w:t>
      </w:r>
      <w:r>
        <w:rPr>
          <w:shd w:val="clear" w:color="auto" w:fill="FFFFFF"/>
        </w:rPr>
        <w:t>s</w:t>
      </w:r>
      <w:r w:rsidRPr="00D7424F">
        <w:rPr>
          <w:shd w:val="clear" w:color="auto" w:fill="FFFFFF"/>
        </w:rPr>
        <w:t>ations</w:t>
      </w:r>
    </w:p>
    <w:p w14:paraId="093ABA0E" w14:textId="77777777" w:rsidR="007D01B9" w:rsidRPr="00D7424F" w:rsidRDefault="007D01B9" w:rsidP="00E50F22">
      <w:pPr>
        <w:pStyle w:val="ListParagraph"/>
        <w:numPr>
          <w:ilvl w:val="0"/>
          <w:numId w:val="3"/>
        </w:numPr>
        <w:rPr>
          <w:shd w:val="clear" w:color="auto" w:fill="FFFFFF"/>
        </w:rPr>
      </w:pPr>
      <w:r w:rsidRPr="00D7424F">
        <w:rPr>
          <w:shd w:val="clear" w:color="auto" w:fill="FFFFFF"/>
        </w:rPr>
        <w:t>sharing lessons learned and successful CCA and DRR implementation models with wider stakeholders.</w:t>
      </w:r>
    </w:p>
    <w:p w14:paraId="2D005160" w14:textId="77777777" w:rsidR="007D01B9" w:rsidRDefault="007D01B9" w:rsidP="007D01B9">
      <w:pPr>
        <w:rPr>
          <w:color w:val="000000"/>
          <w:shd w:val="clear" w:color="auto" w:fill="FFFFFF"/>
        </w:rPr>
      </w:pPr>
      <w:r>
        <w:rPr>
          <w:shd w:val="clear" w:color="auto" w:fill="FFFFFF"/>
        </w:rPr>
        <w:t xml:space="preserve">APIK assisted provinces are </w:t>
      </w:r>
      <w:r>
        <w:rPr>
          <w:color w:val="000000"/>
          <w:shd w:val="clear" w:color="auto" w:fill="FFFFFF"/>
        </w:rPr>
        <w:t>East Java, Southeast Sulawesi and Maluku.</w:t>
      </w:r>
    </w:p>
    <w:p w14:paraId="6D4870BA" w14:textId="703200D7" w:rsidR="007D01B9" w:rsidRPr="00D30277" w:rsidRDefault="007D01B9" w:rsidP="007D01B9">
      <w:pPr>
        <w:rPr>
          <w:b/>
          <w:lang w:val="en-US"/>
        </w:rPr>
      </w:pPr>
      <w:r w:rsidRPr="00356A70">
        <w:rPr>
          <w:b/>
          <w:lang w:val="en-US"/>
        </w:rPr>
        <w:t xml:space="preserve">JICA </w:t>
      </w:r>
      <w:r w:rsidRPr="7A45E7D1">
        <w:rPr>
          <w:lang w:val="en-US"/>
        </w:rPr>
        <w:t xml:space="preserve">support to Indonesia is largely channeled through the Ministry of Public Works and BNPB. At the sub-national level, it assists the capacity building of targeted district or municipality BPBDs in collecting disaster information, the preparation of disaster risk mapping, </w:t>
      </w:r>
      <w:r>
        <w:rPr>
          <w:lang w:val="en-US"/>
        </w:rPr>
        <w:t xml:space="preserve">and </w:t>
      </w:r>
      <w:r w:rsidRPr="7A45E7D1">
        <w:rPr>
          <w:lang w:val="en-US"/>
        </w:rPr>
        <w:t>the development of local Disaster Management Plans. The simulation of disaster mana</w:t>
      </w:r>
      <w:r>
        <w:rPr>
          <w:lang w:val="en-US"/>
        </w:rPr>
        <w:t xml:space="preserve">gement is also supported in </w:t>
      </w:r>
      <w:r w:rsidRPr="7A45E7D1">
        <w:rPr>
          <w:lang w:val="en-US"/>
        </w:rPr>
        <w:t>pilot province</w:t>
      </w:r>
      <w:r>
        <w:rPr>
          <w:lang w:val="en-US"/>
        </w:rPr>
        <w:t>s and districts. JICA is</w:t>
      </w:r>
      <w:r w:rsidRPr="7A45E7D1">
        <w:rPr>
          <w:lang w:val="en-US"/>
        </w:rPr>
        <w:t xml:space="preserve"> </w:t>
      </w:r>
      <w:r>
        <w:rPr>
          <w:color w:val="222222"/>
          <w:lang w:val="en-US"/>
        </w:rPr>
        <w:t>currently renewing</w:t>
      </w:r>
      <w:r w:rsidRPr="7A45E7D1">
        <w:rPr>
          <w:color w:val="222222"/>
          <w:lang w:val="en-US"/>
        </w:rPr>
        <w:t xml:space="preserve"> its capacity building project in BNPB</w:t>
      </w:r>
      <w:r w:rsidR="000251BC">
        <w:rPr>
          <w:color w:val="222222"/>
          <w:lang w:val="en-US"/>
        </w:rPr>
        <w:t xml:space="preserve"> and is considering focusing on information management and support to early warning systems</w:t>
      </w:r>
      <w:r w:rsidRPr="7A45E7D1">
        <w:rPr>
          <w:color w:val="222222"/>
          <w:lang w:val="en-US"/>
        </w:rPr>
        <w:t>.</w:t>
      </w:r>
    </w:p>
    <w:p w14:paraId="0F196FB5" w14:textId="6E8F9CF3" w:rsidR="007D01B9" w:rsidRPr="00984077" w:rsidRDefault="007D01B9" w:rsidP="007D01B9">
      <w:r w:rsidRPr="7A45E7D1">
        <w:rPr>
          <w:b/>
          <w:bCs/>
          <w:lang w:val="en-US"/>
        </w:rPr>
        <w:t>WFP</w:t>
      </w:r>
      <w:r w:rsidRPr="7A45E7D1">
        <w:rPr>
          <w:lang w:val="en-US"/>
        </w:rPr>
        <w:t xml:space="preserve"> </w:t>
      </w:r>
      <w:r>
        <w:rPr>
          <w:lang w:val="en-US"/>
        </w:rPr>
        <w:t>supports BNPB to develop</w:t>
      </w:r>
      <w:r w:rsidRPr="7A45E7D1">
        <w:rPr>
          <w:lang w:val="en-US"/>
        </w:rPr>
        <w:t xml:space="preserve"> the National Logistics System on Disaster Management by building on its global humanitarian logistics practices and engaging </w:t>
      </w:r>
      <w:r>
        <w:rPr>
          <w:lang w:val="en-US"/>
        </w:rPr>
        <w:t>the private sector</w:t>
      </w:r>
      <w:r w:rsidRPr="7A45E7D1">
        <w:rPr>
          <w:lang w:val="en-US"/>
        </w:rPr>
        <w:t xml:space="preserve"> and relevant </w:t>
      </w:r>
      <w:r w:rsidR="0094476B">
        <w:rPr>
          <w:lang w:val="en-US"/>
        </w:rPr>
        <w:t>GoI</w:t>
      </w:r>
      <w:r w:rsidRPr="7A45E7D1">
        <w:rPr>
          <w:lang w:val="en-US"/>
        </w:rPr>
        <w:t xml:space="preserve"> institutions. WFP also supports the improvement of </w:t>
      </w:r>
      <w:r w:rsidR="0094476B">
        <w:rPr>
          <w:lang w:val="en-US"/>
        </w:rPr>
        <w:t>GoI</w:t>
      </w:r>
      <w:r w:rsidRPr="7A45E7D1">
        <w:rPr>
          <w:lang w:val="en-US"/>
        </w:rPr>
        <w:t xml:space="preserve"> food security early warning and monitoring systems and nutrition-sensitive social protection program</w:t>
      </w:r>
      <w:r w:rsidR="00D30277">
        <w:rPr>
          <w:lang w:val="en-US"/>
        </w:rPr>
        <w:t>s</w:t>
      </w:r>
      <w:r w:rsidRPr="7A45E7D1">
        <w:rPr>
          <w:lang w:val="en-US"/>
        </w:rPr>
        <w:t>.</w:t>
      </w:r>
    </w:p>
    <w:p w14:paraId="5DDF2807" w14:textId="1685033A" w:rsidR="007D01B9" w:rsidRPr="00984077" w:rsidRDefault="007D01B9" w:rsidP="007D01B9">
      <w:r w:rsidRPr="7A45E7D1">
        <w:rPr>
          <w:b/>
          <w:bCs/>
          <w:lang w:val="en-US"/>
        </w:rPr>
        <w:t>OCHA</w:t>
      </w:r>
      <w:r w:rsidRPr="7A45E7D1">
        <w:rPr>
          <w:lang w:val="en-US"/>
        </w:rPr>
        <w:t xml:space="preserve"> support</w:t>
      </w:r>
      <w:r>
        <w:rPr>
          <w:lang w:val="en-US"/>
        </w:rPr>
        <w:t xml:space="preserve">s </w:t>
      </w:r>
      <w:r w:rsidRPr="7A45E7D1">
        <w:rPr>
          <w:lang w:val="en-US"/>
        </w:rPr>
        <w:t xml:space="preserve">the </w:t>
      </w:r>
      <w:r w:rsidR="0094476B">
        <w:rPr>
          <w:lang w:val="en-US"/>
        </w:rPr>
        <w:t>GoI</w:t>
      </w:r>
      <w:r w:rsidRPr="7A45E7D1">
        <w:rPr>
          <w:lang w:val="en-US"/>
        </w:rPr>
        <w:t xml:space="preserve"> </w:t>
      </w:r>
      <w:r>
        <w:rPr>
          <w:lang w:val="en-US"/>
        </w:rPr>
        <w:t>to enhance</w:t>
      </w:r>
      <w:r w:rsidRPr="7A45E7D1">
        <w:rPr>
          <w:lang w:val="en-US"/>
        </w:rPr>
        <w:t xml:space="preserve"> its coordination structure, including on civil-military coordination. It </w:t>
      </w:r>
      <w:r w:rsidR="00D75F76">
        <w:rPr>
          <w:lang w:val="en-US"/>
        </w:rPr>
        <w:t>convenes</w:t>
      </w:r>
      <w:r w:rsidRPr="7A45E7D1">
        <w:rPr>
          <w:lang w:val="en-US"/>
        </w:rPr>
        <w:t xml:space="preserve"> the Indonesia Humanitari</w:t>
      </w:r>
      <w:r w:rsidR="00D75F76">
        <w:rPr>
          <w:lang w:val="en-US"/>
        </w:rPr>
        <w:t>an Country Team agenda, which aims to maintain preparedness to assist</w:t>
      </w:r>
      <w:r w:rsidRPr="7A45E7D1">
        <w:rPr>
          <w:lang w:val="en-US"/>
        </w:rPr>
        <w:t xml:space="preserve"> disaste</w:t>
      </w:r>
      <w:r>
        <w:rPr>
          <w:lang w:val="en-US"/>
        </w:rPr>
        <w:t>r affected people and support</w:t>
      </w:r>
      <w:r w:rsidRPr="7A45E7D1">
        <w:rPr>
          <w:lang w:val="en-US"/>
        </w:rPr>
        <w:t xml:space="preserve"> the </w:t>
      </w:r>
      <w:r w:rsidR="0094476B">
        <w:rPr>
          <w:lang w:val="en-US"/>
        </w:rPr>
        <w:t>GoI</w:t>
      </w:r>
      <w:r w:rsidRPr="7A45E7D1">
        <w:rPr>
          <w:lang w:val="en-US"/>
        </w:rPr>
        <w:t xml:space="preserve"> </w:t>
      </w:r>
      <w:r>
        <w:rPr>
          <w:lang w:val="en-US"/>
        </w:rPr>
        <w:t>during</w:t>
      </w:r>
      <w:r w:rsidRPr="7A45E7D1">
        <w:rPr>
          <w:lang w:val="en-US"/>
        </w:rPr>
        <w:t xml:space="preserve"> a major humanitarian crisis triggered</w:t>
      </w:r>
      <w:r>
        <w:rPr>
          <w:lang w:val="en-US"/>
        </w:rPr>
        <w:t xml:space="preserve"> by a large-scale disaster</w:t>
      </w:r>
      <w:r w:rsidRPr="7A45E7D1">
        <w:rPr>
          <w:lang w:val="en-US"/>
        </w:rPr>
        <w:t>.</w:t>
      </w:r>
      <w:r w:rsidR="00D75F76">
        <w:rPr>
          <w:lang w:val="en-US"/>
        </w:rPr>
        <w:t xml:space="preserve"> </w:t>
      </w:r>
      <w:r>
        <w:rPr>
          <w:lang w:val="en-US"/>
        </w:rPr>
        <w:t>OCHA</w:t>
      </w:r>
      <w:r w:rsidRPr="7A45E7D1">
        <w:rPr>
          <w:lang w:val="en-US"/>
        </w:rPr>
        <w:t xml:space="preserve"> also support</w:t>
      </w:r>
      <w:r>
        <w:rPr>
          <w:lang w:val="en-US"/>
        </w:rPr>
        <w:t>s</w:t>
      </w:r>
      <w:r w:rsidRPr="7A45E7D1">
        <w:rPr>
          <w:lang w:val="en-US"/>
        </w:rPr>
        <w:t xml:space="preserve"> country and regional disaster response exercises. Together with WFP, IFRC and some other actors, </w:t>
      </w:r>
      <w:r>
        <w:rPr>
          <w:lang w:val="en-US"/>
        </w:rPr>
        <w:t>OCHA</w:t>
      </w:r>
      <w:r w:rsidRPr="7A45E7D1">
        <w:rPr>
          <w:lang w:val="en-US"/>
        </w:rPr>
        <w:t xml:space="preserve"> facilitates </w:t>
      </w:r>
      <w:r>
        <w:rPr>
          <w:lang w:val="en-US"/>
        </w:rPr>
        <w:t>g</w:t>
      </w:r>
      <w:r w:rsidRPr="7A45E7D1">
        <w:rPr>
          <w:lang w:val="en-US"/>
        </w:rPr>
        <w:t xml:space="preserve">overnment work on cash transfer programming, that is co-led by </w:t>
      </w:r>
      <w:r w:rsidR="00127C8F">
        <w:rPr>
          <w:lang w:val="en-US"/>
        </w:rPr>
        <w:t>MoSA</w:t>
      </w:r>
      <w:r w:rsidRPr="7A45E7D1">
        <w:rPr>
          <w:lang w:val="en-US"/>
        </w:rPr>
        <w:t xml:space="preserve"> and BNPB. </w:t>
      </w:r>
    </w:p>
    <w:p w14:paraId="550F7400" w14:textId="17F0DAD9" w:rsidR="007D01B9" w:rsidRPr="00B429CA" w:rsidRDefault="007D01B9" w:rsidP="007D01B9">
      <w:pPr>
        <w:rPr>
          <w:lang w:val="en-US"/>
        </w:rPr>
      </w:pPr>
      <w:r w:rsidRPr="7A45E7D1">
        <w:rPr>
          <w:b/>
          <w:bCs/>
          <w:lang w:val="en-US"/>
        </w:rPr>
        <w:t>UNFPA</w:t>
      </w:r>
      <w:r w:rsidRPr="7A45E7D1">
        <w:rPr>
          <w:lang w:val="en-US"/>
        </w:rPr>
        <w:t xml:space="preserve"> </w:t>
      </w:r>
      <w:r>
        <w:rPr>
          <w:lang w:val="en-US"/>
        </w:rPr>
        <w:t xml:space="preserve">has a humanitarian focus in its programs on gender-based violence, reproductive health, youth and adolescents and population and data </w:t>
      </w:r>
      <w:r w:rsidR="00D75F76">
        <w:rPr>
          <w:lang w:val="en-US"/>
        </w:rPr>
        <w:t>utilization</w:t>
      </w:r>
      <w:r>
        <w:rPr>
          <w:lang w:val="en-US"/>
        </w:rPr>
        <w:t xml:space="preserve">. UNFPA </w:t>
      </w:r>
      <w:r w:rsidRPr="7A45E7D1">
        <w:rPr>
          <w:lang w:val="en-US"/>
        </w:rPr>
        <w:t>assists</w:t>
      </w:r>
      <w:r>
        <w:rPr>
          <w:lang w:val="en-US"/>
        </w:rPr>
        <w:t xml:space="preserve"> the</w:t>
      </w:r>
      <w:r w:rsidRPr="7A45E7D1">
        <w:rPr>
          <w:lang w:val="en-US"/>
        </w:rPr>
        <w:t xml:space="preserve"> </w:t>
      </w:r>
      <w:r w:rsidR="0094476B">
        <w:rPr>
          <w:lang w:val="en-US"/>
        </w:rPr>
        <w:t>GoI</w:t>
      </w:r>
      <w:r w:rsidRPr="7A45E7D1">
        <w:rPr>
          <w:lang w:val="en-US"/>
        </w:rPr>
        <w:t xml:space="preserve"> </w:t>
      </w:r>
      <w:r>
        <w:rPr>
          <w:lang w:val="en-US"/>
        </w:rPr>
        <w:t>to have</w:t>
      </w:r>
      <w:r w:rsidRPr="7A45E7D1">
        <w:rPr>
          <w:lang w:val="en-US"/>
        </w:rPr>
        <w:t xml:space="preserve"> timely and accurate demographic data and information on disaster</w:t>
      </w:r>
      <w:r>
        <w:rPr>
          <w:lang w:val="en-US"/>
        </w:rPr>
        <w:t xml:space="preserve"> management, particularly for</w:t>
      </w:r>
      <w:r w:rsidRPr="7A45E7D1">
        <w:rPr>
          <w:lang w:val="en-US"/>
        </w:rPr>
        <w:t xml:space="preserve"> disaster preparedness and response. It advocates for </w:t>
      </w:r>
      <w:r>
        <w:rPr>
          <w:lang w:val="en-US"/>
        </w:rPr>
        <w:t xml:space="preserve">the </w:t>
      </w:r>
      <w:r w:rsidRPr="7A45E7D1">
        <w:rPr>
          <w:lang w:val="en-US"/>
        </w:rPr>
        <w:t xml:space="preserve">availability </w:t>
      </w:r>
      <w:r>
        <w:rPr>
          <w:lang w:val="en-US"/>
        </w:rPr>
        <w:t xml:space="preserve">and use of </w:t>
      </w:r>
      <w:r w:rsidRPr="7A45E7D1">
        <w:rPr>
          <w:lang w:val="en-US"/>
        </w:rPr>
        <w:t xml:space="preserve">disaggregated data </w:t>
      </w:r>
      <w:r>
        <w:rPr>
          <w:lang w:val="en-US"/>
        </w:rPr>
        <w:t xml:space="preserve">(sex, age and vulnerable groups) </w:t>
      </w:r>
      <w:r w:rsidRPr="7A45E7D1">
        <w:rPr>
          <w:lang w:val="en-US"/>
        </w:rPr>
        <w:t>for good quality needs an</w:t>
      </w:r>
      <w:r>
        <w:rPr>
          <w:lang w:val="en-US"/>
        </w:rPr>
        <w:t>alysis and response planning. UNFPA</w:t>
      </w:r>
      <w:r w:rsidRPr="7A45E7D1">
        <w:rPr>
          <w:lang w:val="en-US"/>
        </w:rPr>
        <w:t xml:space="preserve"> </w:t>
      </w:r>
      <w:r>
        <w:rPr>
          <w:lang w:val="en-US"/>
        </w:rPr>
        <w:t xml:space="preserve">promotes </w:t>
      </w:r>
      <w:r w:rsidRPr="7A45E7D1">
        <w:rPr>
          <w:lang w:val="en-US"/>
        </w:rPr>
        <w:t>robust cooperation between BNPB and BPS (</w:t>
      </w:r>
      <w:r w:rsidRPr="7A45E7D1">
        <w:rPr>
          <w:color w:val="222222"/>
          <w:lang w:val="en-US"/>
        </w:rPr>
        <w:t xml:space="preserve">Central Agency on Statistics) </w:t>
      </w:r>
      <w:r w:rsidRPr="7A45E7D1">
        <w:rPr>
          <w:lang w:val="en-US"/>
        </w:rPr>
        <w:t>on disaster-related data.</w:t>
      </w:r>
      <w:r>
        <w:rPr>
          <w:lang w:val="en-US"/>
        </w:rPr>
        <w:t xml:space="preserve"> UNFPA is active in the Gender and Protection and Health Taskforces, including policy and SOP development and training at national and sub-national levels, and supporting implementation of SOPs during disaster responses</w:t>
      </w:r>
      <w:r>
        <w:rPr>
          <w:rStyle w:val="FootnoteReference"/>
          <w:lang w:val="en-US"/>
        </w:rPr>
        <w:footnoteReference w:id="31"/>
      </w:r>
      <w:r>
        <w:rPr>
          <w:lang w:val="en-US"/>
        </w:rPr>
        <w:t>.</w:t>
      </w:r>
    </w:p>
    <w:p w14:paraId="172F979F" w14:textId="77777777" w:rsidR="007D01B9" w:rsidRPr="002D42C2" w:rsidRDefault="007D01B9" w:rsidP="00AA6E68">
      <w:pPr>
        <w:pStyle w:val="Heading3"/>
      </w:pPr>
      <w:bookmarkStart w:id="26" w:name="_Toc525550766"/>
      <w:r w:rsidRPr="002D42C2">
        <w:t>Strategic Setting and Rationale for Australian/DFAT Engagement</w:t>
      </w:r>
      <w:bookmarkEnd w:id="26"/>
    </w:p>
    <w:p w14:paraId="17D872B9" w14:textId="515E839F" w:rsidR="007D01B9" w:rsidRDefault="007D01B9" w:rsidP="007D01B9">
      <w:r>
        <w:t xml:space="preserve">The Australian Foreign Policy White Paper </w:t>
      </w:r>
      <w:r w:rsidR="00F05CE4">
        <w:t xml:space="preserve">(the White Paper) </w:t>
      </w:r>
      <w:r>
        <w:t>identifies partnerships with Indo-Pacific democracies including Indonesia as of “first order importance to Australia, as major bilateral partners in their own right and as countries that will influence the shape of the regional order”.</w:t>
      </w:r>
      <w:r>
        <w:rPr>
          <w:rStyle w:val="FootnoteReference"/>
          <w:rFonts w:asciiTheme="majorHAnsi" w:hAnsiTheme="majorHAnsi"/>
        </w:rPr>
        <w:footnoteReference w:id="32"/>
      </w:r>
      <w:r>
        <w:t xml:space="preserve"> The White Paper acknowledges that Indonesia is a leader in the region, including through ASEAN</w:t>
      </w:r>
      <w:r w:rsidR="00BB4DD9">
        <w:t>,</w:t>
      </w:r>
      <w:r>
        <w:t xml:space="preserve"> as a G20 member</w:t>
      </w:r>
      <w:r w:rsidR="00BB4DD9">
        <w:t>, and</w:t>
      </w:r>
      <w:r>
        <w:t xml:space="preserve"> </w:t>
      </w:r>
      <w:r w:rsidR="001D29FD">
        <w:t xml:space="preserve">is </w:t>
      </w:r>
      <w:r>
        <w:t xml:space="preserve">the world’s largest Muslim </w:t>
      </w:r>
      <w:r w:rsidR="001D29FD">
        <w:t>majority country</w:t>
      </w:r>
      <w:r>
        <w:t>. Australia works with Indonesia</w:t>
      </w:r>
      <w:r w:rsidR="00F44715">
        <w:t xml:space="preserve"> to support and protect a rules</w:t>
      </w:r>
      <w:r w:rsidR="001D29FD">
        <w:noBreakHyphen/>
      </w:r>
      <w:r>
        <w:t xml:space="preserve">based regional order. </w:t>
      </w:r>
      <w:r w:rsidR="008C1DF0">
        <w:t xml:space="preserve">The White Paper also highlights </w:t>
      </w:r>
      <w:r w:rsidR="001B16A2">
        <w:t>Australia’s commitment to boosting resilience to natural disasters through the aid program.</w:t>
      </w:r>
      <w:r w:rsidR="001B16A2">
        <w:rPr>
          <w:rStyle w:val="FootnoteReference"/>
        </w:rPr>
        <w:footnoteReference w:id="33"/>
      </w:r>
    </w:p>
    <w:p w14:paraId="693C1A6E" w14:textId="0B583B3F" w:rsidR="00BB4DD9" w:rsidRDefault="007D01B9" w:rsidP="007D01B9">
      <w:r>
        <w:t xml:space="preserve">Indonesia’s economic prosperity and stability is important to Australia, and through development assistance Australia is committed to Indonesia’s efforts to tackle inequality and maintain stability. The Indonesian Government has acknowledged the risk to economic independence and stability created by natural hazards, and accordingly prioritised </w:t>
      </w:r>
      <w:r w:rsidR="00BB4DD9">
        <w:t xml:space="preserve">and mainstreamed </w:t>
      </w:r>
      <w:r>
        <w:t>DRM in</w:t>
      </w:r>
      <w:r w:rsidR="00BB4DD9">
        <w:t>to</w:t>
      </w:r>
      <w:r>
        <w:t xml:space="preserve"> national </w:t>
      </w:r>
      <w:r w:rsidRPr="00143E7C">
        <w:t xml:space="preserve">planning. </w:t>
      </w:r>
    </w:p>
    <w:p w14:paraId="65B5F361" w14:textId="3E06744A" w:rsidR="007D01B9" w:rsidRDefault="007D01B9" w:rsidP="007D01B9">
      <w:r>
        <w:t xml:space="preserve">Strengthening </w:t>
      </w:r>
      <w:r w:rsidR="00E87519">
        <w:t>DRR</w:t>
      </w:r>
      <w:r>
        <w:t xml:space="preserve"> and supporting preparedness and response are two of the four priorities articulated in the Australian Government Humanitarian Strategy (2016). The strategy also emphasises the importance of addressing gender equality, disability inclusion and protection, which have been neglected in the global humanitarian system and require greater efforts in Indonesia. </w:t>
      </w:r>
    </w:p>
    <w:p w14:paraId="7A318620" w14:textId="58F38285" w:rsidR="002E460E" w:rsidRDefault="007D01B9" w:rsidP="002E460E">
      <w:r w:rsidRPr="00143E7C">
        <w:t>Improvements in Indonesia’s preparedness and response capability for disasters promotes Australia’s national interest through helping to safeguard Indonesia’s economic growth and stability, and protecting Australia’s other economic, social and development investments.</w:t>
      </w:r>
      <w:r w:rsidR="002E460E" w:rsidRPr="002E460E">
        <w:t xml:space="preserve"> </w:t>
      </w:r>
      <w:r w:rsidR="002E460E">
        <w:t xml:space="preserve">Under the Comprehensive Strategic Partnership between Australia and Indonesia (2018), Australia and Indonesia have committed to increase readiness to assist following a natural disaster; and to strengthen collaboration in responding to humanitarian crises in our region. </w:t>
      </w:r>
    </w:p>
    <w:p w14:paraId="569B5417" w14:textId="63B879DC" w:rsidR="007D01B9" w:rsidRPr="006F0434" w:rsidRDefault="007D01B9" w:rsidP="007D01B9">
      <w:r>
        <w:t xml:space="preserve">Australia continues to be a trusted partner during humanitarian crises, able in recent times to provide assistance through local </w:t>
      </w:r>
      <w:r w:rsidR="006F0F84">
        <w:t xml:space="preserve">CSOs </w:t>
      </w:r>
      <w:r>
        <w:t xml:space="preserve">and the </w:t>
      </w:r>
      <w:r w:rsidR="001D29FD">
        <w:t>Indonesian</w:t>
      </w:r>
      <w:r>
        <w:t xml:space="preserve"> Red Cross</w:t>
      </w:r>
      <w:r w:rsidR="001303B2">
        <w:t>, as well as through provision of direct support coordinated by the Australian Embassy in Jakarta</w:t>
      </w:r>
      <w:r w:rsidR="00311479">
        <w:t xml:space="preserve"> as occurred during Central Sulawesi earthquake and tsunami</w:t>
      </w:r>
      <w:r>
        <w:t xml:space="preserve">. </w:t>
      </w:r>
      <w:r w:rsidR="006F0F84" w:rsidRPr="006F0F84">
        <w:t xml:space="preserve">Australia </w:t>
      </w:r>
      <w:r w:rsidR="00A11DD6">
        <w:t xml:space="preserve">and Indonesia </w:t>
      </w:r>
      <w:r w:rsidR="006F0F84" w:rsidRPr="006F0F84">
        <w:t>ha</w:t>
      </w:r>
      <w:r w:rsidR="00A11DD6">
        <w:t>ve</w:t>
      </w:r>
      <w:r w:rsidR="006F0F84" w:rsidRPr="006F0F84">
        <w:t xml:space="preserve"> a history of providing support</w:t>
      </w:r>
      <w:r w:rsidR="00A11DD6">
        <w:t xml:space="preserve"> to each other</w:t>
      </w:r>
      <w:r w:rsidR="006F0F84" w:rsidRPr="006F0F84">
        <w:t xml:space="preserve"> when it is most needed. Australia’s DRM program provides the knowledge and relationships that enable Australia to respond </w:t>
      </w:r>
      <w:r w:rsidR="00A11DD6">
        <w:t xml:space="preserve">effectively </w:t>
      </w:r>
      <w:r w:rsidR="006F0F84" w:rsidRPr="006F0F84">
        <w:t xml:space="preserve">in times of need.  </w:t>
      </w:r>
    </w:p>
    <w:p w14:paraId="2706F2AE" w14:textId="77777777" w:rsidR="006D1E04" w:rsidRDefault="006D1E04" w:rsidP="006D1E04">
      <w:r>
        <w:t xml:space="preserve">This investment also proposes a partnership with Indonesia for joint humanitarian cooperation in the region, a relationship which recognises the value and skills of each of the partners and maps out an approach to working together to build regional humanitarian capacity. This represents a distinct shift in Australia’s relationship with Indonesia, with clear recognition of Indonesia’s growing influence and leadership in the region. Valuable relationships can be created, deepened and strengthened through this regional humanitarian work. </w:t>
      </w:r>
    </w:p>
    <w:p w14:paraId="1FF5DD89" w14:textId="5785B556" w:rsidR="007D01B9" w:rsidRPr="006F0434" w:rsidRDefault="00274E08" w:rsidP="007D01B9">
      <w:r w:rsidRPr="009D53C6">
        <w:t>T</w:t>
      </w:r>
      <w:r>
        <w:t>he</w:t>
      </w:r>
      <w:r w:rsidRPr="00EA741B">
        <w:t xml:space="preserve"> </w:t>
      </w:r>
      <w:r w:rsidRPr="00274E08">
        <w:t>Australia – Indonesia Partnership in Disaster Risk Management</w:t>
      </w:r>
      <w:r>
        <w:rPr>
          <w:i/>
        </w:rPr>
        <w:t xml:space="preserve"> </w:t>
      </w:r>
      <w:r w:rsidRPr="007C7BBD">
        <w:t>(AIP-DRM)</w:t>
      </w:r>
      <w:r>
        <w:rPr>
          <w:i/>
        </w:rPr>
        <w:t xml:space="preserve"> </w:t>
      </w:r>
      <w:r w:rsidRPr="009D53C6">
        <w:t xml:space="preserve">is focused on bringing about development outcomes </w:t>
      </w:r>
      <w:r>
        <w:t xml:space="preserve">which improve Indonesia’s DRM capacity, by working across the DRM ecosystem. </w:t>
      </w:r>
      <w:r w:rsidR="007D01B9">
        <w:t xml:space="preserve">Australia has the ability and relationships to work across the DRM </w:t>
      </w:r>
      <w:r w:rsidR="0054680F">
        <w:t>eco</w:t>
      </w:r>
      <w:r w:rsidR="007D01B9">
        <w:t>system: at regional, national and sub-national levels</w:t>
      </w:r>
      <w:r w:rsidR="0054680F">
        <w:t xml:space="preserve"> and with government, civil society, think tanks, media and other non-state actors</w:t>
      </w:r>
      <w:r w:rsidR="007D01B9">
        <w:t xml:space="preserve">. Working in this way can also manage risks at national level, while ensuring the investment delivers meaningful change to communities and builds </w:t>
      </w:r>
      <w:r w:rsidR="0094476B">
        <w:t>GoI</w:t>
      </w:r>
      <w:r w:rsidR="007D01B9">
        <w:t>-GoA relationships.</w:t>
      </w:r>
    </w:p>
    <w:p w14:paraId="364088D1" w14:textId="11E3881B" w:rsidR="007D01B9" w:rsidRPr="00F44715" w:rsidRDefault="00274E08" w:rsidP="007D01B9">
      <w:pPr>
        <w:rPr>
          <w:i/>
        </w:rPr>
      </w:pPr>
      <w:r>
        <w:t xml:space="preserve">A program of long-term assistance has the opportunity to identify and pursue opportunities for reform. </w:t>
      </w:r>
      <w:r w:rsidR="007D01B9">
        <w:t>Th</w:t>
      </w:r>
      <w:r w:rsidR="00B020A3">
        <w:t>is</w:t>
      </w:r>
      <w:r w:rsidR="007D01B9">
        <w:t xml:space="preserve"> investment builds on the strong </w:t>
      </w:r>
      <w:r>
        <w:t xml:space="preserve">and long-term </w:t>
      </w:r>
      <w:r w:rsidR="007D01B9">
        <w:t xml:space="preserve">partnership with BNPB and will build on past achievements by strengthening the implementation of policies and regulations, the use of DRM tools and by addressing constraints to effective DRM planning and response in Indonesia. </w:t>
      </w:r>
      <w:r>
        <w:t>Australia will support Indonesia’s increased capacity, with an effective DRM system engaging all levels of government and civil society.</w:t>
      </w:r>
      <w:r w:rsidRPr="00671961">
        <w:t xml:space="preserve"> </w:t>
      </w:r>
      <w:r w:rsidR="007D01B9">
        <w:t xml:space="preserve">It will support strong collaboration </w:t>
      </w:r>
      <w:r w:rsidR="00BB4DD9">
        <w:t xml:space="preserve">between BNPB and </w:t>
      </w:r>
      <w:r w:rsidR="007D01B9">
        <w:t xml:space="preserve">other government Ministries and civil society organisations, think tanks, the private sector and other donors. </w:t>
      </w:r>
    </w:p>
    <w:p w14:paraId="3CE720AB" w14:textId="5FC2D1F0" w:rsidR="007D01B9" w:rsidRPr="00A205F1" w:rsidRDefault="007D01B9" w:rsidP="007D01B9">
      <w:r>
        <w:t>Alongside this</w:t>
      </w:r>
      <w:r w:rsidR="00B020A3">
        <w:t>,</w:t>
      </w:r>
      <w:r>
        <w:t xml:space="preserve"> the program builds on Indonesia’s growing capacity and recognition as a regional leader, by developing an active partnership to share knowledge and operational experience to respond to regional </w:t>
      </w:r>
      <w:r w:rsidR="00671961">
        <w:t xml:space="preserve">humanitarian </w:t>
      </w:r>
      <w:r>
        <w:t xml:space="preserve">crises. The burden of regional humanitarian response can also be shared. </w:t>
      </w:r>
    </w:p>
    <w:p w14:paraId="09DD2534" w14:textId="3BCA50E7" w:rsidR="007D01B9" w:rsidRPr="00570D14" w:rsidRDefault="007D01B9" w:rsidP="007D01B9">
      <w:r w:rsidRPr="00363297">
        <w:t>The logic of this program has been built around</w:t>
      </w:r>
      <w:r w:rsidRPr="003E3E0A">
        <w:t xml:space="preserve"> supporting</w:t>
      </w:r>
      <w:r>
        <w:t xml:space="preserve"> the </w:t>
      </w:r>
      <w:r w:rsidR="0054680F">
        <w:t xml:space="preserve">DRM ecosystem where </w:t>
      </w:r>
      <w:r w:rsidR="0094476B">
        <w:t>GoI</w:t>
      </w:r>
      <w:r w:rsidR="005033E8">
        <w:t xml:space="preserve">, </w:t>
      </w:r>
      <w:r w:rsidR="00620DBA">
        <w:t>CSOs</w:t>
      </w:r>
      <w:r w:rsidR="006A57F8">
        <w:t>, private sector</w:t>
      </w:r>
      <w:r w:rsidR="00620DBA">
        <w:t xml:space="preserve"> </w:t>
      </w:r>
      <w:r w:rsidR="005033E8">
        <w:t xml:space="preserve">and international partners </w:t>
      </w:r>
      <w:r w:rsidR="0054680F">
        <w:t xml:space="preserve">coordinate to </w:t>
      </w:r>
      <w:r w:rsidRPr="003E3E0A">
        <w:t>deliver on their DRM priorities</w:t>
      </w:r>
      <w:r w:rsidR="0054680F">
        <w:t xml:space="preserve">. </w:t>
      </w:r>
      <w:r w:rsidR="006A57F8">
        <w:t xml:space="preserve">This </w:t>
      </w:r>
      <w:r w:rsidR="0054680F">
        <w:t xml:space="preserve">logic </w:t>
      </w:r>
      <w:r>
        <w:t>facilitat</w:t>
      </w:r>
      <w:r w:rsidR="0054680F">
        <w:t>es</w:t>
      </w:r>
      <w:r>
        <w:t xml:space="preserve"> Australia-Indonesia links, knowledge sharing and exchange at </w:t>
      </w:r>
      <w:r w:rsidR="00620DBA">
        <w:t xml:space="preserve">the </w:t>
      </w:r>
      <w:r>
        <w:t>operational level for regional humanitarian action. Through the program it is expected</w:t>
      </w:r>
      <w:r w:rsidRPr="0070443E">
        <w:rPr>
          <w:iCs/>
        </w:rPr>
        <w:t xml:space="preserve"> Australia will be</w:t>
      </w:r>
      <w:r>
        <w:rPr>
          <w:iCs/>
        </w:rPr>
        <w:t xml:space="preserve"> </w:t>
      </w:r>
      <w:r w:rsidRPr="0070443E">
        <w:rPr>
          <w:iCs/>
        </w:rPr>
        <w:t xml:space="preserve">well positioned to support </w:t>
      </w:r>
      <w:r w:rsidR="006D1E04">
        <w:rPr>
          <w:iCs/>
        </w:rPr>
        <w:t xml:space="preserve">Indonesia </w:t>
      </w:r>
      <w:r w:rsidRPr="0070443E">
        <w:rPr>
          <w:iCs/>
        </w:rPr>
        <w:t xml:space="preserve">during a </w:t>
      </w:r>
      <w:r w:rsidR="006A57F8">
        <w:rPr>
          <w:iCs/>
        </w:rPr>
        <w:t xml:space="preserve">medium or </w:t>
      </w:r>
      <w:r w:rsidR="000F0305">
        <w:rPr>
          <w:iCs/>
        </w:rPr>
        <w:t>large</w:t>
      </w:r>
      <w:r>
        <w:rPr>
          <w:iCs/>
        </w:rPr>
        <w:t xml:space="preserve"> </w:t>
      </w:r>
      <w:r w:rsidR="006A57F8">
        <w:rPr>
          <w:iCs/>
        </w:rPr>
        <w:t xml:space="preserve">scale </w:t>
      </w:r>
      <w:r w:rsidRPr="0070443E">
        <w:rPr>
          <w:iCs/>
        </w:rPr>
        <w:t xml:space="preserve">disaster. The </w:t>
      </w:r>
      <w:r>
        <w:rPr>
          <w:iCs/>
        </w:rPr>
        <w:t>investment will provide</w:t>
      </w:r>
      <w:r w:rsidRPr="0070443E">
        <w:rPr>
          <w:iCs/>
        </w:rPr>
        <w:t xml:space="preserve"> the knowledge and relationships that enable</w:t>
      </w:r>
      <w:r>
        <w:rPr>
          <w:iCs/>
        </w:rPr>
        <w:t>s</w:t>
      </w:r>
      <w:r w:rsidRPr="0070443E">
        <w:rPr>
          <w:iCs/>
        </w:rPr>
        <w:t xml:space="preserve"> Australia to respond</w:t>
      </w:r>
      <w:r>
        <w:rPr>
          <w:iCs/>
        </w:rPr>
        <w:t xml:space="preserve"> effectively</w:t>
      </w:r>
      <w:r w:rsidRPr="0070443E">
        <w:rPr>
          <w:iCs/>
        </w:rPr>
        <w:t xml:space="preserve"> in times of need.</w:t>
      </w:r>
    </w:p>
    <w:p w14:paraId="1A6498A0" w14:textId="77777777" w:rsidR="007D01B9" w:rsidRPr="0072601F" w:rsidRDefault="007D01B9" w:rsidP="00AA6E68">
      <w:pPr>
        <w:pStyle w:val="Heading3"/>
      </w:pPr>
      <w:bookmarkStart w:id="27" w:name="_Toc525550767"/>
      <w:r w:rsidRPr="0072601F">
        <w:t>Innovation and Private Sector Engagement</w:t>
      </w:r>
      <w:bookmarkEnd w:id="27"/>
    </w:p>
    <w:p w14:paraId="513AE538" w14:textId="5BF7DCF7" w:rsidR="0029382B" w:rsidRDefault="0029382B" w:rsidP="007C7BBD">
      <w:pPr>
        <w:pStyle w:val="Heading4"/>
      </w:pPr>
      <w:r>
        <w:t>Innovation</w:t>
      </w:r>
    </w:p>
    <w:p w14:paraId="203FEBD2" w14:textId="7BA54F03" w:rsidR="007D01B9" w:rsidRDefault="007D01B9" w:rsidP="007D01B9">
      <w:r>
        <w:t xml:space="preserve">The investment presents an innovative approach to partnership, one of equal partners working together on regional humanitarian issues. This engagement </w:t>
      </w:r>
      <w:r w:rsidR="00BB4DD9">
        <w:t xml:space="preserve">(pillar 3 refers) </w:t>
      </w:r>
      <w:r>
        <w:t xml:space="preserve">is directly with Indonesia’s </w:t>
      </w:r>
      <w:r w:rsidR="00BB4DD9">
        <w:t>MoFA, in consultation with BNPB,</w:t>
      </w:r>
      <w:r>
        <w:t xml:space="preserve"> and will assist them to systematically draw on expertise and resources amongst Indonesian </w:t>
      </w:r>
      <w:r w:rsidR="00033DFD">
        <w:t>CSOs</w:t>
      </w:r>
      <w:r w:rsidR="00CF41D9">
        <w:t>, PMI</w:t>
      </w:r>
      <w:r w:rsidR="00033DFD">
        <w:t xml:space="preserve"> </w:t>
      </w:r>
      <w:r>
        <w:t xml:space="preserve">and government disaster authorities. </w:t>
      </w:r>
    </w:p>
    <w:p w14:paraId="4F46ABE2" w14:textId="0E334477" w:rsidR="007D01B9" w:rsidRDefault="007D01B9" w:rsidP="007D01B9">
      <w:r>
        <w:t xml:space="preserve">In its domestic focus the investment adopts multiple modalities, in recognition of the range of institutions that have to be engaged </w:t>
      </w:r>
      <w:r w:rsidR="0011378A">
        <w:t xml:space="preserve">to support the further steps required for development of an </w:t>
      </w:r>
      <w:r>
        <w:t>effective DRM</w:t>
      </w:r>
      <w:r w:rsidR="007C75CA">
        <w:t xml:space="preserve"> ecosystem</w:t>
      </w:r>
      <w:r>
        <w:t xml:space="preserve">. This approach also provides flexibility to scale up or scale back assistance, based on commitment and progress in </w:t>
      </w:r>
      <w:r w:rsidR="00CF41D9">
        <w:t xml:space="preserve">a particular </w:t>
      </w:r>
      <w:r>
        <w:t>organisation. The multiple partnerships will allow Australia to e</w:t>
      </w:r>
      <w:r w:rsidR="007C75CA">
        <w:t>ngage at all levels of the DRM eco system</w:t>
      </w:r>
      <w:r>
        <w:t xml:space="preserve"> and recognises that institutional reform is not just about </w:t>
      </w:r>
      <w:r w:rsidR="00293E60">
        <w:t xml:space="preserve">agency </w:t>
      </w:r>
      <w:r>
        <w:t xml:space="preserve">internal operations but can </w:t>
      </w:r>
      <w:r w:rsidR="0011378A">
        <w:t xml:space="preserve">influence and </w:t>
      </w:r>
      <w:r>
        <w:t>be influenced by oth</w:t>
      </w:r>
      <w:r w:rsidR="007C75CA">
        <w:t>er parts of the eco</w:t>
      </w:r>
      <w:r>
        <w:t xml:space="preserve">system. </w:t>
      </w:r>
    </w:p>
    <w:p w14:paraId="653CD9B6" w14:textId="1617CBA9" w:rsidR="007D01B9" w:rsidRDefault="007D01B9" w:rsidP="007D01B9">
      <w:r>
        <w:t xml:space="preserve">The investment is designed to support </w:t>
      </w:r>
      <w:r w:rsidR="00BF21F6">
        <w:t>adaptive programming</w:t>
      </w:r>
      <w:r>
        <w:t>, with close political attention to opportunities for reform, building on good practice and sharing experiences across organisation</w:t>
      </w:r>
      <w:r w:rsidR="00293E60">
        <w:t>s</w:t>
      </w:r>
      <w:r>
        <w:t xml:space="preserve"> silos. </w:t>
      </w:r>
    </w:p>
    <w:p w14:paraId="22CB5211" w14:textId="6A050EF9" w:rsidR="0029382B" w:rsidRDefault="0029382B" w:rsidP="007C7BBD">
      <w:pPr>
        <w:pStyle w:val="Heading4"/>
      </w:pPr>
      <w:r>
        <w:t>Private Sector</w:t>
      </w:r>
    </w:p>
    <w:p w14:paraId="240FA503" w14:textId="7E1B35F6" w:rsidR="00BB4DD9" w:rsidRDefault="00F14F0B" w:rsidP="00F14F0B">
      <w:r>
        <w:t xml:space="preserve">There is increasing global recognition of the important role the private sector </w:t>
      </w:r>
      <w:r w:rsidR="0011378A">
        <w:t xml:space="preserve">is playing </w:t>
      </w:r>
      <w:r>
        <w:t>in responding to disasters, supporting recovery and also reducing risk and preparing for disasters. Indonesia has a growing private sector fuelling economic development</w:t>
      </w:r>
      <w:r w:rsidR="00AD10A2">
        <w:t xml:space="preserve">, and the </w:t>
      </w:r>
      <w:r w:rsidR="00AD10A2" w:rsidRPr="007C7BBD">
        <w:t xml:space="preserve">role of private sector is clearly stipulated in the Disaster Management Law </w:t>
      </w:r>
      <w:r w:rsidR="00BB4DD9">
        <w:t>N</w:t>
      </w:r>
      <w:r w:rsidR="00AD10A2" w:rsidRPr="007C7BBD">
        <w:t xml:space="preserve">o. 24 / 2007. </w:t>
      </w:r>
      <w:r>
        <w:t>The private sector has been an important responder to disasters, providing supplies, equipment, volunteers and logistics support. This has been largely done in a voluntary capacity</w:t>
      </w:r>
      <w:r w:rsidR="00424CD6">
        <w:t xml:space="preserve"> as shown during Lombok and Central Sulawesi </w:t>
      </w:r>
      <w:r w:rsidR="000F0305">
        <w:t>crises in 2018</w:t>
      </w:r>
      <w:r>
        <w:t>. There are also examples of businesses engaging in specific programs, including through agreements with NGOs. The private sector is a long-standing contractor providing logistics, goods and supplies to GoI, UN and other responders during a disaster</w:t>
      </w:r>
      <w:r>
        <w:rPr>
          <w:rStyle w:val="FootnoteReference"/>
        </w:rPr>
        <w:footnoteReference w:id="34"/>
      </w:r>
      <w:r>
        <w:t xml:space="preserve">. Some new forms of engagement are being explored by GoI </w:t>
      </w:r>
      <w:r w:rsidR="0011378A">
        <w:t xml:space="preserve">and other stakeholders </w:t>
      </w:r>
      <w:r>
        <w:t xml:space="preserve">including </w:t>
      </w:r>
      <w:r w:rsidR="00EA01F3">
        <w:t xml:space="preserve">disaster risk management and financing, as discussed during IMF – WB Annual Meeting in Bali this year, </w:t>
      </w:r>
      <w:r>
        <w:t>and cash transfer mechanisms</w:t>
      </w:r>
      <w:r>
        <w:rPr>
          <w:rStyle w:val="FootnoteReference"/>
        </w:rPr>
        <w:footnoteReference w:id="35"/>
      </w:r>
      <w:r>
        <w:t xml:space="preserve">.  </w:t>
      </w:r>
      <w:r w:rsidR="00F64DC8" w:rsidRPr="007C7BBD">
        <w:t xml:space="preserve">In the case of forest fire, BNPB has benefitted from private sector services through long-term agreements. </w:t>
      </w:r>
    </w:p>
    <w:p w14:paraId="74E891C8" w14:textId="51AB91B0" w:rsidR="00EA01F3" w:rsidRDefault="00F14F0B" w:rsidP="00F14F0B">
      <w:r>
        <w:t xml:space="preserve">Through </w:t>
      </w:r>
      <w:r w:rsidR="000A558D">
        <w:t>AIFDR</w:t>
      </w:r>
      <w:r w:rsidR="00EA01F3">
        <w:t>,</w:t>
      </w:r>
      <w:r w:rsidR="000A558D">
        <w:t xml:space="preserve"> </w:t>
      </w:r>
      <w:r>
        <w:t>BNPB</w:t>
      </w:r>
      <w:r w:rsidRPr="007C7BBD">
        <w:t xml:space="preserve"> pilot</w:t>
      </w:r>
      <w:r>
        <w:t>ed</w:t>
      </w:r>
      <w:r w:rsidRPr="007C7BBD">
        <w:t xml:space="preserve"> some private sector engagement through Public, Private &amp; People Partnership (P4). </w:t>
      </w:r>
      <w:r w:rsidR="000A558D">
        <w:t>These focused on the</w:t>
      </w:r>
      <w:r w:rsidRPr="007C7BBD">
        <w:t xml:space="preserve"> inclusion of private sector </w:t>
      </w:r>
      <w:r w:rsidR="000A558D">
        <w:t xml:space="preserve">organisations </w:t>
      </w:r>
      <w:r w:rsidRPr="007C7BBD">
        <w:t xml:space="preserve">into </w:t>
      </w:r>
      <w:r w:rsidR="000A558D" w:rsidRPr="000A558D">
        <w:t>local DRR platforms</w:t>
      </w:r>
      <w:r w:rsidR="000A558D">
        <w:t>, for example in South Sulawesi local media company</w:t>
      </w:r>
      <w:r w:rsidR="000A558D" w:rsidRPr="000A558D">
        <w:t xml:space="preserve"> engagement with the DRR </w:t>
      </w:r>
      <w:r w:rsidR="000A558D">
        <w:t>p</w:t>
      </w:r>
      <w:r w:rsidRPr="007C7BBD">
        <w:t xml:space="preserve">latform was particularly high. </w:t>
      </w:r>
      <w:r w:rsidR="00AD10A2" w:rsidRPr="007C7BBD">
        <w:t xml:space="preserve">In Jakarta, the DRR forum attracts </w:t>
      </w:r>
      <w:r w:rsidR="0011378A">
        <w:t xml:space="preserve">the </w:t>
      </w:r>
      <w:r w:rsidR="00AD10A2" w:rsidRPr="007C7BBD">
        <w:t>private sector to engage in disaster related campaigns, such as disaster education and clean water.</w:t>
      </w:r>
      <w:r w:rsidR="00AD10A2">
        <w:rPr>
          <w:rFonts w:ascii="AdvOT8cb2ddbd" w:eastAsia="Times New Roman" w:hAnsi="AdvOT8cb2ddbd" w:cs="Times New Roman"/>
          <w:sz w:val="18"/>
          <w:szCs w:val="18"/>
        </w:rPr>
        <w:t xml:space="preserve"> </w:t>
      </w:r>
      <w:r w:rsidRPr="007C7BBD">
        <w:t xml:space="preserve">AIFDR </w:t>
      </w:r>
      <w:r w:rsidR="000A558D">
        <w:t>also</w:t>
      </w:r>
      <w:r w:rsidRPr="007C7BBD">
        <w:t xml:space="preserve"> contributed to BNPB</w:t>
      </w:r>
      <w:r w:rsidR="00AD10A2">
        <w:t>’</w:t>
      </w:r>
      <w:r w:rsidRPr="007C7BBD">
        <w:t xml:space="preserve">s development of policy that promotes private sector engagement and development of </w:t>
      </w:r>
      <w:r w:rsidR="000A558D">
        <w:t xml:space="preserve">a </w:t>
      </w:r>
      <w:r w:rsidRPr="007C7BBD">
        <w:t xml:space="preserve">private sector directory. BNPB has </w:t>
      </w:r>
      <w:r w:rsidR="0059348E">
        <w:t>increased cooperation</w:t>
      </w:r>
      <w:r w:rsidR="000A558D">
        <w:t xml:space="preserve"> with</w:t>
      </w:r>
      <w:r w:rsidR="0059348E" w:rsidRPr="0059348E">
        <w:t xml:space="preserve"> private sector</w:t>
      </w:r>
      <w:r w:rsidRPr="007C7BBD">
        <w:t xml:space="preserve"> </w:t>
      </w:r>
      <w:r w:rsidR="000A558D">
        <w:t xml:space="preserve">organisations </w:t>
      </w:r>
      <w:r w:rsidRPr="007C7BBD">
        <w:t>at national level through signing of MoU</w:t>
      </w:r>
      <w:r w:rsidR="000A558D">
        <w:t xml:space="preserve">s with these organisations. </w:t>
      </w:r>
      <w:r w:rsidRPr="007C7BBD">
        <w:t xml:space="preserve"> BNPB </w:t>
      </w:r>
      <w:r w:rsidR="000A558D">
        <w:t xml:space="preserve">also </w:t>
      </w:r>
      <w:r w:rsidRPr="007C7BBD">
        <w:t>has a dedicate</w:t>
      </w:r>
      <w:r w:rsidR="000A558D">
        <w:t>d</w:t>
      </w:r>
      <w:r w:rsidRPr="007C7BBD">
        <w:t xml:space="preserve"> desk responsible for private sector engagement. </w:t>
      </w:r>
      <w:r w:rsidR="0059348E">
        <w:t>Despite BNPB efforts</w:t>
      </w:r>
      <w:r w:rsidR="00EA01F3">
        <w:t>,</w:t>
      </w:r>
      <w:r w:rsidR="0059348E">
        <w:t xml:space="preserve"> coordination of the private sector during a response remains a challenge, as noted recently i</w:t>
      </w:r>
      <w:r w:rsidR="000F0305">
        <w:t xml:space="preserve">n Pidie Jaya, </w:t>
      </w:r>
      <w:r w:rsidR="0059348E">
        <w:t>Bali</w:t>
      </w:r>
      <w:r w:rsidR="000F0305">
        <w:t xml:space="preserve">, </w:t>
      </w:r>
      <w:r w:rsidR="00EA01F3">
        <w:t>Lombok and Central Sulawesi</w:t>
      </w:r>
      <w:r w:rsidR="0059348E">
        <w:t xml:space="preserve">. </w:t>
      </w:r>
    </w:p>
    <w:p w14:paraId="7A0BBC29" w14:textId="317BC95C" w:rsidR="00F14F0B" w:rsidRDefault="00F14F0B" w:rsidP="00F14F0B">
      <w:r w:rsidRPr="007C7BBD">
        <w:t xml:space="preserve">There are two </w:t>
      </w:r>
      <w:r w:rsidR="0059348E">
        <w:t xml:space="preserve">other </w:t>
      </w:r>
      <w:r w:rsidR="000A558D">
        <w:t>areas that require strengthening</w:t>
      </w:r>
      <w:r w:rsidRPr="007C7BBD">
        <w:t>. First, there is lack of information on private sector</w:t>
      </w:r>
      <w:r w:rsidR="000A558D">
        <w:t>’s</w:t>
      </w:r>
      <w:r w:rsidRPr="007C7BBD">
        <w:t xml:space="preserve"> real contribution to DRR beyond philanthropy support after disasters.  Second, there is also lack of documented cases o</w:t>
      </w:r>
      <w:r w:rsidR="00EE72CC">
        <w:t>n</w:t>
      </w:r>
      <w:r w:rsidRPr="007C7BBD">
        <w:t xml:space="preserve"> private sector </w:t>
      </w:r>
      <w:r w:rsidR="00EE72CC">
        <w:t>contribution to DRR beyond the</w:t>
      </w:r>
      <w:r w:rsidRPr="007C7BBD">
        <w:t xml:space="preserve"> utilisation of assets after disasters at local level. </w:t>
      </w:r>
    </w:p>
    <w:p w14:paraId="561DC0D2" w14:textId="08E0C3F3" w:rsidR="00F14F0B" w:rsidRDefault="007D01B9" w:rsidP="00F14F0B">
      <w:r>
        <w:t>The investment includes support for DR</w:t>
      </w:r>
      <w:r w:rsidR="00EE72CC">
        <w:t>R</w:t>
      </w:r>
      <w:r>
        <w:t xml:space="preserve"> platforms at sub-national and national levels, which provide opportunities for cross fertilisation and learning between CSOs, the private sector, government and development partners. There is potential for </w:t>
      </w:r>
      <w:r w:rsidR="0011378A">
        <w:t xml:space="preserve">the </w:t>
      </w:r>
      <w:r>
        <w:t>private sector to play a greater role in DRR for example through infrastructure and planning process</w:t>
      </w:r>
      <w:r w:rsidR="007C75CA">
        <w:t>es</w:t>
      </w:r>
      <w:r>
        <w:t xml:space="preserve">. </w:t>
      </w:r>
    </w:p>
    <w:tbl>
      <w:tblPr>
        <w:tblW w:w="9809"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09"/>
      </w:tblGrid>
      <w:tr w:rsidR="007D01B9" w:rsidRPr="0072601F" w14:paraId="041D99A9" w14:textId="77777777" w:rsidTr="00D73D06">
        <w:trPr>
          <w:trHeight w:val="360"/>
          <w:tblHeader/>
        </w:trPr>
        <w:tc>
          <w:tcPr>
            <w:tcW w:w="9809" w:type="dxa"/>
            <w:shd w:val="clear" w:color="auto" w:fill="B4C6E7" w:themeFill="accent1" w:themeFillTint="66"/>
          </w:tcPr>
          <w:p w14:paraId="2559E11B" w14:textId="52C726D5" w:rsidR="007D01B9" w:rsidRPr="00D73D06" w:rsidRDefault="006E3D3D" w:rsidP="00D73D06">
            <w:pPr>
              <w:pStyle w:val="Heading2"/>
            </w:pPr>
            <w:bookmarkStart w:id="28" w:name="_Toc514853175"/>
            <w:bookmarkStart w:id="29" w:name="_Toc525550768"/>
            <w:r>
              <w:t xml:space="preserve">D:  </w:t>
            </w:r>
            <w:r w:rsidR="007D01B9" w:rsidRPr="00D73D06">
              <w:t>Investment Description</w:t>
            </w:r>
            <w:bookmarkEnd w:id="28"/>
            <w:bookmarkEnd w:id="29"/>
          </w:p>
        </w:tc>
      </w:tr>
    </w:tbl>
    <w:p w14:paraId="59062C54" w14:textId="2DBB5955" w:rsidR="007D01B9" w:rsidRPr="004C4903" w:rsidRDefault="007D01B9" w:rsidP="007D01B9">
      <w:pPr>
        <w:rPr>
          <w:rFonts w:cstheme="minorHAnsi"/>
        </w:rPr>
      </w:pPr>
      <w:r w:rsidRPr="009A6B17">
        <w:t xml:space="preserve">This section describes the </w:t>
      </w:r>
      <w:r w:rsidR="00E87519">
        <w:t>AIP-DRM</w:t>
      </w:r>
      <w:r w:rsidRPr="009A6B17">
        <w:t xml:space="preserve"> and covers</w:t>
      </w:r>
      <w:r w:rsidRPr="004C4903">
        <w:rPr>
          <w:rFonts w:cstheme="minorHAnsi"/>
        </w:rPr>
        <w:t xml:space="preserve"> the</w:t>
      </w:r>
      <w:r w:rsidR="00BB4DD9">
        <w:rPr>
          <w:rFonts w:cstheme="minorHAnsi"/>
        </w:rPr>
        <w:t xml:space="preserve"> </w:t>
      </w:r>
      <w:r w:rsidR="00B61972">
        <w:rPr>
          <w:rFonts w:cstheme="minorHAnsi"/>
        </w:rPr>
        <w:t>following</w:t>
      </w:r>
      <w:r w:rsidRPr="004C4903">
        <w:rPr>
          <w:rFonts w:cstheme="minorHAnsi"/>
        </w:rPr>
        <w:t xml:space="preserve">: </w:t>
      </w:r>
    </w:p>
    <w:p w14:paraId="5CDF8095" w14:textId="5D75C7F0" w:rsidR="007D01B9" w:rsidRPr="004C4903" w:rsidRDefault="007D01B9" w:rsidP="00E50F22">
      <w:pPr>
        <w:pStyle w:val="ListParagraph"/>
        <w:numPr>
          <w:ilvl w:val="0"/>
          <w:numId w:val="5"/>
        </w:numPr>
      </w:pPr>
      <w:r>
        <w:t xml:space="preserve">Program </w:t>
      </w:r>
      <w:r w:rsidRPr="004C4903">
        <w:t>goal</w:t>
      </w:r>
      <w:r>
        <w:t xml:space="preserve"> and </w:t>
      </w:r>
      <w:r w:rsidRPr="004C4903">
        <w:t>outcomes</w:t>
      </w:r>
      <w:r w:rsidR="006A6E7A">
        <w:t xml:space="preserve"> (pillars)</w:t>
      </w:r>
      <w:r w:rsidRPr="004C4903">
        <w:t xml:space="preserve"> </w:t>
      </w:r>
    </w:p>
    <w:p w14:paraId="0554CDD1" w14:textId="3C95B35A" w:rsidR="007D01B9" w:rsidRPr="004C4903" w:rsidRDefault="007D01B9" w:rsidP="00E50F22">
      <w:pPr>
        <w:pStyle w:val="ListParagraph"/>
        <w:numPr>
          <w:ilvl w:val="0"/>
          <w:numId w:val="5"/>
        </w:numPr>
      </w:pPr>
      <w:r>
        <w:t>Program logic</w:t>
      </w:r>
      <w:r w:rsidR="005C3CB1">
        <w:t>,</w:t>
      </w:r>
      <w:r w:rsidRPr="004C4903">
        <w:t xml:space="preserve"> </w:t>
      </w:r>
      <w:r>
        <w:t>scope</w:t>
      </w:r>
      <w:r w:rsidR="005C3CB1">
        <w:t xml:space="preserve"> and </w:t>
      </w:r>
      <w:r>
        <w:t xml:space="preserve">change pathways </w:t>
      </w:r>
      <w:r w:rsidRPr="004C4903">
        <w:t xml:space="preserve">for achieving the outcomes </w:t>
      </w:r>
    </w:p>
    <w:p w14:paraId="21687DCE" w14:textId="77777777" w:rsidR="007D01B9" w:rsidRDefault="007D01B9" w:rsidP="00E50F22">
      <w:pPr>
        <w:pStyle w:val="ListParagraph"/>
        <w:numPr>
          <w:ilvl w:val="0"/>
          <w:numId w:val="5"/>
        </w:numPr>
      </w:pPr>
      <w:r>
        <w:t>K</w:t>
      </w:r>
      <w:r w:rsidRPr="004C4903">
        <w:t>ey assumptions</w:t>
      </w:r>
      <w:r>
        <w:t xml:space="preserve"> underpinning the program logic</w:t>
      </w:r>
    </w:p>
    <w:p w14:paraId="40AF0820" w14:textId="77777777" w:rsidR="007D01B9" w:rsidRDefault="007D01B9" w:rsidP="00E50F22">
      <w:pPr>
        <w:pStyle w:val="ListParagraph"/>
        <w:numPr>
          <w:ilvl w:val="0"/>
          <w:numId w:val="5"/>
        </w:numPr>
      </w:pPr>
      <w:r>
        <w:t>Delivery approach for the program</w:t>
      </w:r>
    </w:p>
    <w:p w14:paraId="15D7879F" w14:textId="77777777" w:rsidR="007D01B9" w:rsidRDefault="007D01B9" w:rsidP="00E50F22">
      <w:pPr>
        <w:pStyle w:val="ListParagraph"/>
        <w:numPr>
          <w:ilvl w:val="0"/>
          <w:numId w:val="5"/>
        </w:numPr>
      </w:pPr>
      <w:r>
        <w:t>Resources required for the program</w:t>
      </w:r>
    </w:p>
    <w:p w14:paraId="64D836D5" w14:textId="77777777" w:rsidR="007D01B9" w:rsidRPr="00363297" w:rsidRDefault="007D01B9" w:rsidP="00AA6E68">
      <w:pPr>
        <w:pStyle w:val="Heading3"/>
      </w:pPr>
      <w:bookmarkStart w:id="30" w:name="_Toc525550769"/>
      <w:r w:rsidRPr="00363297">
        <w:t>P</w:t>
      </w:r>
      <w:r>
        <w:t>rogram goal and</w:t>
      </w:r>
      <w:r w:rsidRPr="00363297">
        <w:t xml:space="preserve"> outcomes</w:t>
      </w:r>
      <w:bookmarkEnd w:id="30"/>
      <w:r w:rsidRPr="00363297">
        <w:t xml:space="preserve"> </w:t>
      </w:r>
    </w:p>
    <w:p w14:paraId="55BC871C" w14:textId="77777777" w:rsidR="007D01B9" w:rsidRPr="0017314D" w:rsidRDefault="007D01B9" w:rsidP="007D01B9">
      <w:pPr>
        <w:rPr>
          <w:rFonts w:cstheme="minorHAnsi"/>
        </w:rPr>
      </w:pPr>
      <w:r w:rsidRPr="0017314D">
        <w:rPr>
          <w:rFonts w:cstheme="minorHAnsi"/>
        </w:rPr>
        <w:t xml:space="preserve">The overarching goal that the investment will contribute to is: </w:t>
      </w:r>
    </w:p>
    <w:p w14:paraId="3C980F12" w14:textId="16922F75" w:rsidR="007D01B9" w:rsidRPr="00453009" w:rsidRDefault="007D01B9" w:rsidP="007D01B9">
      <w:pPr>
        <w:ind w:left="720"/>
      </w:pPr>
      <w:r>
        <w:t>To s</w:t>
      </w:r>
      <w:r w:rsidRPr="0017314D">
        <w:t xml:space="preserve">trengthen </w:t>
      </w:r>
      <w:r w:rsidR="00FD3910" w:rsidRPr="0017314D">
        <w:t xml:space="preserve">Indonesia’s management of disaster risk </w:t>
      </w:r>
      <w:r w:rsidR="00FD3910">
        <w:t xml:space="preserve">and </w:t>
      </w:r>
      <w:r w:rsidRPr="0017314D">
        <w:t>engagement between Australia and Indonesia.</w:t>
      </w:r>
    </w:p>
    <w:p w14:paraId="14658C48" w14:textId="35D678F6" w:rsidR="00FD3910" w:rsidRDefault="007D01B9" w:rsidP="007D01B9">
      <w:pPr>
        <w:rPr>
          <w:rFonts w:cstheme="minorHAnsi"/>
        </w:rPr>
      </w:pPr>
      <w:r w:rsidRPr="00453009">
        <w:rPr>
          <w:rFonts w:cstheme="minorHAnsi"/>
        </w:rPr>
        <w:t>The investment has</w:t>
      </w:r>
      <w:r>
        <w:rPr>
          <w:rFonts w:cstheme="minorHAnsi"/>
        </w:rPr>
        <w:t xml:space="preserve"> </w:t>
      </w:r>
      <w:r w:rsidR="00FD3910">
        <w:rPr>
          <w:rFonts w:cstheme="minorHAnsi"/>
        </w:rPr>
        <w:t xml:space="preserve">a: </w:t>
      </w:r>
    </w:p>
    <w:p w14:paraId="2CD386F1" w14:textId="0EB4484F" w:rsidR="00FD3910" w:rsidRDefault="00FD3910" w:rsidP="00E50F22">
      <w:pPr>
        <w:pStyle w:val="ListParagraph"/>
        <w:numPr>
          <w:ilvl w:val="0"/>
          <w:numId w:val="30"/>
        </w:numPr>
        <w:rPr>
          <w:rFonts w:cstheme="minorHAnsi"/>
        </w:rPr>
      </w:pPr>
      <w:r w:rsidRPr="00FD3910">
        <w:rPr>
          <w:rFonts w:cstheme="minorHAnsi"/>
        </w:rPr>
        <w:t>domestic focus on improving Indonesia’s ability to prevent, prepare for, respond to and recover from rapid and slow onset disasters in Indonesia</w:t>
      </w:r>
      <w:r>
        <w:rPr>
          <w:rFonts w:cstheme="minorHAnsi"/>
        </w:rPr>
        <w:t>; and</w:t>
      </w:r>
    </w:p>
    <w:p w14:paraId="4195A2D0" w14:textId="18B015C9" w:rsidR="00FD3910" w:rsidRDefault="007D01B9" w:rsidP="00E50F22">
      <w:pPr>
        <w:pStyle w:val="ListParagraph"/>
        <w:numPr>
          <w:ilvl w:val="0"/>
          <w:numId w:val="30"/>
        </w:numPr>
        <w:rPr>
          <w:rFonts w:cstheme="minorHAnsi"/>
        </w:rPr>
      </w:pPr>
      <w:r w:rsidRPr="00FD3910">
        <w:rPr>
          <w:rFonts w:cstheme="minorHAnsi"/>
        </w:rPr>
        <w:t>regional focus</w:t>
      </w:r>
      <w:r w:rsidR="00FD3910">
        <w:rPr>
          <w:rFonts w:cstheme="minorHAnsi"/>
        </w:rPr>
        <w:t xml:space="preserve"> </w:t>
      </w:r>
      <w:r w:rsidRPr="00FD3910">
        <w:rPr>
          <w:rFonts w:cstheme="minorHAnsi"/>
        </w:rPr>
        <w:t xml:space="preserve">to strengthen </w:t>
      </w:r>
      <w:r w:rsidR="007824B5" w:rsidRPr="00FD3910">
        <w:rPr>
          <w:rFonts w:cstheme="minorHAnsi"/>
        </w:rPr>
        <w:t>cooperation</w:t>
      </w:r>
      <w:r w:rsidR="007824B5">
        <w:rPr>
          <w:rFonts w:cstheme="minorHAnsi"/>
        </w:rPr>
        <w:t xml:space="preserve"> between</w:t>
      </w:r>
      <w:r w:rsidR="007824B5" w:rsidRPr="00FD3910">
        <w:rPr>
          <w:rFonts w:cstheme="minorHAnsi"/>
        </w:rPr>
        <w:t xml:space="preserve"> </w:t>
      </w:r>
      <w:r w:rsidRPr="00FD3910">
        <w:rPr>
          <w:rFonts w:cstheme="minorHAnsi"/>
        </w:rPr>
        <w:t xml:space="preserve">Australia </w:t>
      </w:r>
      <w:r w:rsidR="00FD3910">
        <w:rPr>
          <w:rFonts w:cstheme="minorHAnsi"/>
        </w:rPr>
        <w:t xml:space="preserve">and </w:t>
      </w:r>
      <w:r w:rsidRPr="00FD3910">
        <w:rPr>
          <w:rFonts w:cstheme="minorHAnsi"/>
        </w:rPr>
        <w:t>Indonesia on regional humanitarian issues</w:t>
      </w:r>
      <w:r w:rsidR="00FD3910">
        <w:rPr>
          <w:rFonts w:cstheme="minorHAnsi"/>
        </w:rPr>
        <w:t xml:space="preserve">. </w:t>
      </w:r>
      <w:r w:rsidRPr="00FD3910">
        <w:rPr>
          <w:rFonts w:cstheme="minorHAnsi"/>
        </w:rPr>
        <w:t xml:space="preserve"> </w:t>
      </w:r>
    </w:p>
    <w:p w14:paraId="2F072558" w14:textId="74797957" w:rsidR="00BB4DD9" w:rsidRDefault="00BB4DD9" w:rsidP="00BB4DD9">
      <w:r>
        <w:t xml:space="preserve">The investment </w:t>
      </w:r>
      <w:r w:rsidR="00D93008">
        <w:t xml:space="preserve">supports Australia and Indonesia’s Comprehensive Strategic Partnership and </w:t>
      </w:r>
      <w:r>
        <w:t>responds directly to Sendai Framework Priority 2 (strengthening disaster risk governance to manage disaster risk) and Priority 4 (</w:t>
      </w:r>
      <w:r w:rsidRPr="003D5569">
        <w:rPr>
          <w:bCs/>
          <w:lang w:val="en-AU"/>
        </w:rPr>
        <w:t>Enhancing disaster preparedness for effective response</w:t>
      </w:r>
      <w:r>
        <w:t>). After five years successful change would include the following end of program outcomes (EOPOs):</w:t>
      </w:r>
    </w:p>
    <w:p w14:paraId="403068AD" w14:textId="71767202" w:rsidR="00BB4DD9" w:rsidRDefault="00BB4DD9" w:rsidP="00E50F22">
      <w:pPr>
        <w:pStyle w:val="ListParagraph"/>
        <w:numPr>
          <w:ilvl w:val="0"/>
          <w:numId w:val="25"/>
        </w:numPr>
      </w:pPr>
      <w:r>
        <w:t>BNPB</w:t>
      </w:r>
      <w:r w:rsidR="003B12FC">
        <w:t>’</w:t>
      </w:r>
      <w:r>
        <w:t xml:space="preserve">s organisational systems are strengthened resulting in better </w:t>
      </w:r>
      <w:r w:rsidR="00FD3910">
        <w:t xml:space="preserve">domestic </w:t>
      </w:r>
      <w:r>
        <w:t>leadership of DRM.</w:t>
      </w:r>
    </w:p>
    <w:p w14:paraId="1C2C882C" w14:textId="409C59F2" w:rsidR="00BB4DD9" w:rsidRDefault="00A40599" w:rsidP="00E50F22">
      <w:pPr>
        <w:pStyle w:val="ListParagraph"/>
        <w:numPr>
          <w:ilvl w:val="0"/>
          <w:numId w:val="25"/>
        </w:numPr>
      </w:pPr>
      <w:r>
        <w:t>Target p</w:t>
      </w:r>
      <w:r w:rsidR="00BB4DD9">
        <w:t>rovinces, districts and villages are better able to prepare for, prevent, respond to and recover from disasters.</w:t>
      </w:r>
    </w:p>
    <w:p w14:paraId="7370B2DC" w14:textId="7FCFB054" w:rsidR="00BB4DD9" w:rsidRDefault="00BB4DD9" w:rsidP="00E50F22">
      <w:pPr>
        <w:pStyle w:val="ListParagraph"/>
        <w:numPr>
          <w:ilvl w:val="0"/>
          <w:numId w:val="25"/>
        </w:numPr>
      </w:pPr>
      <w:r>
        <w:t xml:space="preserve">Strengthened cooperation between Australia and Indonesia on regional humanitarian </w:t>
      </w:r>
      <w:r w:rsidR="00185A4F" w:rsidRPr="00185A4F">
        <w:t>preparedness and response</w:t>
      </w:r>
      <w:r w:rsidRPr="00185A4F">
        <w:t>.</w:t>
      </w:r>
    </w:p>
    <w:p w14:paraId="458A8893" w14:textId="172798AB" w:rsidR="00BB4DD9" w:rsidRPr="004918D3" w:rsidRDefault="00BB4DD9" w:rsidP="00E50F22">
      <w:pPr>
        <w:pStyle w:val="ListParagraph"/>
        <w:numPr>
          <w:ilvl w:val="0"/>
          <w:numId w:val="25"/>
        </w:numPr>
      </w:pPr>
      <w:r>
        <w:t xml:space="preserve">Strengthened learning, innovation, cooperation and inclusion for </w:t>
      </w:r>
      <w:r w:rsidR="001C3EDE">
        <w:t>DRM</w:t>
      </w:r>
      <w:r>
        <w:t>.</w:t>
      </w:r>
    </w:p>
    <w:p w14:paraId="2ED5A946" w14:textId="07469BE5" w:rsidR="00BB4DD9" w:rsidRDefault="007D01B9" w:rsidP="007D01B9">
      <w:r>
        <w:t>In order to a</w:t>
      </w:r>
      <w:r w:rsidRPr="0092675F">
        <w:t>chieve</w:t>
      </w:r>
      <w:r>
        <w:t xml:space="preserve"> the goal, </w:t>
      </w:r>
      <w:r w:rsidRPr="0092675F">
        <w:t>the ongoing commitment and</w:t>
      </w:r>
      <w:r>
        <w:t xml:space="preserve"> engagement of </w:t>
      </w:r>
      <w:r w:rsidR="0094476B">
        <w:t>GoI</w:t>
      </w:r>
      <w:r>
        <w:t xml:space="preserve"> is necessary</w:t>
      </w:r>
      <w:r w:rsidR="00BB4DD9">
        <w:t xml:space="preserve"> and this will be maintained and strengthened through continued discussion and engagement with all relevant stakeholders, both government and non-government players</w:t>
      </w:r>
      <w:r>
        <w:t xml:space="preserve">. The investment provides catalytic support for implementing the </w:t>
      </w:r>
      <w:r w:rsidR="0094476B">
        <w:t>GoI</w:t>
      </w:r>
      <w:r>
        <w:t xml:space="preserve">’s DRM and regional humanitarian policies. A partnership approach to delivery </w:t>
      </w:r>
      <w:r w:rsidR="00492675">
        <w:t xml:space="preserve">and the recruited team to deliver the set approach </w:t>
      </w:r>
      <w:r>
        <w:t xml:space="preserve">will be critical to ensure the program continues to </w:t>
      </w:r>
      <w:r w:rsidR="00492675">
        <w:t xml:space="preserve">get the buy in from both GOA and GOI and to </w:t>
      </w:r>
      <w:r>
        <w:t xml:space="preserve">address </w:t>
      </w:r>
      <w:r w:rsidR="00492675">
        <w:t xml:space="preserve">GOA and GOI </w:t>
      </w:r>
      <w:r>
        <w:t xml:space="preserve">priorities. </w:t>
      </w:r>
    </w:p>
    <w:p w14:paraId="4350FCD2" w14:textId="5749AB3D" w:rsidR="007D01B9" w:rsidRPr="00224204" w:rsidRDefault="007D01B9" w:rsidP="007D01B9">
      <w:r>
        <w:t xml:space="preserve">This design has been developed in collaboration with participating government ministries (BNPB, Bappenas, </w:t>
      </w:r>
      <w:r w:rsidR="0094476B">
        <w:t>MoFA</w:t>
      </w:r>
      <w:r>
        <w:t xml:space="preserve"> and </w:t>
      </w:r>
      <w:r w:rsidR="0094476B">
        <w:t>MoHA</w:t>
      </w:r>
      <w:r>
        <w:t xml:space="preserve">) through a program logic workshop and consultations before, during and after the design mission. </w:t>
      </w:r>
      <w:r w:rsidRPr="004965D3">
        <w:t xml:space="preserve">Additional </w:t>
      </w:r>
      <w:r w:rsidR="00FC612D">
        <w:t xml:space="preserve">focus on </w:t>
      </w:r>
      <w:r w:rsidRPr="004965D3">
        <w:t xml:space="preserve">partnership </w:t>
      </w:r>
      <w:r w:rsidR="00FC612D">
        <w:t xml:space="preserve">development </w:t>
      </w:r>
      <w:r w:rsidRPr="004965D3">
        <w:t xml:space="preserve">will be carried out in the first 12 months of implementation to ensure investment activities are formulated alongside the specific </w:t>
      </w:r>
      <w:r w:rsidR="0094476B">
        <w:t>GoI</w:t>
      </w:r>
      <w:r w:rsidRPr="00204D00">
        <w:t xml:space="preserve"> ministries priorities, </w:t>
      </w:r>
      <w:r w:rsidRPr="00912B06">
        <w:t>implementation plans and timeframes</w:t>
      </w:r>
      <w:r w:rsidRPr="004965D3">
        <w:t>.</w:t>
      </w:r>
      <w:r>
        <w:t xml:space="preserve"> </w:t>
      </w:r>
      <w:r w:rsidR="00492675">
        <w:t>Similar method and approach will be used at provincial and district levels.</w:t>
      </w:r>
    </w:p>
    <w:p w14:paraId="23AF9EBE" w14:textId="1A44277B" w:rsidR="007D01B9" w:rsidRDefault="007D01B9" w:rsidP="007D01B9">
      <w:pPr>
        <w:rPr>
          <w:iCs/>
        </w:rPr>
      </w:pPr>
      <w:r w:rsidRPr="009F50F4">
        <w:rPr>
          <w:iCs/>
        </w:rPr>
        <w:t>Figur</w:t>
      </w:r>
      <w:r w:rsidR="00AA6E68">
        <w:rPr>
          <w:iCs/>
        </w:rPr>
        <w:t>e 2</w:t>
      </w:r>
      <w:r w:rsidRPr="009F50F4">
        <w:rPr>
          <w:iCs/>
        </w:rPr>
        <w:t xml:space="preserve"> below presents the</w:t>
      </w:r>
      <w:r w:rsidRPr="00363297">
        <w:rPr>
          <w:iCs/>
        </w:rPr>
        <w:t xml:space="preserve"> overarching goal that the investment will contribute to</w:t>
      </w:r>
      <w:r>
        <w:rPr>
          <w:iCs/>
        </w:rPr>
        <w:t>, end-of-program outcomes</w:t>
      </w:r>
      <w:r w:rsidRPr="001B3643">
        <w:t xml:space="preserve"> </w:t>
      </w:r>
      <w:r>
        <w:rPr>
          <w:iCs/>
        </w:rPr>
        <w:t>along with examples of the changes expected in these outcome areas at national and sub-national levels.</w:t>
      </w:r>
      <w:r w:rsidR="002166F7">
        <w:rPr>
          <w:iCs/>
        </w:rPr>
        <w:t xml:space="preserve"> </w:t>
      </w:r>
      <w:r>
        <w:rPr>
          <w:iCs/>
        </w:rPr>
        <w:t>Outcome 4 is an enabling outcome that underpins and supports the other three outcomes.</w:t>
      </w:r>
    </w:p>
    <w:p w14:paraId="2369AEC0" w14:textId="77777777" w:rsidR="007D01B9" w:rsidRPr="00F810C4" w:rsidRDefault="007D01B9" w:rsidP="007D01B9">
      <w:pPr>
        <w:rPr>
          <w:rFonts w:cstheme="minorHAnsi"/>
          <w:iCs/>
          <w:color w:val="000000"/>
        </w:rPr>
        <w:sectPr w:rsidR="007D01B9" w:rsidRPr="00F810C4" w:rsidSect="00D36C90">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567" w:left="1440" w:header="708" w:footer="708" w:gutter="0"/>
          <w:cols w:space="708"/>
          <w:titlePg/>
          <w:docGrid w:linePitch="360"/>
        </w:sectPr>
      </w:pPr>
      <w:r>
        <w:rPr>
          <w:rFonts w:cstheme="minorHAnsi"/>
          <w:iCs/>
        </w:rPr>
        <w:br w:type="page"/>
      </w:r>
    </w:p>
    <w:p w14:paraId="6DE8BAA6" w14:textId="2CA2E927" w:rsidR="003E76EF" w:rsidRDefault="00AA6E68" w:rsidP="007D01B9">
      <w:pPr>
        <w:pStyle w:val="Default"/>
        <w:spacing w:after="29"/>
        <w:rPr>
          <w:rFonts w:ascii="Calibri" w:hAnsi="Calibri" w:cs="Calibri"/>
          <w:b/>
        </w:rPr>
      </w:pPr>
      <w:r>
        <w:rPr>
          <w:rFonts w:ascii="Calibri" w:hAnsi="Calibri" w:cs="Calibri"/>
          <w:b/>
        </w:rPr>
        <w:t>Figure 2</w:t>
      </w:r>
      <w:r w:rsidR="007D01B9">
        <w:rPr>
          <w:rFonts w:ascii="Calibri" w:hAnsi="Calibri" w:cs="Calibri"/>
          <w:b/>
        </w:rPr>
        <w:t xml:space="preserve">: </w:t>
      </w:r>
      <w:r w:rsidR="00831825">
        <w:rPr>
          <w:rFonts w:ascii="Calibri" w:hAnsi="Calibri" w:cs="Calibri"/>
          <w:b/>
        </w:rPr>
        <w:t xml:space="preserve">AIP-DRM </w:t>
      </w:r>
      <w:r w:rsidR="007D01B9" w:rsidRPr="00B92E55">
        <w:rPr>
          <w:rFonts w:ascii="Calibri" w:hAnsi="Calibri" w:cs="Calibri"/>
          <w:b/>
        </w:rPr>
        <w:t>Goal and End of Program Outcomes</w:t>
      </w:r>
      <w:r w:rsidR="00EE33FD">
        <w:rPr>
          <w:rFonts w:ascii="Calibri" w:hAnsi="Calibri" w:cs="Calibri"/>
          <w:b/>
        </w:rPr>
        <w:br/>
      </w:r>
    </w:p>
    <w:p w14:paraId="2861B96B" w14:textId="56F768AD" w:rsidR="007D01B9" w:rsidRDefault="000347BD" w:rsidP="00EE33FD">
      <w:pPr>
        <w:pStyle w:val="Default"/>
        <w:spacing w:after="29"/>
        <w:jc w:val="center"/>
        <w:rPr>
          <w:rFonts w:ascii="Calibri" w:hAnsi="Calibri" w:cs="Calibri"/>
          <w:b/>
        </w:rPr>
      </w:pPr>
      <w:r>
        <w:object w:dxaOrig="31119" w:dyaOrig="17897" w14:anchorId="6DD31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75pt;height:426pt" o:ole="">
            <v:imagedata r:id="rId20" o:title=""/>
          </v:shape>
          <o:OLEObject Type="Embed" ProgID="Visio.Drawing.15" ShapeID="_x0000_i1025" DrawAspect="Content" ObjectID="_1608620948" r:id="rId21"/>
        </w:object>
      </w:r>
    </w:p>
    <w:p w14:paraId="48130427" w14:textId="21B797A0" w:rsidR="007D01B9" w:rsidRPr="00B92E55" w:rsidRDefault="007D01B9" w:rsidP="007D01B9">
      <w:pPr>
        <w:pStyle w:val="Default"/>
        <w:spacing w:after="29"/>
        <w:rPr>
          <w:rFonts w:ascii="Calibri" w:hAnsi="Calibri" w:cs="Calibri"/>
          <w:b/>
        </w:rPr>
      </w:pPr>
    </w:p>
    <w:p w14:paraId="1C93348C" w14:textId="3B5F87E9" w:rsidR="007D01B9" w:rsidRPr="00B70243" w:rsidRDefault="007D01B9" w:rsidP="007D01B9">
      <w:pPr>
        <w:pStyle w:val="Default"/>
        <w:spacing w:after="29"/>
        <w:rPr>
          <w:rFonts w:asciiTheme="minorHAnsi" w:hAnsiTheme="minorHAnsi" w:cstheme="minorHAnsi"/>
          <w:iCs/>
          <w:sz w:val="22"/>
          <w:szCs w:val="22"/>
        </w:rPr>
      </w:pPr>
    </w:p>
    <w:p w14:paraId="5653934F" w14:textId="5AD26D66" w:rsidR="007D01B9" w:rsidRDefault="007D01B9" w:rsidP="007D01B9">
      <w:pPr>
        <w:pStyle w:val="Default"/>
        <w:spacing w:after="29"/>
        <w:ind w:left="-993"/>
        <w:jc w:val="center"/>
      </w:pPr>
    </w:p>
    <w:p w14:paraId="5F471D3B" w14:textId="77777777" w:rsidR="007D01B9" w:rsidRDefault="007D01B9" w:rsidP="007D01B9">
      <w:pPr>
        <w:pStyle w:val="Default"/>
        <w:spacing w:after="29"/>
        <w:rPr>
          <w:i/>
          <w:iCs/>
          <w:sz w:val="22"/>
          <w:szCs w:val="22"/>
        </w:rPr>
        <w:sectPr w:rsidR="007D01B9" w:rsidSect="0050021E">
          <w:pgSz w:w="16838" w:h="11906" w:orient="landscape"/>
          <w:pgMar w:top="720" w:right="720" w:bottom="720" w:left="720" w:header="709" w:footer="709" w:gutter="0"/>
          <w:cols w:space="708"/>
          <w:docGrid w:linePitch="360"/>
        </w:sectPr>
      </w:pPr>
    </w:p>
    <w:p w14:paraId="1FE459EB" w14:textId="77777777" w:rsidR="007D01B9" w:rsidRPr="00363297" w:rsidRDefault="007D01B9" w:rsidP="00AA6E68">
      <w:pPr>
        <w:pStyle w:val="Heading3"/>
      </w:pPr>
      <w:bookmarkStart w:id="31" w:name="_Toc525550770"/>
      <w:r>
        <w:t>P</w:t>
      </w:r>
      <w:r w:rsidRPr="00B73E2D">
        <w:t xml:space="preserve">rogram logic </w:t>
      </w:r>
      <w:r>
        <w:t>and scope</w:t>
      </w:r>
      <w:bookmarkEnd w:id="31"/>
    </w:p>
    <w:p w14:paraId="00329895" w14:textId="5B9FF22E" w:rsidR="00BB4DD9" w:rsidRDefault="007D01B9" w:rsidP="007D01B9">
      <w:r>
        <w:t>T</w:t>
      </w:r>
      <w:r w:rsidRPr="00C2304E">
        <w:t xml:space="preserve">he program </w:t>
      </w:r>
      <w:r>
        <w:t>will</w:t>
      </w:r>
      <w:r w:rsidRPr="00C2304E">
        <w:t xml:space="preserve"> be implemented at the national and sub-national levels</w:t>
      </w:r>
      <w:r>
        <w:t xml:space="preserve"> with a mix of government and other partners including national NGOs</w:t>
      </w:r>
      <w:r w:rsidR="00BB4DD9">
        <w:t xml:space="preserve"> and f</w:t>
      </w:r>
      <w:r>
        <w:t>ollow</w:t>
      </w:r>
      <w:r w:rsidR="00BB4DD9">
        <w:t>s</w:t>
      </w:r>
      <w:r>
        <w:t xml:space="preserve"> on from previous phases of Australia’s aid investment in DRM in Indonesia</w:t>
      </w:r>
      <w:r w:rsidR="00BB4DD9">
        <w:t xml:space="preserve">. </w:t>
      </w:r>
    </w:p>
    <w:p w14:paraId="68C3E862" w14:textId="221ABC55" w:rsidR="006F2D06" w:rsidRDefault="00BB4DD9" w:rsidP="007D01B9">
      <w:r>
        <w:t>A</w:t>
      </w:r>
      <w:r w:rsidR="007D01B9">
        <w:t>t the national level the</w:t>
      </w:r>
      <w:r w:rsidR="007D01B9" w:rsidRPr="00EA741B">
        <w:t xml:space="preserve"> </w:t>
      </w:r>
      <w:r w:rsidR="007D01B9">
        <w:t>program will principally engage BNPB, supporting organisational reform</w:t>
      </w:r>
      <w:r>
        <w:t xml:space="preserve"> (pillar 1 refers)</w:t>
      </w:r>
      <w:r w:rsidR="007D01B9">
        <w:t>. It will also engage other government Ministries that play leading roles in strengthening DRM at national and sub-national levels</w:t>
      </w:r>
      <w:r w:rsidR="008B5424">
        <w:t xml:space="preserve"> including </w:t>
      </w:r>
      <w:r w:rsidR="00473690">
        <w:t>Bappenas</w:t>
      </w:r>
      <w:r w:rsidR="007D01B9">
        <w:t xml:space="preserve"> and </w:t>
      </w:r>
      <w:r w:rsidR="0094476B">
        <w:t>MoHA</w:t>
      </w:r>
      <w:r>
        <w:t xml:space="preserve"> (pillar 1 and 2 refers)</w:t>
      </w:r>
      <w:r w:rsidR="007D01B9" w:rsidRPr="00E01453">
        <w:t>.</w:t>
      </w:r>
      <w:r w:rsidR="007D01B9">
        <w:t xml:space="preserve"> CSOs</w:t>
      </w:r>
      <w:r w:rsidR="001A4E62">
        <w:t xml:space="preserve"> will be supported and donor co</w:t>
      </w:r>
      <w:r w:rsidR="007D01B9">
        <w:t>ordination will feature. S</w:t>
      </w:r>
      <w:r w:rsidR="007D01B9" w:rsidRPr="007A1991">
        <w:t>trengthen</w:t>
      </w:r>
      <w:r w:rsidR="007D01B9">
        <w:t>ing</w:t>
      </w:r>
      <w:r w:rsidR="007D01B9" w:rsidRPr="007A1991">
        <w:t xml:space="preserve"> cooperation between Australia and Indonesia on </w:t>
      </w:r>
      <w:r w:rsidR="007D01B9">
        <w:t xml:space="preserve">regional humanitarian responses is a new area of work which seeks to build on and formalise recent collaborations between the </w:t>
      </w:r>
      <w:r w:rsidR="0094476B">
        <w:t>GoI</w:t>
      </w:r>
      <w:r w:rsidR="007D01B9">
        <w:t xml:space="preserve"> and GoA. The program will principally work with </w:t>
      </w:r>
      <w:r w:rsidR="0094476B">
        <w:t>MoFA</w:t>
      </w:r>
      <w:r w:rsidR="007D01B9">
        <w:t xml:space="preserve"> </w:t>
      </w:r>
      <w:r>
        <w:t xml:space="preserve">and BNPB </w:t>
      </w:r>
      <w:r w:rsidR="007D01B9">
        <w:t>in this area</w:t>
      </w:r>
      <w:r>
        <w:t xml:space="preserve"> (pillar 3 refers)</w:t>
      </w:r>
      <w:r w:rsidR="007D01B9">
        <w:t xml:space="preserve">. </w:t>
      </w:r>
    </w:p>
    <w:p w14:paraId="165A50B5" w14:textId="1B56FEF3" w:rsidR="007D01B9" w:rsidRDefault="007D01B9" w:rsidP="007D01B9">
      <w:r>
        <w:t>At a sub-national level, the pro</w:t>
      </w:r>
      <w:r w:rsidR="006F2D06">
        <w:t>gram will be implemented in six</w:t>
      </w:r>
      <w:r>
        <w:t xml:space="preserve"> provinces engaging local government and CSOs at provincial, district and village / community levels</w:t>
      </w:r>
      <w:r w:rsidR="00BB4DD9">
        <w:t xml:space="preserve"> (pillar 2 refers)</w:t>
      </w:r>
      <w:r>
        <w:t xml:space="preserve">. It will largely support development of provincial and district BPBDs, </w:t>
      </w:r>
      <w:r w:rsidR="00BB4DD9">
        <w:t xml:space="preserve">including the pusdalops, </w:t>
      </w:r>
      <w:r>
        <w:t xml:space="preserve">and CSO programs to build community-based DRM, including the expansion of Resilient Village programs into additional communities. </w:t>
      </w:r>
    </w:p>
    <w:p w14:paraId="21D6FC68" w14:textId="3646567A" w:rsidR="007D01B9" w:rsidRDefault="007D01B9" w:rsidP="007D01B9">
      <w:r w:rsidRPr="00C73530">
        <w:t>This scope presents particular challenges for deve</w:t>
      </w:r>
      <w:r>
        <w:t xml:space="preserve">loping a cohesive program logic, due to the varying levels of interest in and ability of government actors to lead reform, and the differences in levels of capacity and operating contexts within </w:t>
      </w:r>
      <w:r w:rsidR="00BB4DD9">
        <w:t xml:space="preserve">and amongst </w:t>
      </w:r>
      <w:r>
        <w:t>provinces. Strengthening BNPB’s institutional capacity may take more time if the government’s</w:t>
      </w:r>
      <w:r w:rsidRPr="00C73530">
        <w:t xml:space="preserve"> appetite for, and resource commitment towards</w:t>
      </w:r>
      <w:r>
        <w:t xml:space="preserve"> reform is low, or less time if these factors are high. Similarly, </w:t>
      </w:r>
      <w:r w:rsidRPr="00C73530">
        <w:t xml:space="preserve">program activities will not be undertaken uniformly across </w:t>
      </w:r>
      <w:r w:rsidR="00BB4DD9">
        <w:t xml:space="preserve">targeted </w:t>
      </w:r>
      <w:r>
        <w:t>provinces and must be tailored to the needs, capacities and stakeholders present in each locality.</w:t>
      </w:r>
      <w:r w:rsidRPr="002C1CB1">
        <w:t xml:space="preserve"> </w:t>
      </w:r>
      <w:r>
        <w:t>Thus, w</w:t>
      </w:r>
      <w:r w:rsidRPr="00C73530">
        <w:t xml:space="preserve">hile the goal and specific outcomes expected by the end of the investment are known, the exact activities through which outcomes can be achieved will need to be progressively determined according to </w:t>
      </w:r>
      <w:r>
        <w:t xml:space="preserve">the needs, </w:t>
      </w:r>
      <w:r w:rsidRPr="00C73530">
        <w:t>preferences</w:t>
      </w:r>
      <w:r>
        <w:t>, changing contexts and opportunities for change</w:t>
      </w:r>
      <w:r w:rsidRPr="00C73530">
        <w:t>.</w:t>
      </w:r>
      <w:r>
        <w:t xml:space="preserve"> </w:t>
      </w:r>
      <w:r w:rsidRPr="00C73530">
        <w:t>The program logic must</w:t>
      </w:r>
      <w:r>
        <w:t xml:space="preserve"> therefore</w:t>
      </w:r>
      <w:r w:rsidRPr="00C73530">
        <w:t xml:space="preserve"> accommodate activities that support and engage a variety of stakeholders</w:t>
      </w:r>
      <w:r>
        <w:t xml:space="preserve"> using an adaptive programming approach, </w:t>
      </w:r>
      <w:r w:rsidRPr="005B46E5">
        <w:t xml:space="preserve">seizing opportunities for change as they emerge, </w:t>
      </w:r>
      <w:r>
        <w:t xml:space="preserve">and discontinuing activities if they are not gaining traction, </w:t>
      </w:r>
      <w:r w:rsidRPr="005B46E5">
        <w:t xml:space="preserve">rather than </w:t>
      </w:r>
      <w:r>
        <w:t xml:space="preserve">rigidly </w:t>
      </w:r>
      <w:r w:rsidRPr="005B46E5">
        <w:t>implementing a set of pre-determined activities</w:t>
      </w:r>
      <w:r>
        <w:t>.</w:t>
      </w:r>
      <w:r w:rsidRPr="006E3E07">
        <w:t xml:space="preserve"> </w:t>
      </w:r>
    </w:p>
    <w:p w14:paraId="4F9DF4A7" w14:textId="06B953AD" w:rsidR="007D01B9" w:rsidRDefault="007D01B9" w:rsidP="007D01B9">
      <w:r>
        <w:t xml:space="preserve">Change pathways have been identified, which at the program start are assessed as likely to lead to end-of-program outcomes. These are outlined below in “Change Pathways and Key Activities”. The four sets of outcomes are designed to be </w:t>
      </w:r>
      <w:r w:rsidRPr="006E3E07">
        <w:t xml:space="preserve">mutually </w:t>
      </w:r>
      <w:r>
        <w:t>reinforcing, with the links between outcomes outlined below under Change Pathways. Under the first three end-of-program outcomes, a set of immediate (12 months), intermediate (3 years) and longer-term (5 years) outcomes have been identified (se</w:t>
      </w:r>
      <w:r w:rsidR="00AA6E68">
        <w:t>e Figure 3</w:t>
      </w:r>
      <w:r>
        <w:t xml:space="preserve"> below). </w:t>
      </w:r>
    </w:p>
    <w:p w14:paraId="42B007E2" w14:textId="77777777" w:rsidR="007D01B9" w:rsidRPr="000E4C23" w:rsidRDefault="007D01B9" w:rsidP="00AA6E68">
      <w:pPr>
        <w:pStyle w:val="Heading4"/>
      </w:pPr>
      <w:r w:rsidRPr="000E4C23">
        <w:t>Immediate outcomes</w:t>
      </w:r>
    </w:p>
    <w:p w14:paraId="762B3AD8" w14:textId="220A8B22" w:rsidR="007D01B9" w:rsidRDefault="007D01B9" w:rsidP="007D01B9">
      <w:r>
        <w:t xml:space="preserve">It is expected that in the first </w:t>
      </w:r>
      <w:r w:rsidR="008E39B0">
        <w:t xml:space="preserve">6 </w:t>
      </w:r>
      <w:r>
        <w:t xml:space="preserve">months of the program, the Managing Contractor will recruit staff, </w:t>
      </w:r>
      <w:r w:rsidR="00AB54AE">
        <w:t xml:space="preserve">establish the Program office, </w:t>
      </w:r>
      <w:r w:rsidR="008E39B0">
        <w:t xml:space="preserve">lead </w:t>
      </w:r>
      <w:r w:rsidR="00FD3910">
        <w:t xml:space="preserve">the </w:t>
      </w:r>
      <w:r>
        <w:t>establish</w:t>
      </w:r>
      <w:r w:rsidR="00FD3910">
        <w:t xml:space="preserve">ment of </w:t>
      </w:r>
      <w:r>
        <w:t xml:space="preserve">an </w:t>
      </w:r>
      <w:r w:rsidR="001D0A7A">
        <w:t xml:space="preserve">Management </w:t>
      </w:r>
      <w:r w:rsidR="00815BE0">
        <w:t>Support Office</w:t>
      </w:r>
      <w:r>
        <w:t xml:space="preserve"> </w:t>
      </w:r>
      <w:r w:rsidR="001D0A7A">
        <w:t xml:space="preserve">(MSO) </w:t>
      </w:r>
      <w:r>
        <w:t xml:space="preserve">within BNPB, </w:t>
      </w:r>
      <w:r w:rsidR="00AB54AE">
        <w:t xml:space="preserve">recruit </w:t>
      </w:r>
      <w:r>
        <w:t xml:space="preserve">advisers </w:t>
      </w:r>
      <w:r w:rsidR="00AB54AE">
        <w:t xml:space="preserve">for </w:t>
      </w:r>
      <w:r>
        <w:t>target provinces and</w:t>
      </w:r>
      <w:r w:rsidRPr="00FC27EE">
        <w:t xml:space="preserve"> </w:t>
      </w:r>
      <w:r>
        <w:t>carry out more detailed design research and consultations to refine</w:t>
      </w:r>
      <w:r w:rsidR="00FD3910">
        <w:t>,</w:t>
      </w:r>
      <w:r>
        <w:t xml:space="preserve"> and </w:t>
      </w:r>
      <w:r w:rsidR="00FD3910">
        <w:t>agree on</w:t>
      </w:r>
      <w:r>
        <w:t xml:space="preserve"> the suite of activities recommended in this design according to </w:t>
      </w:r>
      <w:r w:rsidR="0094476B">
        <w:t>GoI</w:t>
      </w:r>
      <w:r>
        <w:t xml:space="preserve"> needs and preferences. This first year will also coincide with </w:t>
      </w:r>
      <w:r w:rsidR="0094476B">
        <w:t>GoI</w:t>
      </w:r>
      <w:r>
        <w:t xml:space="preserve"> planning for the next national medium-term development plan (2020-2024) and the BNPB strategic plan. Concurrently the Managing Contractor will establish grant agreements with NU</w:t>
      </w:r>
      <w:r w:rsidR="001B5DA9">
        <w:t xml:space="preserve">, </w:t>
      </w:r>
      <w:r>
        <w:t>Muhammadiya</w:t>
      </w:r>
      <w:r w:rsidR="00D17742">
        <w:t>h</w:t>
      </w:r>
      <w:r w:rsidR="001B5DA9">
        <w:t xml:space="preserve"> and others as required</w:t>
      </w:r>
      <w:r>
        <w:t xml:space="preserve">, and provide management support for grants to </w:t>
      </w:r>
      <w:r w:rsidR="00DE7FEF">
        <w:t>OCHA</w:t>
      </w:r>
      <w:r>
        <w:t xml:space="preserve"> and IFRC which will be directly </w:t>
      </w:r>
      <w:r w:rsidR="00172269">
        <w:t xml:space="preserve">contracted </w:t>
      </w:r>
      <w:r>
        <w:t>by DFAT.</w:t>
      </w:r>
      <w:r>
        <w:rPr>
          <w:rStyle w:val="FootnoteReference"/>
          <w:rFonts w:cstheme="minorHAnsi"/>
          <w:sz w:val="22"/>
        </w:rPr>
        <w:footnoteReference w:id="36"/>
      </w:r>
    </w:p>
    <w:p w14:paraId="2F525D0E" w14:textId="77777777" w:rsidR="007D01B9" w:rsidRPr="00062E6B" w:rsidRDefault="007D01B9" w:rsidP="00AA6E68">
      <w:pPr>
        <w:pStyle w:val="Heading4"/>
      </w:pPr>
      <w:r w:rsidRPr="00062E6B">
        <w:t>Intermediate outcomes</w:t>
      </w:r>
    </w:p>
    <w:p w14:paraId="05C8BC3B" w14:textId="305B53E0" w:rsidR="007D01B9" w:rsidRDefault="007D01B9" w:rsidP="007D01B9">
      <w:r>
        <w:t>A set of intermediate outcomes have been ident</w:t>
      </w:r>
      <w:r w:rsidR="00317C93">
        <w:t>ified as represented in Figure 3</w:t>
      </w:r>
      <w:r>
        <w:t xml:space="preserve">. </w:t>
      </w:r>
      <w:r w:rsidRPr="00C73530">
        <w:t>Their achievement will be strongly influenced by</w:t>
      </w:r>
      <w:r>
        <w:t xml:space="preserve"> government</w:t>
      </w:r>
      <w:r w:rsidRPr="00C73530">
        <w:t xml:space="preserve"> partner engagement </w:t>
      </w:r>
      <w:r>
        <w:t>which will determine the level of progress made.</w:t>
      </w:r>
      <w:r w:rsidRPr="00C73530">
        <w:t xml:space="preserve"> </w:t>
      </w:r>
      <w:r>
        <w:t xml:space="preserve">Intermediate outcomes are the </w:t>
      </w:r>
      <w:r w:rsidRPr="00C73530">
        <w:t>necessary preconditions for achieving the</w:t>
      </w:r>
      <w:r>
        <w:t xml:space="preserve"> end-of-program outcomes, as represented by the arrows between differen</w:t>
      </w:r>
      <w:r w:rsidR="00317C93">
        <w:t>t levels of outcomes in Figure 3</w:t>
      </w:r>
      <w:r>
        <w:t xml:space="preserve">. </w:t>
      </w:r>
      <w:r w:rsidRPr="00C73530">
        <w:t>It is expected that, by mid-wa</w:t>
      </w:r>
      <w:r>
        <w:t>y through the program (3 years</w:t>
      </w:r>
      <w:r w:rsidRPr="00C73530">
        <w:t>),</w:t>
      </w:r>
      <w:r>
        <w:t xml:space="preserve"> </w:t>
      </w:r>
      <w:r w:rsidRPr="00C73530">
        <w:t>considerable progress will have been made tow</w:t>
      </w:r>
      <w:r>
        <w:t>ards the</w:t>
      </w:r>
      <w:r w:rsidRPr="00C73530">
        <w:t xml:space="preserve"> achievement</w:t>
      </w:r>
      <w:r>
        <w:t xml:space="preserve"> of end-of-program outcomes</w:t>
      </w:r>
      <w:r w:rsidRPr="00C73530">
        <w:t>.</w:t>
      </w:r>
      <w:r w:rsidRPr="000F364D">
        <w:t xml:space="preserve"> </w:t>
      </w:r>
      <w:r>
        <w:t>The extent to which the program has facilitated intermediate outcomes will be assessed during the mid-term review</w:t>
      </w:r>
      <w:r w:rsidR="00060E9F">
        <w:t xml:space="preserve"> (MTR) which will be conducted halfway through the program</w:t>
      </w:r>
      <w:r>
        <w:t>.</w:t>
      </w:r>
      <w:r w:rsidR="00060E9F">
        <w:t xml:space="preserve"> Indonesian</w:t>
      </w:r>
      <w:r w:rsidR="00060E9F" w:rsidRPr="00C73530">
        <w:t xml:space="preserve"> ownership of the program will be reinforced through </w:t>
      </w:r>
      <w:r w:rsidR="00060E9F">
        <w:t>this</w:t>
      </w:r>
      <w:r w:rsidR="00060E9F" w:rsidRPr="00C73530">
        <w:t xml:space="preserve"> </w:t>
      </w:r>
      <w:r w:rsidR="00060E9F">
        <w:t>joint reassessment as part of the MTR.</w:t>
      </w:r>
    </w:p>
    <w:p w14:paraId="231ABA85" w14:textId="1562B7A0" w:rsidR="007D01B9" w:rsidRPr="009D5DB5" w:rsidRDefault="00542423" w:rsidP="00AA6E68">
      <w:pPr>
        <w:pStyle w:val="Heading4"/>
      </w:pPr>
      <w:r>
        <w:t>More detailed EOPOs</w:t>
      </w:r>
      <w:r w:rsidR="007D01B9" w:rsidRPr="009D5DB5">
        <w:t xml:space="preserve"> </w:t>
      </w:r>
    </w:p>
    <w:p w14:paraId="5372500A" w14:textId="62BF3980" w:rsidR="007D01B9" w:rsidRPr="00C73530" w:rsidRDefault="00060E9F" w:rsidP="007D01B9">
      <w:r>
        <w:t xml:space="preserve">Figure 3 below </w:t>
      </w:r>
      <w:r w:rsidR="007D01B9">
        <w:t>provide</w:t>
      </w:r>
      <w:r>
        <w:t>s</w:t>
      </w:r>
      <w:r w:rsidR="007D01B9">
        <w:t xml:space="preserve"> a more detail</w:t>
      </w:r>
      <w:r w:rsidR="00ED0670">
        <w:t>ed</w:t>
      </w:r>
      <w:r w:rsidR="007D01B9">
        <w:t xml:space="preserve"> description of the changes expected at the end of the program encapsulated by </w:t>
      </w:r>
      <w:r w:rsidR="00542423">
        <w:t>the four EOPOs</w:t>
      </w:r>
      <w:r w:rsidR="007D01B9">
        <w:t xml:space="preserve"> which are relatively high level. </w:t>
      </w:r>
      <w:r w:rsidR="00542423">
        <w:t>More detailed EOPOs</w:t>
      </w:r>
      <w:r w:rsidR="007D01B9">
        <w:t xml:space="preserve"> are a continuation and deepening of the intermediate outcomes. For example, they depict how initial improvements in capacity achieved at a mid-way point are expected to be applied and become sustainable</w:t>
      </w:r>
      <w:r w:rsidR="00542423">
        <w:t xml:space="preserve"> by the end of the program</w:t>
      </w:r>
      <w:r w:rsidR="007D01B9">
        <w:t xml:space="preserve">, and how pilot systems trialled in the first phase are </w:t>
      </w:r>
      <w:r w:rsidR="00542423">
        <w:t xml:space="preserve">to be </w:t>
      </w:r>
      <w:r w:rsidR="007D01B9">
        <w:t xml:space="preserve">adopted and integrated in the second phase. The extent to which the program has facilitated these </w:t>
      </w:r>
      <w:r w:rsidR="00542423">
        <w:t xml:space="preserve">more detailed EOPOs </w:t>
      </w:r>
      <w:r w:rsidR="007D01B9">
        <w:t xml:space="preserve">will be assessed during the final </w:t>
      </w:r>
      <w:r>
        <w:t xml:space="preserve">program </w:t>
      </w:r>
      <w:r w:rsidR="007D01B9">
        <w:t>evaluation</w:t>
      </w:r>
      <w:r>
        <w:t xml:space="preserve"> to be undertaken around the conclusion of the program</w:t>
      </w:r>
      <w:r w:rsidR="007D01B9">
        <w:t>.</w:t>
      </w:r>
    </w:p>
    <w:p w14:paraId="63757F29" w14:textId="7EF07E77" w:rsidR="007D01B9" w:rsidRDefault="007D01B9" w:rsidP="007D01B9">
      <w:r w:rsidRPr="00C73530">
        <w:t>This approach provides a road map from which to plan future action on a rolling basis through a process of joint negotiation and refinement</w:t>
      </w:r>
      <w:r w:rsidR="00060E9F">
        <w:t xml:space="preserve"> throughout the program</w:t>
      </w:r>
      <w:r w:rsidRPr="00C73530">
        <w:t>. This built-in flexibility is considered essential to the success of the</w:t>
      </w:r>
      <w:r>
        <w:t xml:space="preserve"> program. It is expected the Managing Contractor and partners develop more detailed outputs and outcomes to be achieved each year that</w:t>
      </w:r>
      <w:r w:rsidR="000667BC">
        <w:t xml:space="preserve"> align with this program logic.</w:t>
      </w:r>
      <w:r>
        <w:t xml:space="preserve"> As part of this process, there is need for the Managing Contractor to clarify what associated processes and outcomes must also be achieved by government for this investment to be successful</w:t>
      </w:r>
      <w:r w:rsidR="00060E9F">
        <w:t xml:space="preserve"> and for significant activities to be sustainable beyond program duration</w:t>
      </w:r>
      <w:r>
        <w:t>. In the context of a 5</w:t>
      </w:r>
      <w:r w:rsidRPr="00C73530">
        <w:t xml:space="preserve">-year timeframe, this program logic will need to be revisited and refined by the investment’s Managing Contractor, </w:t>
      </w:r>
      <w:r w:rsidR="0094476B">
        <w:t>GoI</w:t>
      </w:r>
      <w:r w:rsidRPr="00C73530">
        <w:t xml:space="preserve"> </w:t>
      </w:r>
      <w:r>
        <w:t xml:space="preserve">and CSO partners and DFAT. </w:t>
      </w:r>
      <w:r w:rsidRPr="00C73530">
        <w:t>Refinements will need to reflect implementatio</w:t>
      </w:r>
      <w:r>
        <w:t xml:space="preserve">n lessons and progress, changes in the </w:t>
      </w:r>
      <w:r w:rsidRPr="00C73530">
        <w:t>pol</w:t>
      </w:r>
      <w:r>
        <w:t>itical context within Indonesia at national and sub-national levels</w:t>
      </w:r>
      <w:r w:rsidRPr="00C73530">
        <w:t xml:space="preserve">, and the emergence of new opportunities and challenges. </w:t>
      </w:r>
    </w:p>
    <w:p w14:paraId="762FE29A" w14:textId="7CC07A42" w:rsidR="005C3CB1" w:rsidRPr="005C3CB1" w:rsidRDefault="005C3CB1" w:rsidP="005C3CB1">
      <w:pPr>
        <w:rPr>
          <w:iCs/>
        </w:rPr>
        <w:sectPr w:rsidR="005C3CB1" w:rsidRPr="005C3CB1">
          <w:footerReference w:type="even" r:id="rId22"/>
          <w:footerReference w:type="default" r:id="rId23"/>
          <w:pgSz w:w="11906" w:h="16838"/>
          <w:pgMar w:top="1440" w:right="1440" w:bottom="1440" w:left="1440" w:header="708" w:footer="708" w:gutter="0"/>
          <w:cols w:space="708"/>
          <w:docGrid w:linePitch="360"/>
        </w:sectPr>
      </w:pPr>
      <w:r>
        <w:rPr>
          <w:iCs/>
        </w:rPr>
        <w:t xml:space="preserve">Refer attachment 2 for indicative activities. </w:t>
      </w:r>
    </w:p>
    <w:p w14:paraId="7AA2243F" w14:textId="43CF9748" w:rsidR="003C0237" w:rsidRDefault="00AA6E68" w:rsidP="003C0237">
      <w:pPr>
        <w:pStyle w:val="Default"/>
        <w:spacing w:after="40"/>
        <w:jc w:val="center"/>
        <w:sectPr w:rsidR="003C0237" w:rsidSect="005B0682">
          <w:pgSz w:w="16838" w:h="11906" w:orient="landscape"/>
          <w:pgMar w:top="1440" w:right="1440" w:bottom="1440" w:left="1440" w:header="708" w:footer="708" w:gutter="0"/>
          <w:cols w:space="708"/>
          <w:docGrid w:linePitch="360"/>
        </w:sectPr>
      </w:pPr>
      <w:r>
        <w:rPr>
          <w:rFonts w:ascii="Calibri" w:hAnsi="Calibri" w:cs="Calibri"/>
          <w:b/>
        </w:rPr>
        <w:t>Figure 3</w:t>
      </w:r>
      <w:r w:rsidR="007D01B9">
        <w:rPr>
          <w:rFonts w:ascii="Calibri" w:hAnsi="Calibri" w:cs="Calibri"/>
          <w:b/>
        </w:rPr>
        <w:t>: Program Logic</w:t>
      </w:r>
      <w:r w:rsidR="003C0237">
        <w:object w:dxaOrig="20661" w:dyaOrig="13518" w14:anchorId="14D4C41E">
          <v:shape id="_x0000_i1026" type="#_x0000_t75" style="width:660pt;height:431.25pt" o:ole="">
            <v:imagedata r:id="rId24" o:title=""/>
          </v:shape>
          <o:OLEObject Type="Embed" ProgID="Visio.Drawing.15" ShapeID="_x0000_i1026" DrawAspect="Content" ObjectID="_1608620949" r:id="rId25"/>
        </w:object>
      </w:r>
    </w:p>
    <w:p w14:paraId="76B68B1F" w14:textId="6B30A34C" w:rsidR="007D01B9" w:rsidRPr="00363297" w:rsidRDefault="007D01B9" w:rsidP="00C13542">
      <w:pPr>
        <w:pStyle w:val="Heading4"/>
      </w:pPr>
      <w:r w:rsidRPr="006D2176">
        <w:t xml:space="preserve">CHANGE PATHWAYS AND KEY </w:t>
      </w:r>
      <w:r w:rsidR="00060E9F">
        <w:t>DELIVERABLES</w:t>
      </w:r>
      <w:r w:rsidR="00060E9F" w:rsidRPr="006D2176">
        <w:t xml:space="preserve"> </w:t>
      </w:r>
    </w:p>
    <w:p w14:paraId="3B6298B9" w14:textId="77777777" w:rsidR="007D01B9" w:rsidRPr="00DA334C" w:rsidRDefault="007D01B9" w:rsidP="007D01B9">
      <w:pPr>
        <w:rPr>
          <w:b/>
        </w:rPr>
      </w:pPr>
      <w:r w:rsidRPr="00DA334C">
        <w:rPr>
          <w:b/>
        </w:rPr>
        <w:t xml:space="preserve">Pillar 1: BNPB organisational systems strengthening </w:t>
      </w:r>
    </w:p>
    <w:p w14:paraId="0BF4DBEE" w14:textId="6DAA4BCC" w:rsidR="00B033F4" w:rsidRDefault="00BD40C8" w:rsidP="00266E29">
      <w:r>
        <w:t>BNPB is instrumental in</w:t>
      </w:r>
      <w:r w:rsidR="006B0ECB">
        <w:t xml:space="preserve"> the</w:t>
      </w:r>
      <w:r>
        <w:t xml:space="preserve"> Indonesia DRM ecosystem because it serves as the national institutional hub for emergency management and DRR. </w:t>
      </w:r>
      <w:r w:rsidR="007D01B9">
        <w:t>T</w:t>
      </w:r>
      <w:r w:rsidR="007D01B9" w:rsidRPr="00D749B1">
        <w:t xml:space="preserve">he investment will continue to </w:t>
      </w:r>
      <w:r w:rsidR="007D01B9">
        <w:t>support</w:t>
      </w:r>
      <w:r w:rsidR="007D01B9" w:rsidRPr="00D749B1">
        <w:t xml:space="preserve"> the ongoing </w:t>
      </w:r>
      <w:r w:rsidR="007D01B9">
        <w:t xml:space="preserve">institutional strengthening of BNPB. </w:t>
      </w:r>
      <w:r w:rsidR="00266E29">
        <w:t>This Pillar will also support BNPB capacity development.</w:t>
      </w:r>
    </w:p>
    <w:p w14:paraId="5089C653" w14:textId="4F409AF1" w:rsidR="007D01B9" w:rsidRDefault="007D01B9" w:rsidP="007D01B9">
      <w:r w:rsidRPr="006B0065">
        <w:t xml:space="preserve">The program will </w:t>
      </w:r>
      <w:r w:rsidRPr="00B11E98">
        <w:rPr>
          <w:b/>
        </w:rPr>
        <w:t xml:space="preserve">assist BNPB to develop </w:t>
      </w:r>
      <w:r w:rsidR="00A35BB3" w:rsidRPr="00B11E98">
        <w:rPr>
          <w:b/>
        </w:rPr>
        <w:t xml:space="preserve">and implement </w:t>
      </w:r>
      <w:r w:rsidRPr="00B11E98">
        <w:rPr>
          <w:b/>
        </w:rPr>
        <w:t xml:space="preserve">its </w:t>
      </w:r>
      <w:r w:rsidR="00DD320F" w:rsidRPr="00B11E98">
        <w:rPr>
          <w:b/>
        </w:rPr>
        <w:t>2019</w:t>
      </w:r>
      <w:r w:rsidRPr="00B11E98">
        <w:rPr>
          <w:b/>
        </w:rPr>
        <w:t>-24 Strategic Plan</w:t>
      </w:r>
      <w:r>
        <w:t xml:space="preserve"> which is a crucial and strategically important process for the agency. Activities under this pillar should be re-aligned one-year into the partnership to complement and align with BNPB’s </w:t>
      </w:r>
      <w:r w:rsidR="00DD320F" w:rsidRPr="002B1286">
        <w:t>20</w:t>
      </w:r>
      <w:r w:rsidR="00DD320F">
        <w:t>19</w:t>
      </w:r>
      <w:r w:rsidRPr="002B1286">
        <w:t>-24</w:t>
      </w:r>
      <w:r>
        <w:t xml:space="preserve"> Strategic Plan.</w:t>
      </w:r>
    </w:p>
    <w:p w14:paraId="2B164838" w14:textId="57B630CB" w:rsidR="00266E29" w:rsidRDefault="00266E29" w:rsidP="00266E29">
      <w:r w:rsidRPr="002B1286">
        <w:t>A</w:t>
      </w:r>
      <w:r w:rsidR="00DD320F">
        <w:t xml:space="preserve"> </w:t>
      </w:r>
      <w:r w:rsidR="00F1717E">
        <w:t xml:space="preserve">Management </w:t>
      </w:r>
      <w:r w:rsidR="00815BE0">
        <w:t>Support Office</w:t>
      </w:r>
      <w:r w:rsidRPr="002B1286">
        <w:t xml:space="preserve"> </w:t>
      </w:r>
      <w:r w:rsidR="00DD320F">
        <w:t>(</w:t>
      </w:r>
      <w:r w:rsidR="00F1717E">
        <w:t>M</w:t>
      </w:r>
      <w:r w:rsidR="00DD320F">
        <w:t xml:space="preserve">SO) </w:t>
      </w:r>
      <w:r w:rsidRPr="002B1286">
        <w:t xml:space="preserve">located within BNPB, sitting across its </w:t>
      </w:r>
      <w:r w:rsidR="008E39B0">
        <w:t>deputies</w:t>
      </w:r>
      <w:r w:rsidRPr="002B1286">
        <w:t xml:space="preserve">, will </w:t>
      </w:r>
      <w:r w:rsidR="00FD3910" w:rsidRPr="00B11E98">
        <w:rPr>
          <w:b/>
        </w:rPr>
        <w:t>spearhead</w:t>
      </w:r>
      <w:r w:rsidRPr="00B11E98">
        <w:rPr>
          <w:b/>
        </w:rPr>
        <w:t xml:space="preserve"> change management and organisational reform</w:t>
      </w:r>
      <w:r w:rsidRPr="002B1286">
        <w:t xml:space="preserve">. It will provide </w:t>
      </w:r>
      <w:r>
        <w:t>technical support</w:t>
      </w:r>
      <w:r w:rsidRPr="002B1286">
        <w:t xml:space="preserve"> to strengthen critical areas of BNPB’s functionality in line with its mandate</w:t>
      </w:r>
      <w:r>
        <w:t xml:space="preserve"> including</w:t>
      </w:r>
      <w:r w:rsidR="00FD3910">
        <w:t xml:space="preserve"> coordination, strategy setting, </w:t>
      </w:r>
      <w:r w:rsidR="008738F9">
        <w:t xml:space="preserve">policy, </w:t>
      </w:r>
      <w:r w:rsidR="00A45D01">
        <w:t xml:space="preserve">procurement, </w:t>
      </w:r>
      <w:r w:rsidRPr="006B0065">
        <w:t>knowledge management</w:t>
      </w:r>
      <w:r w:rsidR="00FD3910">
        <w:t xml:space="preserve"> and </w:t>
      </w:r>
      <w:r w:rsidRPr="006B0065">
        <w:t xml:space="preserve">communications. </w:t>
      </w:r>
    </w:p>
    <w:p w14:paraId="0FB3F41D" w14:textId="18440E42" w:rsidR="00DD320F" w:rsidRDefault="007D01B9" w:rsidP="007D01B9">
      <w:r>
        <w:t xml:space="preserve">One of the core areas of work under Pillar 1 is to </w:t>
      </w:r>
      <w:r w:rsidRPr="00B11E98">
        <w:rPr>
          <w:b/>
        </w:rPr>
        <w:t>strengthen BNPB’s capacity to support inter-ministerial coordination for DRM</w:t>
      </w:r>
      <w:r>
        <w:t xml:space="preserve"> as </w:t>
      </w:r>
      <w:r w:rsidR="00BD40C8">
        <w:t xml:space="preserve">articulated in the Disaster Management Master Plan 2015-2045 </w:t>
      </w:r>
      <w:r w:rsidR="006B0ECB">
        <w:t>(</w:t>
      </w:r>
      <w:r>
        <w:t>RIPB</w:t>
      </w:r>
      <w:r w:rsidR="006B0ECB">
        <w:t>)</w:t>
      </w:r>
      <w:r>
        <w:t xml:space="preserve">, </w:t>
      </w:r>
      <w:r w:rsidR="00BD40C8">
        <w:t xml:space="preserve">and </w:t>
      </w:r>
      <w:r w:rsidRPr="002B1286">
        <w:t>the</w:t>
      </w:r>
      <w:r>
        <w:t xml:space="preserve"> 2015-19</w:t>
      </w:r>
      <w:r w:rsidRPr="002B1286">
        <w:t xml:space="preserve"> </w:t>
      </w:r>
      <w:r w:rsidR="00BD40C8">
        <w:t xml:space="preserve">BNPB </w:t>
      </w:r>
      <w:r w:rsidRPr="002B1286">
        <w:t>Strategic Plan</w:t>
      </w:r>
      <w:r>
        <w:t xml:space="preserve">. The </w:t>
      </w:r>
      <w:r w:rsidR="00F1717E">
        <w:t>Management</w:t>
      </w:r>
      <w:r w:rsidR="00DD320F">
        <w:t xml:space="preserve"> </w:t>
      </w:r>
      <w:r w:rsidR="00815BE0">
        <w:t>Support Office</w:t>
      </w:r>
      <w:r>
        <w:t xml:space="preserve"> </w:t>
      </w:r>
      <w:r w:rsidR="00DE45D8">
        <w:t>(</w:t>
      </w:r>
      <w:r w:rsidR="00F1717E">
        <w:t>M</w:t>
      </w:r>
      <w:r w:rsidR="00DE45D8">
        <w:t xml:space="preserve">SO) </w:t>
      </w:r>
      <w:r>
        <w:t xml:space="preserve">will provide technical support to BNPB </w:t>
      </w:r>
      <w:r w:rsidRPr="004F701B">
        <w:t>to improve coordination skills and systems</w:t>
      </w:r>
      <w:r>
        <w:t xml:space="preserve"> within BNPB to s</w:t>
      </w:r>
      <w:r w:rsidRPr="00794F2E">
        <w:t xml:space="preserve">upport the functioning of </w:t>
      </w:r>
      <w:r>
        <w:t>national inter-ministerial taskforces</w:t>
      </w:r>
      <w:r w:rsidR="00DE45D8">
        <w:t>/clusters</w:t>
      </w:r>
      <w:r>
        <w:t>. It will assist BNPB to</w:t>
      </w:r>
      <w:r w:rsidRPr="00794F2E">
        <w:t xml:space="preserve"> </w:t>
      </w:r>
      <w:r>
        <w:t xml:space="preserve">plan and </w:t>
      </w:r>
      <w:r w:rsidRPr="00794F2E">
        <w:t>facilitate</w:t>
      </w:r>
      <w:r>
        <w:t xml:space="preserve"> </w:t>
      </w:r>
      <w:r w:rsidR="00DE45D8">
        <w:t xml:space="preserve">effective and </w:t>
      </w:r>
      <w:r>
        <w:t>regular taskforce</w:t>
      </w:r>
      <w:r w:rsidR="00DE45D8">
        <w:t>/clusters</w:t>
      </w:r>
      <w:r>
        <w:t xml:space="preserve"> meetings and</w:t>
      </w:r>
      <w:r w:rsidRPr="00794F2E">
        <w:t xml:space="preserve"> </w:t>
      </w:r>
      <w:r>
        <w:t xml:space="preserve">undertake </w:t>
      </w:r>
      <w:r w:rsidR="00FD3910">
        <w:t xml:space="preserve">strategy and policy setting exercises, </w:t>
      </w:r>
      <w:r w:rsidRPr="00794F2E">
        <w:t>information sharing</w:t>
      </w:r>
      <w:r>
        <w:t xml:space="preserve"> and reporting</w:t>
      </w:r>
      <w:r w:rsidRPr="00794F2E">
        <w:t>.</w:t>
      </w:r>
      <w:r>
        <w:t xml:space="preserve"> </w:t>
      </w:r>
      <w:r w:rsidR="00DD320F">
        <w:t xml:space="preserve">At a mid-way point, it is expected that regular and productive taskforce meetings take place which are of value to participating ministries, CSOs and private sector. Over the remaining phase of the program, it is expected that regular coordination meetings result in an improved </w:t>
      </w:r>
      <w:r w:rsidR="00DD320F" w:rsidRPr="00FF0F68">
        <w:t xml:space="preserve">capacity for coordinated national disaster </w:t>
      </w:r>
      <w:r w:rsidR="00DD320F">
        <w:t xml:space="preserve">planning and </w:t>
      </w:r>
      <w:r w:rsidR="00DD320F" w:rsidRPr="00FF0F68">
        <w:t>response.</w:t>
      </w:r>
    </w:p>
    <w:p w14:paraId="508A452E" w14:textId="569BA9B8" w:rsidR="007D01B9" w:rsidRDefault="00A45D01" w:rsidP="007D01B9">
      <w:r>
        <w:t xml:space="preserve">It will </w:t>
      </w:r>
      <w:r w:rsidRPr="00243779">
        <w:rPr>
          <w:b/>
        </w:rPr>
        <w:t>support BNPB’s procurement systems in emergencies</w:t>
      </w:r>
      <w:r w:rsidRPr="00A45D01">
        <w:t xml:space="preserve">, including </w:t>
      </w:r>
      <w:r>
        <w:t xml:space="preserve">reviewing implications for the procurement regulation reform. </w:t>
      </w:r>
      <w:r w:rsidR="00E50F22">
        <w:t>It will assist BNPB to explore the role of international support in Indonesia before, during and after disasters</w:t>
      </w:r>
      <w:r w:rsidR="00DE45D8">
        <w:t>, taking into account the most recent disaster event</w:t>
      </w:r>
      <w:r w:rsidR="00A83B3E">
        <w:t>s</w:t>
      </w:r>
      <w:r w:rsidR="00DE45D8">
        <w:t xml:space="preserve"> in </w:t>
      </w:r>
      <w:r w:rsidR="00A83B3E">
        <w:t xml:space="preserve">Lombok and </w:t>
      </w:r>
      <w:r w:rsidR="00DE45D8">
        <w:t>Central Sulawesi</w:t>
      </w:r>
      <w:r w:rsidR="00E50F22">
        <w:t xml:space="preserve">. </w:t>
      </w:r>
    </w:p>
    <w:p w14:paraId="4676995B" w14:textId="2CCACF10" w:rsidR="009E2971" w:rsidRDefault="007D01B9" w:rsidP="007D01B9">
      <w:r w:rsidRPr="00330A10">
        <w:t xml:space="preserve">The </w:t>
      </w:r>
      <w:r w:rsidR="00F1717E">
        <w:t>Management</w:t>
      </w:r>
      <w:r w:rsidR="00DD320F">
        <w:t xml:space="preserve"> </w:t>
      </w:r>
      <w:r w:rsidR="00815BE0">
        <w:t>Support Office</w:t>
      </w:r>
      <w:r w:rsidRPr="00330A10">
        <w:t xml:space="preserve"> </w:t>
      </w:r>
      <w:r w:rsidR="00F1717E">
        <w:t xml:space="preserve">(MSO) </w:t>
      </w:r>
      <w:r w:rsidRPr="00330A10">
        <w:t xml:space="preserve">will </w:t>
      </w:r>
      <w:r w:rsidR="00B033F4">
        <w:t xml:space="preserve">also </w:t>
      </w:r>
      <w:r w:rsidRPr="00330A10">
        <w:t xml:space="preserve">have a focus on </w:t>
      </w:r>
      <w:r w:rsidRPr="00243779">
        <w:rPr>
          <w:b/>
        </w:rPr>
        <w:t>assisting BNPB to embed the tools, maps and science products</w:t>
      </w:r>
      <w:r w:rsidRPr="00330A10">
        <w:t xml:space="preserve"> develop</w:t>
      </w:r>
      <w:r>
        <w:t>ed</w:t>
      </w:r>
      <w:r w:rsidRPr="00330A10">
        <w:t xml:space="preserve"> under </w:t>
      </w:r>
      <w:r>
        <w:t>Australia’s</w:t>
      </w:r>
      <w:r w:rsidR="00BD40C8">
        <w:t xml:space="preserve"> </w:t>
      </w:r>
      <w:r w:rsidR="00226B40">
        <w:t>Science-DRM</w:t>
      </w:r>
      <w:r w:rsidR="00226B40" w:rsidRPr="00330A10">
        <w:t xml:space="preserve"> </w:t>
      </w:r>
      <w:r w:rsidRPr="00330A10">
        <w:t>program</w:t>
      </w:r>
      <w:r w:rsidR="00B033F4">
        <w:t xml:space="preserve"> and other programs into their systems and processes</w:t>
      </w:r>
      <w:r>
        <w:t>. In the area of knowledge management, it will assist BNPB to continue to integrate these tools and products into its planning, information sharing and sub-national government technical support programs. BNPB will be supported to maintain coordination with scienc</w:t>
      </w:r>
      <w:r w:rsidR="00BD40C8">
        <w:t xml:space="preserve">e agencies engaged under </w:t>
      </w:r>
      <w:r w:rsidR="00226B40">
        <w:t xml:space="preserve">the Science-DRM program </w:t>
      </w:r>
      <w:r>
        <w:t xml:space="preserve">such as </w:t>
      </w:r>
      <w:r w:rsidR="00BD40C8">
        <w:t>the Meteorology and Geophysical Agency (</w:t>
      </w:r>
      <w:r>
        <w:t>BMKG</w:t>
      </w:r>
      <w:r w:rsidR="00BD40C8">
        <w:t>)</w:t>
      </w:r>
      <w:r w:rsidR="009E2971">
        <w:t>,</w:t>
      </w:r>
      <w:r>
        <w:t xml:space="preserve"> </w:t>
      </w:r>
      <w:r w:rsidR="00EE7FAF">
        <w:t>the Indonesia Geological Survey (</w:t>
      </w:r>
      <w:r>
        <w:t>B</w:t>
      </w:r>
      <w:r w:rsidR="009E2971">
        <w:t xml:space="preserve">adan </w:t>
      </w:r>
      <w:r>
        <w:t>G</w:t>
      </w:r>
      <w:r w:rsidR="009E2971">
        <w:t>eology</w:t>
      </w:r>
      <w:r w:rsidR="00EE7FAF">
        <w:t>)</w:t>
      </w:r>
      <w:r w:rsidR="009E2971">
        <w:t>, Centre of Volcanology and Geological Disaster Mitigation (PVMBG)</w:t>
      </w:r>
      <w:r w:rsidR="000F72A4">
        <w:t>, Technology Assessment and Application Agency (BPPT)</w:t>
      </w:r>
      <w:r w:rsidR="009E2971">
        <w:t xml:space="preserve"> and the Indonesia Science Agency (LIPI)</w:t>
      </w:r>
      <w:r>
        <w:t xml:space="preserve"> to ensure contemporary developments in hazard mapping information and technology continue to inform the </w:t>
      </w:r>
      <w:r w:rsidR="0094476B">
        <w:t>GoI</w:t>
      </w:r>
      <w:r>
        <w:t xml:space="preserve">’s </w:t>
      </w:r>
      <w:r w:rsidRPr="00434C3A">
        <w:t>preparedness and response</w:t>
      </w:r>
      <w:r>
        <w:t xml:space="preserve"> systems. </w:t>
      </w:r>
    </w:p>
    <w:p w14:paraId="3AE21F31" w14:textId="7B765CC5" w:rsidR="005B7457" w:rsidRDefault="007D01B9" w:rsidP="007D01B9">
      <w:r w:rsidRPr="00243779">
        <w:rPr>
          <w:b/>
        </w:rPr>
        <w:t>Stronger knowledge management systems</w:t>
      </w:r>
      <w:r>
        <w:t xml:space="preserve"> are expected to result in BNPB providing an improved quality of information, tools, technical assistance and communication to BPBDs </w:t>
      </w:r>
      <w:r w:rsidR="009E2971">
        <w:t xml:space="preserve">and its pusdalops </w:t>
      </w:r>
      <w:r>
        <w:t>which in turn strengthens the DRM capacity and performance of BPBDs</w:t>
      </w:r>
      <w:r w:rsidR="009E2971">
        <w:t xml:space="preserve"> and other stakeholders at the sub-national level</w:t>
      </w:r>
      <w:r>
        <w:t xml:space="preserve">. </w:t>
      </w:r>
      <w:r w:rsidR="005B7457">
        <w:t>Program support in this area seeks to</w:t>
      </w:r>
      <w:r w:rsidR="00602339">
        <w:t xml:space="preserve"> </w:t>
      </w:r>
      <w:r w:rsidR="005B7457">
        <w:t xml:space="preserve">address </w:t>
      </w:r>
      <w:r w:rsidR="00602339">
        <w:t xml:space="preserve">some of the </w:t>
      </w:r>
      <w:r w:rsidR="005B7457">
        <w:t xml:space="preserve">challenges related </w:t>
      </w:r>
      <w:r w:rsidR="00602339">
        <w:t xml:space="preserve">to </w:t>
      </w:r>
      <w:r w:rsidR="005B7457">
        <w:t xml:space="preserve">the limited use of tools outside of urban areas in Java and assist BNPB to </w:t>
      </w:r>
      <w:r w:rsidR="000F72A4">
        <w:t xml:space="preserve">develop a plan on how to </w:t>
      </w:r>
      <w:r w:rsidR="005B7457">
        <w:t xml:space="preserve">expand the use </w:t>
      </w:r>
      <w:r w:rsidR="000F72A4">
        <w:t xml:space="preserve">of those tools and to ensure budget availability for maintaining them </w:t>
      </w:r>
      <w:r w:rsidR="005B7457">
        <w:t xml:space="preserve">as part of </w:t>
      </w:r>
      <w:r w:rsidR="00E87519">
        <w:t>DRR</w:t>
      </w:r>
      <w:r w:rsidR="005B7457">
        <w:t xml:space="preserve"> and planning at provincial and district levels. </w:t>
      </w:r>
    </w:p>
    <w:p w14:paraId="2A9BD610" w14:textId="3DC21512" w:rsidR="007D01B9" w:rsidRDefault="007D01B9" w:rsidP="007D01B9">
      <w:r>
        <w:t xml:space="preserve">Another core component of support </w:t>
      </w:r>
      <w:r w:rsidR="00C02D63">
        <w:t xml:space="preserve">is </w:t>
      </w:r>
      <w:r>
        <w:t xml:space="preserve">to improve BNPB’s coordination and knowledge management functions </w:t>
      </w:r>
      <w:r w:rsidR="00226B40">
        <w:t xml:space="preserve">as they </w:t>
      </w:r>
      <w:r>
        <w:t xml:space="preserve">relate to donor engagement on DRM. The </w:t>
      </w:r>
      <w:r w:rsidR="00BB297E">
        <w:t>Management</w:t>
      </w:r>
      <w:r w:rsidR="00F1717E">
        <w:t xml:space="preserve"> </w:t>
      </w:r>
      <w:r w:rsidR="00815BE0">
        <w:t>Support Office</w:t>
      </w:r>
      <w:r>
        <w:t xml:space="preserve"> </w:t>
      </w:r>
      <w:r w:rsidR="00BB297E">
        <w:t xml:space="preserve">(MSO) </w:t>
      </w:r>
      <w:r>
        <w:t xml:space="preserve">will assist BNPB to </w:t>
      </w:r>
      <w:r w:rsidR="00C02D63" w:rsidRPr="00243779">
        <w:rPr>
          <w:b/>
        </w:rPr>
        <w:t>establish a coordinated process for BNPB to seek donor support in implementation of BNPB’s and GOI’s programmatic priorities and ways to track, measure and evaluate th</w:t>
      </w:r>
      <w:r w:rsidR="00BB297E" w:rsidRPr="00243779">
        <w:rPr>
          <w:b/>
        </w:rPr>
        <w:t>e</w:t>
      </w:r>
      <w:r w:rsidR="00C02D63" w:rsidRPr="00243779">
        <w:rPr>
          <w:b/>
        </w:rPr>
        <w:t>s</w:t>
      </w:r>
      <w:r w:rsidR="00BB297E" w:rsidRPr="00243779">
        <w:rPr>
          <w:b/>
        </w:rPr>
        <w:t>e</w:t>
      </w:r>
      <w:r w:rsidR="00C02D63" w:rsidRPr="00243779">
        <w:rPr>
          <w:b/>
        </w:rPr>
        <w:t xml:space="preserve"> support</w:t>
      </w:r>
      <w:r w:rsidR="00BB297E" w:rsidRPr="00243779">
        <w:rPr>
          <w:b/>
        </w:rPr>
        <w:t>s</w:t>
      </w:r>
      <w:r w:rsidR="00C02D63">
        <w:t xml:space="preserve">. </w:t>
      </w:r>
      <w:r>
        <w:t>This area of work will also enable the investment to explore synergies and opportunities for alignment with other DRM donor programs throughout the program period.</w:t>
      </w:r>
    </w:p>
    <w:p w14:paraId="376FE740" w14:textId="4B74B1AC" w:rsidR="007D01B9" w:rsidRDefault="007D01B9" w:rsidP="007D01B9">
      <w:r>
        <w:t xml:space="preserve">The </w:t>
      </w:r>
      <w:r w:rsidR="00BB297E">
        <w:t xml:space="preserve">Management </w:t>
      </w:r>
      <w:r w:rsidR="00815BE0">
        <w:t>Support Office</w:t>
      </w:r>
      <w:r>
        <w:t xml:space="preserve"> </w:t>
      </w:r>
      <w:r w:rsidR="00BB297E">
        <w:t xml:space="preserve">(MSO) </w:t>
      </w:r>
      <w:r w:rsidR="005A7581">
        <w:t xml:space="preserve">will be a permanent structure that </w:t>
      </w:r>
      <w:r>
        <w:t xml:space="preserve">will strengthen core functions of BNPB rather than establish new functions. </w:t>
      </w:r>
      <w:r w:rsidR="00B87EEA">
        <w:t>T</w:t>
      </w:r>
      <w:r>
        <w:t>his will involve technical advisors performing some key functions in addition to playing advisory roles to support the establishment of new processes</w:t>
      </w:r>
      <w:r w:rsidR="00BB297E">
        <w:t xml:space="preserve"> (or refinement of the current process) and to get the necessary buy in from relevant BNPB management to implement those new</w:t>
      </w:r>
      <w:r w:rsidR="00C765F0">
        <w:t>/updated</w:t>
      </w:r>
      <w:r w:rsidR="00BB297E">
        <w:t xml:space="preserve"> processes. This will be the focus during </w:t>
      </w:r>
      <w:r>
        <w:t>the first half of the program. It is expected that advisors work closely with BNPB counterparts to ensure all new</w:t>
      </w:r>
      <w:r w:rsidR="00BB297E">
        <w:t>/refine</w:t>
      </w:r>
      <w:r w:rsidR="003B12FC">
        <w:t>d</w:t>
      </w:r>
      <w:r>
        <w:t xml:space="preserve"> processes are sustainably transitioned to BNPB, discontinuing the need to retain a donor funded </w:t>
      </w:r>
      <w:r w:rsidR="00BB297E">
        <w:t xml:space="preserve">MSO </w:t>
      </w:r>
      <w:r w:rsidR="00B87EEA">
        <w:t xml:space="preserve">beyond </w:t>
      </w:r>
      <w:r>
        <w:t>program’s completion.</w:t>
      </w:r>
      <w:r w:rsidR="005A7581">
        <w:t xml:space="preserve"> T</w:t>
      </w:r>
      <w:r w:rsidR="00BB297E">
        <w:t>his way t</w:t>
      </w:r>
      <w:r w:rsidR="005A7581">
        <w:t xml:space="preserve">he </w:t>
      </w:r>
      <w:r w:rsidR="00BB297E">
        <w:t xml:space="preserve">Management </w:t>
      </w:r>
      <w:r w:rsidR="00815BE0">
        <w:t>Support Office</w:t>
      </w:r>
      <w:r w:rsidR="005A7581">
        <w:t xml:space="preserve"> will remain after the life of the program, managed </w:t>
      </w:r>
      <w:r w:rsidR="00B87EEA">
        <w:t xml:space="preserve">and funded </w:t>
      </w:r>
      <w:r w:rsidR="005A7581">
        <w:t>entirely</w:t>
      </w:r>
      <w:r w:rsidR="00BB297E">
        <w:t xml:space="preserve"> </w:t>
      </w:r>
      <w:r w:rsidR="005A7581">
        <w:t xml:space="preserve">by BNPB. </w:t>
      </w:r>
    </w:p>
    <w:p w14:paraId="7DBBB294" w14:textId="3DB2D66D" w:rsidR="00266E29" w:rsidRDefault="00266E29" w:rsidP="007D01B9">
      <w:r>
        <w:t xml:space="preserve">This Pillar will also </w:t>
      </w:r>
      <w:r w:rsidRPr="00243779">
        <w:rPr>
          <w:b/>
        </w:rPr>
        <w:t>support BNPB’s internal capability development</w:t>
      </w:r>
      <w:r>
        <w:t xml:space="preserve">, including through review of BNPB’s staff capability and development requirements and support for training, workshops, internships and study tours. </w:t>
      </w:r>
      <w:r w:rsidR="00732447" w:rsidRPr="002F565D">
        <w:t xml:space="preserve">This will also be supported through Australia Awards Scholarships for masters and PhD programs as well as Australia Awards Short Courses for BNPB staff. Australia and BNPB will nominate applicants each year for Australia Awards scholarships and will work together on potential short course topics. </w:t>
      </w:r>
      <w:r w:rsidRPr="002F565D">
        <w:t xml:space="preserve">There is </w:t>
      </w:r>
      <w:r w:rsidR="00DF5181" w:rsidRPr="002F565D">
        <w:t xml:space="preserve">also </w:t>
      </w:r>
      <w:r w:rsidRPr="002F565D">
        <w:t>scope to stren</w:t>
      </w:r>
      <w:r>
        <w:t>gthen linkages with Australian counterparts</w:t>
      </w:r>
      <w:r w:rsidR="00B87EEA">
        <w:t xml:space="preserve"> outside DFAT</w:t>
      </w:r>
      <w:r>
        <w:t>.</w:t>
      </w:r>
      <w:r w:rsidR="00DF5181">
        <w:t xml:space="preserve"> </w:t>
      </w:r>
      <w:r>
        <w:t xml:space="preserve">  </w:t>
      </w:r>
    </w:p>
    <w:p w14:paraId="0FCD7F40" w14:textId="71A1B073" w:rsidR="0085274A" w:rsidRDefault="000C57BF" w:rsidP="007D01B9">
      <w:r>
        <w:t xml:space="preserve">These program activities will </w:t>
      </w:r>
      <w:r w:rsidR="009D439C">
        <w:t>assist</w:t>
      </w:r>
      <w:r>
        <w:t xml:space="preserve"> BNPB to increase its focus on longer term DRM </w:t>
      </w:r>
      <w:r w:rsidR="00DD5D9E">
        <w:t>work and</w:t>
      </w:r>
      <w:r>
        <w:t xml:space="preserve"> strengthen its role as a coordinator and leader of disaster response </w:t>
      </w:r>
      <w:r w:rsidR="00AD145F">
        <w:t>(</w:t>
      </w:r>
      <w:r>
        <w:t>a focus BNPB has not yet fully developed due to the challenges described</w:t>
      </w:r>
      <w:r w:rsidR="0085274A">
        <w:t xml:space="preserve"> in context section above</w:t>
      </w:r>
      <w:r w:rsidR="00AD145F">
        <w:t>)</w:t>
      </w:r>
      <w:r w:rsidR="0085274A">
        <w:t xml:space="preserve"> and address horizontal challenges at nati</w:t>
      </w:r>
      <w:r w:rsidR="00C765F0">
        <w:t>onal level between BNPB, other m</w:t>
      </w:r>
      <w:r w:rsidR="0085274A">
        <w:t>inistries, CSOs</w:t>
      </w:r>
      <w:r w:rsidR="00B87EEA">
        <w:t xml:space="preserve">, </w:t>
      </w:r>
      <w:r w:rsidR="0085274A">
        <w:t>other non-state actors, and development/humanitarian international partners.</w:t>
      </w:r>
    </w:p>
    <w:p w14:paraId="2D624796" w14:textId="165CF189" w:rsidR="007D01B9" w:rsidRPr="00DA334C" w:rsidRDefault="007D01B9" w:rsidP="007D01B9">
      <w:pPr>
        <w:rPr>
          <w:b/>
        </w:rPr>
      </w:pPr>
      <w:r w:rsidRPr="00DA334C">
        <w:rPr>
          <w:b/>
        </w:rPr>
        <w:t xml:space="preserve">Modality </w:t>
      </w:r>
    </w:p>
    <w:p w14:paraId="1881A413" w14:textId="499A07F2" w:rsidR="00266E29" w:rsidRDefault="007D01B9" w:rsidP="006472AD">
      <w:r>
        <w:t xml:space="preserve">Pillar 1 </w:t>
      </w:r>
      <w:r w:rsidRPr="002B1286">
        <w:t>will be delivered through technical assistance</w:t>
      </w:r>
      <w:r>
        <w:t xml:space="preserve"> located in a </w:t>
      </w:r>
      <w:r w:rsidR="00243779">
        <w:t xml:space="preserve">Management </w:t>
      </w:r>
      <w:r w:rsidR="00815BE0">
        <w:t xml:space="preserve">Support </w:t>
      </w:r>
      <w:r>
        <w:t xml:space="preserve">Office </w:t>
      </w:r>
      <w:r w:rsidR="00243779">
        <w:t xml:space="preserve">(MSO) </w:t>
      </w:r>
      <w:r>
        <w:t>in BNPB</w:t>
      </w:r>
      <w:r w:rsidR="004F701B">
        <w:t xml:space="preserve"> premises</w:t>
      </w:r>
      <w:r>
        <w:t xml:space="preserve">, which should also include BNPB staff. It is expected that </w:t>
      </w:r>
      <w:r w:rsidR="00243779">
        <w:t xml:space="preserve">Management </w:t>
      </w:r>
      <w:r w:rsidR="00815BE0">
        <w:t xml:space="preserve">Support </w:t>
      </w:r>
      <w:r>
        <w:t xml:space="preserve">Office </w:t>
      </w:r>
      <w:r w:rsidR="005A7581">
        <w:t xml:space="preserve">function remains the same but the costs and structures should </w:t>
      </w:r>
      <w:r>
        <w:t xml:space="preserve">be absorbed into BNPB in the final year of the program.  Technical assistance will include an international and </w:t>
      </w:r>
      <w:r w:rsidR="00E038F1">
        <w:t xml:space="preserve">two </w:t>
      </w:r>
      <w:r>
        <w:t>national DRM Adviser</w:t>
      </w:r>
      <w:r w:rsidR="00E038F1">
        <w:t>s</w:t>
      </w:r>
      <w:r>
        <w:t xml:space="preserve"> and a range of short term advisors in </w:t>
      </w:r>
      <w:r w:rsidR="005A7581">
        <w:t xml:space="preserve">strategy and policy development, coordination, </w:t>
      </w:r>
      <w:r>
        <w:t>communication</w:t>
      </w:r>
      <w:r w:rsidRPr="002B1286">
        <w:t xml:space="preserve">, knowledge </w:t>
      </w:r>
      <w:r>
        <w:t>management, organisation</w:t>
      </w:r>
      <w:r w:rsidR="005A7581">
        <w:t>al</w:t>
      </w:r>
      <w:r>
        <w:t xml:space="preserve"> planning and </w:t>
      </w:r>
      <w:r w:rsidRPr="002B1286">
        <w:t>monitoring</w:t>
      </w:r>
      <w:r w:rsidR="00E95848">
        <w:t xml:space="preserve"> as required</w:t>
      </w:r>
      <w:r>
        <w:t xml:space="preserve">. </w:t>
      </w:r>
      <w:r w:rsidR="00266E29">
        <w:t xml:space="preserve">It will also be delivered through training, workshops, internships, study tours, mentoring and coaching </w:t>
      </w:r>
      <w:r w:rsidR="00E95848">
        <w:t xml:space="preserve">and other mechanisms </w:t>
      </w:r>
      <w:r w:rsidR="00266E29">
        <w:t xml:space="preserve">where relevant. </w:t>
      </w:r>
    </w:p>
    <w:p w14:paraId="5FE452D4" w14:textId="77777777" w:rsidR="00A14062" w:rsidRDefault="00A14062" w:rsidP="007D01B9">
      <w:pPr>
        <w:rPr>
          <w:b/>
        </w:rPr>
      </w:pPr>
    </w:p>
    <w:p w14:paraId="0B6A5883" w14:textId="0E800249" w:rsidR="007D01B9" w:rsidRPr="00DA334C" w:rsidRDefault="007D01B9" w:rsidP="007D01B9">
      <w:pPr>
        <w:rPr>
          <w:b/>
        </w:rPr>
      </w:pPr>
      <w:r w:rsidRPr="00DA334C">
        <w:rPr>
          <w:b/>
        </w:rPr>
        <w:t>Pillar 2: Sub-national DRM capacity and community resilience</w:t>
      </w:r>
    </w:p>
    <w:p w14:paraId="6404D85D" w14:textId="644CA89F" w:rsidR="009B0A9D" w:rsidRDefault="007D01B9" w:rsidP="007D01B9">
      <w:r>
        <w:t xml:space="preserve">Pillar </w:t>
      </w:r>
      <w:r w:rsidRPr="002C2C3E">
        <w:t xml:space="preserve">2 </w:t>
      </w:r>
      <w:r>
        <w:t xml:space="preserve">aims to improve the </w:t>
      </w:r>
      <w:r w:rsidR="001563F2">
        <w:t xml:space="preserve">local </w:t>
      </w:r>
      <w:r>
        <w:t xml:space="preserve">DRM </w:t>
      </w:r>
      <w:r w:rsidR="001563F2">
        <w:t xml:space="preserve">ecosystem by building the </w:t>
      </w:r>
      <w:r>
        <w:t xml:space="preserve">capacity of sub-national government, and the ability of affected communities to prepare for, respond to and recover from disasters. </w:t>
      </w:r>
      <w:r w:rsidR="00EE53ED">
        <w:t xml:space="preserve">The objective will be achieved by using an integrated strategy for </w:t>
      </w:r>
      <w:r w:rsidR="00E87519">
        <w:t>DRR</w:t>
      </w:r>
      <w:r w:rsidR="00EE53ED">
        <w:t xml:space="preserve">. This will ensure similar understanding of what </w:t>
      </w:r>
      <w:r w:rsidR="00735276">
        <w:t xml:space="preserve">has </w:t>
      </w:r>
      <w:r w:rsidR="00EE53ED">
        <w:t xml:space="preserve">to be done by whom and when, and will avoid duplication or overlapping of actions. </w:t>
      </w:r>
      <w:r>
        <w:t xml:space="preserve">This investment will </w:t>
      </w:r>
      <w:r w:rsidR="00EE53ED">
        <w:t xml:space="preserve">also </w:t>
      </w:r>
      <w:r>
        <w:t>reinforce and support Indonesia’s increasing prioritisation of decentralised DRM</w:t>
      </w:r>
      <w:r w:rsidR="009B0A9D">
        <w:t xml:space="preserve"> including through supporting effective implementation of MSS in DRM at the local level</w:t>
      </w:r>
      <w:r>
        <w:t xml:space="preserve">. </w:t>
      </w:r>
    </w:p>
    <w:p w14:paraId="2B126447" w14:textId="77777777" w:rsidR="00735276" w:rsidRDefault="007D01B9" w:rsidP="007D01B9">
      <w:r>
        <w:t>This pillar features a set of three mutually reinforcing components</w:t>
      </w:r>
      <w:r w:rsidRPr="0047019F">
        <w:t xml:space="preserve"> </w:t>
      </w:r>
      <w:r>
        <w:t xml:space="preserve">implemented in the same target provinces: </w:t>
      </w:r>
    </w:p>
    <w:p w14:paraId="075770DF" w14:textId="64730876" w:rsidR="00735276" w:rsidRDefault="007D01B9" w:rsidP="00E50F22">
      <w:pPr>
        <w:pStyle w:val="ListParagraph"/>
        <w:numPr>
          <w:ilvl w:val="0"/>
          <w:numId w:val="31"/>
        </w:numPr>
      </w:pPr>
      <w:r>
        <w:t xml:space="preserve">capacity building support to BPBDs and their Pusdalops; </w:t>
      </w:r>
    </w:p>
    <w:p w14:paraId="671026E9" w14:textId="6AB01FD4" w:rsidR="00735276" w:rsidRDefault="007D01B9" w:rsidP="00E50F22">
      <w:pPr>
        <w:pStyle w:val="ListParagraph"/>
        <w:numPr>
          <w:ilvl w:val="0"/>
          <w:numId w:val="31"/>
        </w:numPr>
      </w:pPr>
      <w:r>
        <w:t>capacity building support to communit</w:t>
      </w:r>
      <w:r w:rsidR="00735276">
        <w:t>ies</w:t>
      </w:r>
      <w:r>
        <w:t xml:space="preserve"> through </w:t>
      </w:r>
      <w:r w:rsidR="0056786A">
        <w:t>CSOs</w:t>
      </w:r>
      <w:r>
        <w:t>; and</w:t>
      </w:r>
    </w:p>
    <w:p w14:paraId="126AAEE8" w14:textId="77777777" w:rsidR="00735276" w:rsidRDefault="007D01B9" w:rsidP="00E50F22">
      <w:pPr>
        <w:pStyle w:val="ListParagraph"/>
        <w:numPr>
          <w:ilvl w:val="0"/>
          <w:numId w:val="31"/>
        </w:numPr>
      </w:pPr>
      <w:r w:rsidRPr="00856B94">
        <w:t>support to strengthen DRR platforms</w:t>
      </w:r>
      <w:r w:rsidR="009B0A9D">
        <w:t xml:space="preserve"> at the local level</w:t>
      </w:r>
      <w:r>
        <w:t xml:space="preserve">. </w:t>
      </w:r>
    </w:p>
    <w:p w14:paraId="6D0DFCE6" w14:textId="3E92C996" w:rsidR="009B0A9D" w:rsidRDefault="007D01B9" w:rsidP="00735276">
      <w:r>
        <w:t xml:space="preserve">This approach aims to produce impact by </w:t>
      </w:r>
      <w:r w:rsidR="003B12FC">
        <w:t>implementing</w:t>
      </w:r>
      <w:r>
        <w:t xml:space="preserve"> a set of coordinated activities which build on gains made through previous DRM work and leverages DFAT’s other programs implemented in the same localities including </w:t>
      </w:r>
      <w:r w:rsidR="00E95848">
        <w:t>s</w:t>
      </w:r>
      <w:r w:rsidR="009B0A9D" w:rsidRPr="000E7E00">
        <w:t xml:space="preserve">ocial </w:t>
      </w:r>
      <w:r w:rsidR="00E95848">
        <w:t>p</w:t>
      </w:r>
      <w:r w:rsidR="009B0A9D" w:rsidRPr="000E7E00">
        <w:t xml:space="preserve">rotection (cash for emergencies), </w:t>
      </w:r>
      <w:r w:rsidR="00E95848">
        <w:t>health security</w:t>
      </w:r>
      <w:r w:rsidR="009B0A9D" w:rsidRPr="000E7E00">
        <w:t xml:space="preserve"> (disease outbreak), MAMPU (gender and social inclusion)</w:t>
      </w:r>
      <w:r w:rsidR="009B0A9D">
        <w:t>,</w:t>
      </w:r>
      <w:r w:rsidR="009B0A9D" w:rsidRPr="000E7E00">
        <w:t xml:space="preserve"> </w:t>
      </w:r>
      <w:r w:rsidR="00E95848">
        <w:t>e</w:t>
      </w:r>
      <w:r w:rsidR="009B0A9D" w:rsidRPr="000E7E00">
        <w:t xml:space="preserve">nvironmental </w:t>
      </w:r>
      <w:r w:rsidR="00E95848">
        <w:t>g</w:t>
      </w:r>
      <w:r w:rsidR="009B0A9D" w:rsidRPr="000E7E00">
        <w:t>overnance (climate related hazards)</w:t>
      </w:r>
      <w:r w:rsidR="009B0A9D">
        <w:t xml:space="preserve"> and KOMPAK program. </w:t>
      </w:r>
    </w:p>
    <w:p w14:paraId="09D23E75" w14:textId="0BBA95D3" w:rsidR="007D01B9" w:rsidRDefault="007D01B9" w:rsidP="007D01B9">
      <w:r>
        <w:t xml:space="preserve">BPBDs have responsibilities to manage epidemics and other health disasters, along with health authorities and this program can work with DFAT’s health security program in target locations. KOMPAK supports effective decentralisation including planning and budgeting, and this program can draw on KOMPAK’s expertise in the target locations. </w:t>
      </w:r>
      <w:r w:rsidRPr="00856B94">
        <w:t xml:space="preserve">As outlined under </w:t>
      </w:r>
      <w:r w:rsidR="005B679E">
        <w:t>Outcome 4 (cross-cutting themes)</w:t>
      </w:r>
      <w:r w:rsidRPr="00856B94">
        <w:t>, documentation</w:t>
      </w:r>
      <w:r>
        <w:t xml:space="preserve"> of learning and results in this area is essential so that the program can provide models that can be adopted and replicated by government and CSOs.  </w:t>
      </w:r>
    </w:p>
    <w:p w14:paraId="61B2D010" w14:textId="116F28CF" w:rsidR="007D01B9" w:rsidRDefault="007D01B9" w:rsidP="007D01B9">
      <w:r>
        <w:t xml:space="preserve">Target provinces of </w:t>
      </w:r>
      <w:r w:rsidRPr="007C7BBD">
        <w:t xml:space="preserve">South Sulawesi, East Java, Bali and </w:t>
      </w:r>
      <w:r w:rsidR="00E95848">
        <w:t xml:space="preserve">up to </w:t>
      </w:r>
      <w:r w:rsidR="009B0A9D">
        <w:t xml:space="preserve">three other provinces to be determined in consultation with GOI are </w:t>
      </w:r>
      <w:r>
        <w:t>based on three criteria: high disaster risk districts or municipalities; synergies with DFAT programs and interests; and potential for learning between higher and lower capacity locations</w:t>
      </w:r>
      <w:r w:rsidRPr="002F565D">
        <w:t>.</w:t>
      </w:r>
      <w:r w:rsidR="00DF5181" w:rsidRPr="002F565D">
        <w:t xml:space="preserve"> While up to six provinces will receive long-term advisory support through the program, there are also opportunities to work with other provinces to share models and policies developed in the six target provinces. For example, on fire management, there might be opportunities for target provinces to hold joint workshops or trainings involving other provinces with similar hazard risks to help promote learning.</w:t>
      </w:r>
      <w:r w:rsidR="00DF5181">
        <w:t xml:space="preserve"> </w:t>
      </w:r>
    </w:p>
    <w:p w14:paraId="23E4F38B" w14:textId="770CD5E9" w:rsidR="007D01B9" w:rsidRPr="009B0A9D" w:rsidRDefault="007D01B9" w:rsidP="009B0A9D">
      <w:r>
        <w:t xml:space="preserve">Program activities aimed at strengthening sub-national government capacity directly align with upcoming national government priorities to communicate and support the effective implementation of </w:t>
      </w:r>
      <w:r w:rsidRPr="006A5FA6">
        <w:t xml:space="preserve">the </w:t>
      </w:r>
      <w:r>
        <w:t xml:space="preserve">MSS on DRM </w:t>
      </w:r>
      <w:r w:rsidRPr="006A5FA6">
        <w:t>recen</w:t>
      </w:r>
      <w:r>
        <w:t xml:space="preserve">tly developed by the government. </w:t>
      </w:r>
      <w:r w:rsidR="009B0A9D">
        <w:t>In supporting MSS implementation, a</w:t>
      </w:r>
      <w:r w:rsidR="009B0A9D" w:rsidRPr="00F161AB">
        <w:t xml:space="preserve"> work plan will be developed in line with Disaster Management Plan document of the respective province</w:t>
      </w:r>
      <w:r w:rsidR="009B0A9D">
        <w:t>.</w:t>
      </w:r>
      <w:r w:rsidR="009B0A9D" w:rsidRPr="006A5FA6">
        <w:t xml:space="preserve"> </w:t>
      </w:r>
      <w:r w:rsidRPr="006A5FA6">
        <w:t>Technical assistance will be provided to BPBDs</w:t>
      </w:r>
      <w:r>
        <w:t xml:space="preserve"> </w:t>
      </w:r>
      <w:r w:rsidRPr="006A5FA6">
        <w:t xml:space="preserve">and their Pusdalops </w:t>
      </w:r>
      <w:r>
        <w:t>in the</w:t>
      </w:r>
      <w:r w:rsidR="00E95848">
        <w:t xml:space="preserve"> (up to)</w:t>
      </w:r>
      <w:r>
        <w:t xml:space="preserve"> six </w:t>
      </w:r>
      <w:r w:rsidR="009B0A9D">
        <w:t xml:space="preserve">target provinces </w:t>
      </w:r>
      <w:r w:rsidRPr="006A5FA6">
        <w:t>to</w:t>
      </w:r>
      <w:r>
        <w:t xml:space="preserve"> develop their DRM capacity</w:t>
      </w:r>
      <w:r w:rsidR="00207A63">
        <w:t xml:space="preserve"> including through support for the implementation of the MSS</w:t>
      </w:r>
      <w:r>
        <w:t xml:space="preserve">. Indonesian technical advisers will be selected by the program in conjunction with BPBD and BNPB representatives. </w:t>
      </w:r>
      <w:r w:rsidR="009B0A9D">
        <w:t xml:space="preserve">When developing a set of work priorities for targeted provinces, the </w:t>
      </w:r>
      <w:r w:rsidR="003B12FC">
        <w:t xml:space="preserve">disaster </w:t>
      </w:r>
      <w:r w:rsidR="009B0A9D">
        <w:t>risk map of the respective locality will be taken into consideration.</w:t>
      </w:r>
    </w:p>
    <w:p w14:paraId="3C450613" w14:textId="11514D7A" w:rsidR="00207A63" w:rsidRDefault="00207A63" w:rsidP="00207A63">
      <w:r>
        <w:t xml:space="preserve">Program support to BPBDs seeks to address gaps in </w:t>
      </w:r>
      <w:r w:rsidR="00E95848">
        <w:t>their</w:t>
      </w:r>
      <w:r>
        <w:t xml:space="preserve"> capacity as outlined in the context section above which highlight the need to build a more professional culture and greater DRM specific expertise among staff. It will strengthen disaster risk governance </w:t>
      </w:r>
      <w:r w:rsidR="003B12FC">
        <w:t>in</w:t>
      </w:r>
      <w:r>
        <w:t xml:space="preserve"> the targeted provinces, taking into account local context, and assist BPBDs to meet performance expectations introduced through the MSS, which require significant capacity development and organisational change. </w:t>
      </w:r>
    </w:p>
    <w:p w14:paraId="17CC207D" w14:textId="5EED6888" w:rsidR="00EA3BC0" w:rsidRPr="00D70CF4" w:rsidRDefault="00735276" w:rsidP="007D01B9">
      <w:pPr>
        <w:rPr>
          <w:i/>
        </w:rPr>
      </w:pPr>
      <w:r>
        <w:rPr>
          <w:i/>
        </w:rPr>
        <w:t xml:space="preserve">Capacity building support to </w:t>
      </w:r>
      <w:r w:rsidR="00EA3BC0" w:rsidRPr="00D70CF4">
        <w:rPr>
          <w:i/>
        </w:rPr>
        <w:t>BPBD</w:t>
      </w:r>
      <w:r>
        <w:rPr>
          <w:i/>
        </w:rPr>
        <w:t xml:space="preserve">s and their </w:t>
      </w:r>
      <w:r w:rsidR="00B90269">
        <w:rPr>
          <w:i/>
        </w:rPr>
        <w:t>Pusdalops</w:t>
      </w:r>
    </w:p>
    <w:p w14:paraId="215FED65" w14:textId="6D07E2FA" w:rsidR="007D01B9" w:rsidRPr="00DA334C" w:rsidRDefault="00200A78" w:rsidP="007D01B9">
      <w:r>
        <w:t>It is envisaged that t</w:t>
      </w:r>
      <w:r w:rsidR="007D01B9">
        <w:t xml:space="preserve">wo advisers will work in each </w:t>
      </w:r>
      <w:r w:rsidR="000667BC">
        <w:t>province</w:t>
      </w:r>
      <w:r w:rsidR="007D01B9">
        <w:t xml:space="preserve"> to enable coverage at province and district levels. </w:t>
      </w:r>
      <w:r w:rsidR="00207A63">
        <w:t xml:space="preserve">Depending on local context and capacity, the program may not cover the whole districts/municipalities within the targeted provinces and such decision will be made in consultation with GOI. </w:t>
      </w:r>
      <w:r w:rsidR="007D01B9">
        <w:t>This advisory support will be reduced at the mid-term of the program</w:t>
      </w:r>
      <w:r w:rsidR="000667BC">
        <w:t xml:space="preserve"> (and </w:t>
      </w:r>
      <w:r>
        <w:t xml:space="preserve">potentially </w:t>
      </w:r>
      <w:r w:rsidR="000667BC">
        <w:t xml:space="preserve">earlier for South Sulawesi as advisers have been placed for 12 months under </w:t>
      </w:r>
      <w:r w:rsidR="00C35B20">
        <w:t>the 2015-2018 Australian investment</w:t>
      </w:r>
      <w:r w:rsidR="000667BC">
        <w:t>)</w:t>
      </w:r>
      <w:r w:rsidR="007D01B9">
        <w:t xml:space="preserve"> to manage risks of capacity substitution. The program will also explore an arrangement for BNPB junior staff to be deployed with experienced advisers, </w:t>
      </w:r>
      <w:r w:rsidR="00207A63">
        <w:t xml:space="preserve">and for BPBD officials to undertake internships at BNPB, </w:t>
      </w:r>
      <w:r w:rsidR="007D01B9">
        <w:t xml:space="preserve">in order to build BNPB linkages with the provincial and district BPBDs and to build the capacity of BNPB junior staff to provide ongoing advisory support to BPBDs. </w:t>
      </w:r>
    </w:p>
    <w:p w14:paraId="7823039F" w14:textId="5BD41F22" w:rsidR="007D01B9" w:rsidRDefault="007D01B9" w:rsidP="007D01B9">
      <w:r>
        <w:t>Given the diverse contexts and levels o</w:t>
      </w:r>
      <w:r w:rsidR="001563F2">
        <w:t>f capacity within each locality</w:t>
      </w:r>
      <w:r>
        <w:t xml:space="preserve"> it is expected that in the first year adviser recruitment will be followed by a consultative process including situational analys</w:t>
      </w:r>
      <w:r w:rsidR="000F56CF">
        <w:t>es</w:t>
      </w:r>
      <w:r>
        <w:t xml:space="preserve"> and assessments to develop locally owned response frameworks and capacity building plans. </w:t>
      </w:r>
      <w:r w:rsidR="000F56CF">
        <w:t xml:space="preserve">A common planning framework, developed in consultation with BNPB, should be utilised across the program. </w:t>
      </w:r>
      <w:r>
        <w:t>The subsequent two years of program implementation will include the development of</w:t>
      </w:r>
      <w:r w:rsidRPr="00E331BC">
        <w:t xml:space="preserve"> </w:t>
      </w:r>
      <w:r>
        <w:t xml:space="preserve">SOPs, and strengthening of </w:t>
      </w:r>
      <w:r w:rsidR="000F56CF">
        <w:t>staffing</w:t>
      </w:r>
      <w:r>
        <w:t xml:space="preserve"> capacity, </w:t>
      </w:r>
      <w:r w:rsidRPr="006A5FA6">
        <w:t>stability</w:t>
      </w:r>
      <w:r>
        <w:t xml:space="preserve"> and systems as identified in capacity building plans. </w:t>
      </w:r>
      <w:r w:rsidR="000C5AC5">
        <w:t>It will support effective implementation of MSS in DRM at the local level. This will include an a</w:t>
      </w:r>
      <w:r w:rsidR="000C5AC5" w:rsidRPr="000C5AC5">
        <w:t>ssessment of the capacity and business process of targeted BPBDs to understand any gaps in the implementation of the MSS on DRM</w:t>
      </w:r>
      <w:r w:rsidR="000C5AC5">
        <w:t xml:space="preserve"> and help to establish a path forward. </w:t>
      </w:r>
      <w:r>
        <w:t xml:space="preserve">At a mid-way point, it is expected that clear progress is made in relation to targets set specific to each BPBD, commensurate with their context, baseline capacity and resources. </w:t>
      </w:r>
      <w:r w:rsidRPr="006A5FA6">
        <w:t xml:space="preserve">Technical assistance will be lightened </w:t>
      </w:r>
      <w:r>
        <w:t>in the</w:t>
      </w:r>
      <w:r w:rsidRPr="006A5FA6">
        <w:t xml:space="preserve"> </w:t>
      </w:r>
      <w:r>
        <w:t>third</w:t>
      </w:r>
      <w:r w:rsidRPr="006A5FA6">
        <w:t xml:space="preserve"> y</w:t>
      </w:r>
      <w:r>
        <w:t>ear to prevent the program’s technical assistance</w:t>
      </w:r>
      <w:r w:rsidRPr="006A5FA6">
        <w:t xml:space="preserve"> from being used as capacity substitution</w:t>
      </w:r>
      <w:r>
        <w:t xml:space="preserve">, with </w:t>
      </w:r>
      <w:r w:rsidRPr="006A5FA6">
        <w:t>ownership for capacity building</w:t>
      </w:r>
      <w:r>
        <w:t xml:space="preserve"> transition</w:t>
      </w:r>
      <w:r w:rsidRPr="006A5FA6">
        <w:t xml:space="preserve"> to</w:t>
      </w:r>
      <w:r>
        <w:t xml:space="preserve"> local</w:t>
      </w:r>
      <w:r w:rsidRPr="006A5FA6">
        <w:t xml:space="preserve"> government. </w:t>
      </w:r>
      <w:r>
        <w:t>An activity budget will be allocated for the remaining period to support BPBDs in key areas including multi-stakeholder disaster simulations which are a key way in which the program will assist</w:t>
      </w:r>
      <w:r w:rsidRPr="006A5FA6">
        <w:t xml:space="preserve"> BPBD</w:t>
      </w:r>
      <w:r>
        <w:t xml:space="preserve">s to plan, lead and coordinate. </w:t>
      </w:r>
      <w:r w:rsidRPr="006A5FA6">
        <w:t xml:space="preserve"> </w:t>
      </w:r>
    </w:p>
    <w:p w14:paraId="146DB585" w14:textId="48B01822" w:rsidR="002868F2" w:rsidRDefault="00FB1494" w:rsidP="007D01B9">
      <w:r>
        <w:t xml:space="preserve">Program support to </w:t>
      </w:r>
      <w:r w:rsidR="002868F2">
        <w:t>BP</w:t>
      </w:r>
      <w:r>
        <w:t>B</w:t>
      </w:r>
      <w:r w:rsidR="002868F2">
        <w:t>Ds seeks to address gaps in BPBD capacity as outlined in the context section above which highlight</w:t>
      </w:r>
      <w:r w:rsidR="004A1B74">
        <w:t>s</w:t>
      </w:r>
      <w:r w:rsidR="002868F2">
        <w:t xml:space="preserve"> the need to build a more professional culture and greater DRM specific expertise among staff. It will also assist BPBDs to meet performance expectations introduced through the MSS, which require significant capacity development and organisational change. </w:t>
      </w:r>
    </w:p>
    <w:p w14:paraId="6C9D81A1" w14:textId="222802CB" w:rsidR="00EA3BC0" w:rsidRPr="00D70CF4" w:rsidRDefault="004A1B74" w:rsidP="00207A63">
      <w:pPr>
        <w:rPr>
          <w:i/>
        </w:rPr>
      </w:pPr>
      <w:r>
        <w:rPr>
          <w:i/>
        </w:rPr>
        <w:t>Capacity building support to communities through CSOs</w:t>
      </w:r>
    </w:p>
    <w:p w14:paraId="724ED2FC" w14:textId="0C8B2242" w:rsidR="007D01B9" w:rsidRDefault="007D01B9" w:rsidP="00207A63">
      <w:r>
        <w:t xml:space="preserve">The program will support communities including women, men and children </w:t>
      </w:r>
      <w:r w:rsidRPr="00057A67">
        <w:t>(with and without disability)</w:t>
      </w:r>
      <w:r>
        <w:t xml:space="preserve"> to have improved access to information, tools and practices that enable them to better prevent and respond to disasters. This will be primarily achieved through increasing the coverage, effectiveness and sustainability of Resilient Village models, currently implemented by various organisations across Indonesia</w:t>
      </w:r>
      <w:r w:rsidR="002D244B">
        <w:t xml:space="preserve">. Resilient Villages builds on existing community capacity to address climate adaptation, </w:t>
      </w:r>
      <w:r w:rsidR="00E87519">
        <w:t>DRR</w:t>
      </w:r>
      <w:r w:rsidR="002D244B">
        <w:t xml:space="preserve"> and preparedness</w:t>
      </w:r>
      <w:r w:rsidR="007101D1">
        <w:t xml:space="preserve"> for all members of the village</w:t>
      </w:r>
      <w:r>
        <w:t xml:space="preserve">. </w:t>
      </w:r>
      <w:r w:rsidR="00C35B20">
        <w:t xml:space="preserve">In consultation with GOI, </w:t>
      </w:r>
      <w:r w:rsidR="001563F2">
        <w:t>PMI</w:t>
      </w:r>
      <w:r w:rsidRPr="006A5FA6">
        <w:t>, NU</w:t>
      </w:r>
      <w:r>
        <w:t xml:space="preserve"> and </w:t>
      </w:r>
      <w:r w:rsidRPr="006A5FA6">
        <w:t>Muhammadiyah</w:t>
      </w:r>
      <w:r>
        <w:t xml:space="preserve"> have been identified as partners as they are the major national humanitarian organisations, with established links for both disaster response and preparedness. </w:t>
      </w:r>
      <w:r w:rsidR="00EE70E5">
        <w:t xml:space="preserve">A key element </w:t>
      </w:r>
      <w:r w:rsidR="007101D1">
        <w:t xml:space="preserve">of support to these organisations will be to understand how gender and disability inclusion has been advanced to date and how this can be accelerated through program support, for example through supporting women’s leadership within their community in both disaster preparedness and during response. </w:t>
      </w:r>
      <w:r>
        <w:t xml:space="preserve">The Managing Contractor and DFAT will negotiate grant agreements with the organisations in line with this design, including agreement on which target location each organisation will work in. </w:t>
      </w:r>
      <w:r w:rsidR="00207A63">
        <w:t xml:space="preserve">This will be supported </w:t>
      </w:r>
      <w:r w:rsidR="00CE77D5">
        <w:t xml:space="preserve">by </w:t>
      </w:r>
      <w:r w:rsidR="00207A63">
        <w:t>the early recruitment of a Gender Equality and Social Inclusion (GESI) specialist.</w:t>
      </w:r>
    </w:p>
    <w:p w14:paraId="251145E1" w14:textId="517128E7" w:rsidR="00921A06" w:rsidRDefault="007D01B9" w:rsidP="007D01B9">
      <w:r>
        <w:t xml:space="preserve">These organisations will be provided with grants to implement their community-based disaster risk management, and in particular the Resilient Village model – either through strengthening existing projects or expanding into new communities. </w:t>
      </w:r>
      <w:r w:rsidR="0034715D">
        <w:t xml:space="preserve">They will have access to program GESI specialist support to assess and build on their approaches to gender equality and disability inclusion so that community-based governance structures include representation of women, people with disability and other diverse groups. </w:t>
      </w:r>
      <w:r w:rsidR="00065952">
        <w:t xml:space="preserve">DPOs </w:t>
      </w:r>
      <w:r w:rsidR="00587348">
        <w:t>may</w:t>
      </w:r>
      <w:r w:rsidR="00065952">
        <w:t xml:space="preserve"> also be supported by the program to</w:t>
      </w:r>
      <w:r w:rsidR="00921A06">
        <w:t xml:space="preserve"> engage with these organisations to improve their understanding of and support for disability inclusion. </w:t>
      </w:r>
      <w:r w:rsidR="00427859">
        <w:t xml:space="preserve">The program </w:t>
      </w:r>
      <w:r w:rsidR="003500E8">
        <w:t>may</w:t>
      </w:r>
      <w:r w:rsidR="00427859">
        <w:t xml:space="preserve"> also work with local and national women’s organisations to </w:t>
      </w:r>
      <w:r w:rsidR="00B919E4">
        <w:t>build or transfer capacity.</w:t>
      </w:r>
      <w:r w:rsidR="00EA3BC0">
        <w:t xml:space="preserve"> This will also enable capacity building for the organisation itself. </w:t>
      </w:r>
    </w:p>
    <w:p w14:paraId="550100DC" w14:textId="7DA58570" w:rsidR="007D01B9" w:rsidRDefault="007D01B9" w:rsidP="007D01B9">
      <w:r>
        <w:t xml:space="preserve">While NGO projects will be implemented over the life of the project, at a mid-way point, it is expected that community access to and application of DRM and DRR information, tools and practices will have </w:t>
      </w:r>
      <w:r w:rsidR="004A1B74">
        <w:t>improved</w:t>
      </w:r>
      <w:r>
        <w:t>. At the end of the program, it is expected that NGO partners</w:t>
      </w:r>
      <w:r w:rsidR="004A1B74">
        <w:t xml:space="preserve"> can</w:t>
      </w:r>
      <w:r>
        <w:t xml:space="preserve"> clearly demonstrate the sustainability of community capacity facilitated by the project, along with the value and sustainability of their Resilient Village model. It is also expected that some initiatives undertaken by BPBDs in relation to the application of MSS and DRR platforms will also contribute to the outcome of improved community access to accurate risk information. </w:t>
      </w:r>
    </w:p>
    <w:p w14:paraId="09B45A38" w14:textId="4AFB1628" w:rsidR="004A1B74" w:rsidRPr="004A1B74" w:rsidRDefault="004A1B74" w:rsidP="007D01B9">
      <w:pPr>
        <w:rPr>
          <w:i/>
        </w:rPr>
      </w:pPr>
      <w:r w:rsidRPr="004A1B74">
        <w:rPr>
          <w:i/>
        </w:rPr>
        <w:t>Support to strengthen DRR platforms at the local level</w:t>
      </w:r>
    </w:p>
    <w:p w14:paraId="228AE6BE" w14:textId="2F87D99E" w:rsidR="007D01B9" w:rsidRPr="00B72E68" w:rsidRDefault="007D01B9" w:rsidP="007D01B9">
      <w:r>
        <w:t xml:space="preserve">The same organisations </w:t>
      </w:r>
      <w:r w:rsidRPr="008712D8">
        <w:t>will be funded to</w:t>
      </w:r>
      <w:r>
        <w:t xml:space="preserve"> </w:t>
      </w:r>
      <w:r w:rsidRPr="008712D8">
        <w:t xml:space="preserve">strengthen </w:t>
      </w:r>
      <w:r>
        <w:t xml:space="preserve">DRR civil society platforms that they currently facilitate in </w:t>
      </w:r>
      <w:r w:rsidRPr="008712D8">
        <w:t xml:space="preserve">target </w:t>
      </w:r>
      <w:r>
        <w:t>locations</w:t>
      </w:r>
      <w:r w:rsidRPr="008712D8">
        <w:t>.</w:t>
      </w:r>
      <w:r>
        <w:t xml:space="preserve"> </w:t>
      </w:r>
      <w:r w:rsidR="00F50337">
        <w:t>T</w:t>
      </w:r>
      <w:r>
        <w:t xml:space="preserve">he NGOs </w:t>
      </w:r>
      <w:r w:rsidR="00F50337">
        <w:t xml:space="preserve">may </w:t>
      </w:r>
      <w:r>
        <w:t>also be supported to strengthen the national DRR Platform. The program will support regular meetings and information sharing between CSOs, government and non-state actors such as media, private sector, think tanks and research organisations / universities. For example, universities at the provincial level may assist in the use of data systems as part of risk assessment processes; and think tanks may be engaged to provide objectivity for after action reviews. DRR p</w:t>
      </w:r>
      <w:r w:rsidRPr="008712D8">
        <w:t>latforms will be encouraged to ensure representation of</w:t>
      </w:r>
      <w:r>
        <w:t xml:space="preserve"> women, people with disability</w:t>
      </w:r>
      <w:r w:rsidRPr="008712D8">
        <w:t xml:space="preserve"> and other marginalised groups. This </w:t>
      </w:r>
      <w:r>
        <w:t xml:space="preserve">work stream </w:t>
      </w:r>
      <w:r w:rsidRPr="008712D8">
        <w:t xml:space="preserve">will support multi-stakeholder coordination on the ground, and advocacy by non-state actors to provincial </w:t>
      </w:r>
      <w:r>
        <w:t xml:space="preserve">and district </w:t>
      </w:r>
      <w:r w:rsidRPr="008712D8">
        <w:t xml:space="preserve">government. </w:t>
      </w:r>
      <w:r>
        <w:t>It will also provide a stronger coordination mechanism that BPBDs can link with when leading and coordinating responses.</w:t>
      </w:r>
      <w:r w:rsidRPr="001768AB">
        <w:t xml:space="preserve"> </w:t>
      </w:r>
      <w:r>
        <w:t>Support for the national DRR forum will enable local issues to be brought to a national level for advocacy by non-state actors to BNPB, MoHA</w:t>
      </w:r>
      <w:r w:rsidR="00207A63">
        <w:t>, MOSA</w:t>
      </w:r>
      <w:r>
        <w:t xml:space="preserve">, </w:t>
      </w:r>
      <w:r w:rsidR="00CA1E0A">
        <w:t>Bappenas</w:t>
      </w:r>
      <w:r>
        <w:t xml:space="preserve"> and international partners.</w:t>
      </w:r>
    </w:p>
    <w:p w14:paraId="45C2D34D" w14:textId="5CAA6245" w:rsidR="007D01B9" w:rsidRDefault="007D01B9" w:rsidP="007D01B9">
      <w:r>
        <w:t xml:space="preserve">It is expected that collectively, these activities will reduce the likely </w:t>
      </w:r>
      <w:r w:rsidRPr="00275489">
        <w:t>impact</w:t>
      </w:r>
      <w:r>
        <w:t xml:space="preserve"> of disasters</w:t>
      </w:r>
      <w:r w:rsidRPr="00275489">
        <w:t xml:space="preserve"> on men, women and children (</w:t>
      </w:r>
      <w:r>
        <w:t>including those with</w:t>
      </w:r>
      <w:r w:rsidRPr="00275489">
        <w:t xml:space="preserve"> disability) in the event of a disaster</w:t>
      </w:r>
      <w:r>
        <w:t xml:space="preserve">. After-action reviews </w:t>
      </w:r>
      <w:r w:rsidR="003500E8">
        <w:t>may</w:t>
      </w:r>
      <w:r>
        <w:t xml:space="preserve"> be funded through the program to support </w:t>
      </w:r>
      <w:r w:rsidR="0094476B">
        <w:t>GoI</w:t>
      </w:r>
      <w:r>
        <w:t xml:space="preserve">, civil society and international partners to assess the effectiveness of the response. These reviews will also attempt to identify the extent to which the program has contributed to reducing the impact of specific disasters as outlined in </w:t>
      </w:r>
      <w:r w:rsidR="005B679E">
        <w:t>Outcome 4 (cross-cutting themes)</w:t>
      </w:r>
      <w:r>
        <w:t xml:space="preserve">. </w:t>
      </w:r>
    </w:p>
    <w:p w14:paraId="77BB8F73" w14:textId="77777777" w:rsidR="007D01B9" w:rsidRPr="00DA334C" w:rsidRDefault="007D01B9" w:rsidP="007D01B9">
      <w:pPr>
        <w:rPr>
          <w:b/>
        </w:rPr>
      </w:pPr>
      <w:r w:rsidRPr="00DA334C">
        <w:rPr>
          <w:b/>
        </w:rPr>
        <w:t>Modality and indicative activities</w:t>
      </w:r>
    </w:p>
    <w:p w14:paraId="717B2E01" w14:textId="77FF4C08" w:rsidR="007D01B9" w:rsidRDefault="007D01B9" w:rsidP="007D01B9">
      <w:r>
        <w:t xml:space="preserve">Pillar 2 </w:t>
      </w:r>
      <w:r w:rsidRPr="002B1286">
        <w:t xml:space="preserve">will be delivered through </w:t>
      </w:r>
      <w:r>
        <w:t xml:space="preserve">technical support to BPBDs and their </w:t>
      </w:r>
      <w:r w:rsidR="00B90269">
        <w:t>p</w:t>
      </w:r>
      <w:r>
        <w:t xml:space="preserve">usdalops </w:t>
      </w:r>
      <w:r w:rsidR="00EC1BBE">
        <w:t xml:space="preserve">by recruiting technical advisors at the provincial level </w:t>
      </w:r>
      <w:r>
        <w:t>and funding grants to PMI</w:t>
      </w:r>
      <w:r w:rsidR="00A42711">
        <w:t xml:space="preserve"> (through </w:t>
      </w:r>
      <w:r w:rsidR="00207A63">
        <w:t xml:space="preserve">Managing Contractor, Australian Red Cross, or </w:t>
      </w:r>
      <w:r w:rsidR="00A42711">
        <w:t>IFRC)</w:t>
      </w:r>
      <w:r>
        <w:t>, NU</w:t>
      </w:r>
      <w:r w:rsidR="00A42711">
        <w:t xml:space="preserve"> and</w:t>
      </w:r>
      <w:r>
        <w:t xml:space="preserve"> Muhammadiyah to implement</w:t>
      </w:r>
      <w:r w:rsidR="00207A63">
        <w:t xml:space="preserve"> the</w:t>
      </w:r>
      <w:r>
        <w:t xml:space="preserve"> Resilient Village models and strengthen DRR platforms. Support may also be provided by the Managing Contractor to </w:t>
      </w:r>
      <w:r w:rsidRPr="003C64FC">
        <w:t>media</w:t>
      </w:r>
      <w:r>
        <w:t xml:space="preserve">, </w:t>
      </w:r>
      <w:r w:rsidR="00207A63">
        <w:t xml:space="preserve">universities, </w:t>
      </w:r>
      <w:r>
        <w:t>think tanks</w:t>
      </w:r>
      <w:r w:rsidRPr="003C64FC">
        <w:t xml:space="preserve"> and research institutions</w:t>
      </w:r>
      <w:r>
        <w:t xml:space="preserve"> to</w:t>
      </w:r>
      <w:r w:rsidRPr="003C64FC">
        <w:t xml:space="preserve"> support program implementation</w:t>
      </w:r>
      <w:r>
        <w:t>.</w:t>
      </w:r>
      <w:r w:rsidR="00EA3BC0">
        <w:t xml:space="preserve"> Support will also be provided through IFRC to help strengthen PMI’s capability. </w:t>
      </w:r>
    </w:p>
    <w:p w14:paraId="20CA451E" w14:textId="77777777" w:rsidR="00A14062" w:rsidRDefault="00A14062" w:rsidP="007D01B9">
      <w:pPr>
        <w:rPr>
          <w:b/>
        </w:rPr>
      </w:pPr>
    </w:p>
    <w:p w14:paraId="0B089FB4" w14:textId="48B69DA3" w:rsidR="007D01B9" w:rsidRPr="00DA334C" w:rsidRDefault="007D01B9" w:rsidP="007D01B9">
      <w:pPr>
        <w:rPr>
          <w:b/>
        </w:rPr>
      </w:pPr>
      <w:r w:rsidRPr="00DA334C">
        <w:rPr>
          <w:b/>
        </w:rPr>
        <w:t xml:space="preserve">Pillar 3: Cooperation between </w:t>
      </w:r>
      <w:r w:rsidR="0094476B">
        <w:rPr>
          <w:b/>
        </w:rPr>
        <w:t>GoI</w:t>
      </w:r>
      <w:r w:rsidRPr="00DA334C">
        <w:rPr>
          <w:b/>
        </w:rPr>
        <w:t xml:space="preserve"> and GoA on regional</w:t>
      </w:r>
      <w:r w:rsidR="007C2CBB">
        <w:rPr>
          <w:b/>
        </w:rPr>
        <w:t xml:space="preserve"> humanitarian</w:t>
      </w:r>
      <w:r w:rsidRPr="00DA334C">
        <w:rPr>
          <w:b/>
        </w:rPr>
        <w:t xml:space="preserve"> responses</w:t>
      </w:r>
    </w:p>
    <w:p w14:paraId="64E37E40" w14:textId="2DD7B62C" w:rsidR="007D01B9" w:rsidRDefault="007D01B9" w:rsidP="007D01B9">
      <w:r>
        <w:t xml:space="preserve">The program will </w:t>
      </w:r>
      <w:r w:rsidRPr="000506F4">
        <w:rPr>
          <w:b/>
        </w:rPr>
        <w:t>support Indonesia to develop a policy framework and associated processes to guide when and how Indonesia responds to regional and global humanitarian crises</w:t>
      </w:r>
      <w:r>
        <w:t xml:space="preserve">. During the first 12 months of the program, the Managing Contractor will work closely </w:t>
      </w:r>
      <w:r w:rsidR="00207A63">
        <w:t xml:space="preserve">with </w:t>
      </w:r>
      <w:r>
        <w:t xml:space="preserve">DFAT, </w:t>
      </w:r>
      <w:r w:rsidR="0094476B">
        <w:t>MoFA</w:t>
      </w:r>
      <w:r w:rsidR="004213EA">
        <w:t xml:space="preserve"> and other relevant GOI agencies including Ministry of Finance</w:t>
      </w:r>
      <w:r>
        <w:t>, other relevant international partners such as IFRC</w:t>
      </w:r>
      <w:r w:rsidR="00A3795A">
        <w:t>,</w:t>
      </w:r>
      <w:r>
        <w:t xml:space="preserve"> </w:t>
      </w:r>
      <w:r w:rsidR="00DE7FEF">
        <w:t>OCHA</w:t>
      </w:r>
      <w:r w:rsidR="00A3795A">
        <w:t xml:space="preserve"> and AHA Centre</w:t>
      </w:r>
      <w:r>
        <w:t xml:space="preserve">, and </w:t>
      </w:r>
      <w:r w:rsidR="003E0D0C">
        <w:t>local partners such as HFI,</w:t>
      </w:r>
      <w:r w:rsidR="00576D4B">
        <w:t xml:space="preserve"> PMI,</w:t>
      </w:r>
      <w:r w:rsidR="003E0D0C">
        <w:t xml:space="preserve"> Muhammadiyah and NU to </w:t>
      </w:r>
      <w:r>
        <w:t xml:space="preserve">determine the specific </w:t>
      </w:r>
      <w:r w:rsidRPr="003F527C">
        <w:t xml:space="preserve">contribution </w:t>
      </w:r>
      <w:r>
        <w:t xml:space="preserve">this program will make to this process. </w:t>
      </w:r>
    </w:p>
    <w:p w14:paraId="4B5FCC91" w14:textId="66D327EB" w:rsidR="00EA3BC0" w:rsidRDefault="00EA3BC0" w:rsidP="00EA3BC0">
      <w:r>
        <w:t xml:space="preserve">Program activities under this pillar aim to assist MoFA to transform its responsive and ad hoc approach to managing requests to respond to humanitarian crisis as described in the context section above, and support GoI aims to shift to a more coherent and strategic approach to responding to international humanitarian crises in collaboration with Indonesian CSOs involved in delivering international responses, that meets international humanitarian standards. </w:t>
      </w:r>
    </w:p>
    <w:p w14:paraId="6FEB3551" w14:textId="77777777" w:rsidR="00A3795A" w:rsidRDefault="007D01B9" w:rsidP="00A123D6">
      <w:r>
        <w:t xml:space="preserve">The program will play a key role in </w:t>
      </w:r>
      <w:r w:rsidRPr="000506F4">
        <w:rPr>
          <w:b/>
        </w:rPr>
        <w:t xml:space="preserve">supporting the capacity development of future deployees by training of CSO and government personnel in </w:t>
      </w:r>
      <w:r w:rsidR="00207A63" w:rsidRPr="000506F4">
        <w:rPr>
          <w:b/>
        </w:rPr>
        <w:t xml:space="preserve">international </w:t>
      </w:r>
      <w:r w:rsidRPr="000506F4">
        <w:rPr>
          <w:b/>
        </w:rPr>
        <w:t>humanitarian standards and systems</w:t>
      </w:r>
      <w:r w:rsidRPr="00354D1E">
        <w:t xml:space="preserve">, </w:t>
      </w:r>
      <w:r>
        <w:t xml:space="preserve">so </w:t>
      </w:r>
      <w:r w:rsidRPr="00354D1E">
        <w:t>that Indonesia responds in concert with established in-country response mechanisms and identified needs on the ground.</w:t>
      </w:r>
      <w:r>
        <w:t xml:space="preserve"> </w:t>
      </w:r>
    </w:p>
    <w:p w14:paraId="776FB32F" w14:textId="7F84E7BE" w:rsidR="007D01B9" w:rsidRPr="00A123D6" w:rsidRDefault="007D01B9" w:rsidP="00A123D6">
      <w:r>
        <w:t xml:space="preserve">A portion of the funding grants provided to the PMI/IFRC outlined under Pillar 2 </w:t>
      </w:r>
      <w:r w:rsidR="006E173B">
        <w:t>may</w:t>
      </w:r>
      <w:r>
        <w:t xml:space="preserve"> be used for this training program. Other funding will also be available for suitable organisations such as </w:t>
      </w:r>
      <w:r w:rsidR="00DE7FEF">
        <w:t>OCHA</w:t>
      </w:r>
      <w:r w:rsidR="00EA3BC0">
        <w:t>, IFRC</w:t>
      </w:r>
      <w:r>
        <w:t xml:space="preserve"> or </w:t>
      </w:r>
      <w:r w:rsidR="008508BA">
        <w:t xml:space="preserve">the Australian Government </w:t>
      </w:r>
      <w:r>
        <w:t>to provide training</w:t>
      </w:r>
      <w:r w:rsidR="00A3795A">
        <w:t xml:space="preserve"> whether directly under pillar 3 or </w:t>
      </w:r>
      <w:r w:rsidR="00A14062">
        <w:t xml:space="preserve">through </w:t>
      </w:r>
      <w:r w:rsidR="00A3795A">
        <w:t>other pillars as appropriate</w:t>
      </w:r>
      <w:r>
        <w:t>.</w:t>
      </w:r>
    </w:p>
    <w:p w14:paraId="3355A39F" w14:textId="73F2F28E" w:rsidR="00921A06" w:rsidRDefault="007D01B9" w:rsidP="007D01B9">
      <w:r>
        <w:t>The program will enable Australia to share its humanitarian systems</w:t>
      </w:r>
      <w:r w:rsidRPr="004516D9">
        <w:t xml:space="preserve">, approaches </w:t>
      </w:r>
      <w:r>
        <w:t xml:space="preserve">and technology with Indonesia to assist in the development of </w:t>
      </w:r>
      <w:r w:rsidRPr="004516D9">
        <w:t xml:space="preserve">its </w:t>
      </w:r>
      <w:r>
        <w:t>international humanitarian</w:t>
      </w:r>
      <w:r w:rsidRPr="004516D9">
        <w:t xml:space="preserve"> response </w:t>
      </w:r>
      <w:r>
        <w:t xml:space="preserve">framework and associated </w:t>
      </w:r>
      <w:r w:rsidRPr="004516D9">
        <w:t>system</w:t>
      </w:r>
      <w:r>
        <w:t xml:space="preserve">s. For example, Australia may share </w:t>
      </w:r>
      <w:r w:rsidR="004213EA">
        <w:t xml:space="preserve">how Australia developed its humanitarian policy and procedures; </w:t>
      </w:r>
      <w:r>
        <w:t>civilian deployment models</w:t>
      </w:r>
      <w:r w:rsidR="004213EA">
        <w:t>;</w:t>
      </w:r>
      <w:r>
        <w:t xml:space="preserve"> and facilitate visits of Indonesian government staff to </w:t>
      </w:r>
      <w:r w:rsidR="008508BA">
        <w:t>see how the Australian Government manages humanitarian responses and associated response mechanisms</w:t>
      </w:r>
      <w:r>
        <w:t xml:space="preserve">. </w:t>
      </w:r>
      <w:r w:rsidR="00921A06">
        <w:t>A particular focus will be on how Australia’s humanitarian response work is made more effective through support for gender equality and disability inclusion</w:t>
      </w:r>
      <w:r w:rsidR="008D1094">
        <w:t xml:space="preserve">. This </w:t>
      </w:r>
      <w:r w:rsidR="006E173B">
        <w:t xml:space="preserve">could </w:t>
      </w:r>
      <w:r w:rsidR="008D1094">
        <w:t xml:space="preserve">include </w:t>
      </w:r>
      <w:r w:rsidR="003A5672">
        <w:t xml:space="preserve">deployee selection </w:t>
      </w:r>
      <w:r w:rsidR="008D1094">
        <w:t xml:space="preserve">and training as well as </w:t>
      </w:r>
      <w:r w:rsidR="003A5672">
        <w:t xml:space="preserve">support for NGOs such as CBM </w:t>
      </w:r>
      <w:r w:rsidR="006E173B">
        <w:t>or organisations like</w:t>
      </w:r>
      <w:r w:rsidR="003A5672">
        <w:t xml:space="preserve"> the Humanitarian A</w:t>
      </w:r>
      <w:r w:rsidR="006E173B">
        <w:t>dvisory</w:t>
      </w:r>
      <w:r w:rsidR="003A5672">
        <w:t xml:space="preserve"> Group</w:t>
      </w:r>
      <w:r w:rsidR="008D1094">
        <w:t xml:space="preserve"> to engage in research, advocacy and capacity development for more inclusive humanitarian action by Australian government and non-state actors</w:t>
      </w:r>
      <w:r w:rsidR="003A5672">
        <w:t>.</w:t>
      </w:r>
    </w:p>
    <w:p w14:paraId="133A01DF" w14:textId="642AA647" w:rsidR="007D01B9" w:rsidRDefault="007D01B9" w:rsidP="007D01B9">
      <w:r>
        <w:t xml:space="preserve">In addition to helping to strengthen Indonesia’s systems, these processes and exchanges </w:t>
      </w:r>
      <w:r w:rsidR="003B12FC">
        <w:t>are</w:t>
      </w:r>
      <w:r>
        <w:t xml:space="preserve"> designed to </w:t>
      </w:r>
      <w:r w:rsidRPr="000506F4">
        <w:rPr>
          <w:b/>
        </w:rPr>
        <w:t>build closer links between Australian and Indonesian humanitarian actors</w:t>
      </w:r>
      <w:r>
        <w:t xml:space="preserve">. This aspect of the program is core to delivering on the partnership between </w:t>
      </w:r>
      <w:r w:rsidR="0094476B">
        <w:t>GoI</w:t>
      </w:r>
      <w:r>
        <w:t xml:space="preserve"> and GoA. This work will be done </w:t>
      </w:r>
      <w:r w:rsidR="00EA3BC0">
        <w:t xml:space="preserve">through discussions </w:t>
      </w:r>
      <w:r>
        <w:t xml:space="preserve">with </w:t>
      </w:r>
      <w:r w:rsidR="00237BD5">
        <w:t xml:space="preserve">relevant officials on </w:t>
      </w:r>
      <w:r w:rsidR="0094476B">
        <w:t>GoI</w:t>
      </w:r>
      <w:r w:rsidR="00DA0EA3">
        <w:t xml:space="preserve">’s development of </w:t>
      </w:r>
      <w:r w:rsidR="00266E29">
        <w:t>their aid program</w:t>
      </w:r>
      <w:r w:rsidR="00237BD5">
        <w:t xml:space="preserve">. </w:t>
      </w:r>
      <w:r w:rsidR="00011E2F">
        <w:t>It will be done in consultation with other DFAT-managed support, including INSARAG and AUSMAT.</w:t>
      </w:r>
      <w:r w:rsidR="00677F2B">
        <w:t xml:space="preserve"> </w:t>
      </w:r>
      <w:r w:rsidR="00B020CF">
        <w:t>T</w:t>
      </w:r>
      <w:r w:rsidR="00677F2B">
        <w:t xml:space="preserve">he </w:t>
      </w:r>
      <w:r w:rsidR="00677F2B" w:rsidRPr="00677F2B">
        <w:t>ASEAN Coordinating Centre for Humanitarian Assistance on Disaster Management (AHA Centre</w:t>
      </w:r>
      <w:r w:rsidR="00677F2B">
        <w:t xml:space="preserve">) will also be consulted due to their role in coordinating regional assistance. </w:t>
      </w:r>
    </w:p>
    <w:p w14:paraId="33667BCA" w14:textId="043C99FA" w:rsidR="007D01B9" w:rsidRDefault="007D01B9" w:rsidP="007D01B9">
      <w:r>
        <w:t xml:space="preserve">Pillar </w:t>
      </w:r>
      <w:r w:rsidR="00011E2F">
        <w:t>3</w:t>
      </w:r>
      <w:r>
        <w:t xml:space="preserve"> will have flexibility to support practical collaboration between Indonesia and Australia on regional humanitarian responses. For example, the program will facilitate the joint d</w:t>
      </w:r>
      <w:r w:rsidRPr="00B93573">
        <w:t xml:space="preserve">elivery of regional </w:t>
      </w:r>
      <w:r>
        <w:t>training, regional field visits for disaster responses</w:t>
      </w:r>
      <w:r w:rsidR="00A14062">
        <w:t>,</w:t>
      </w:r>
      <w:r>
        <w:t xml:space="preserve"> and joint</w:t>
      </w:r>
      <w:r w:rsidRPr="00B93573">
        <w:t xml:space="preserve"> simulation exerci</w:t>
      </w:r>
      <w:r>
        <w:t xml:space="preserve">ses. These activities will build into formalising </w:t>
      </w:r>
      <w:r w:rsidRPr="003E4526">
        <w:t>Australia – Indonesia humanitarian cooperation in the future.</w:t>
      </w:r>
      <w:r>
        <w:t xml:space="preserve"> By the end of the program it is expected that Australia and Indonesia </w:t>
      </w:r>
      <w:r w:rsidR="00011E2F">
        <w:t xml:space="preserve">will </w:t>
      </w:r>
      <w:r>
        <w:t xml:space="preserve">have demonstrated stronger </w:t>
      </w:r>
      <w:r w:rsidR="00EA3BC0">
        <w:t>cooperation</w:t>
      </w:r>
      <w:r>
        <w:t xml:space="preserve">, through these joint activities, and in practice through coordination in specific regional responses (in the event that </w:t>
      </w:r>
      <w:r w:rsidR="00B020CF">
        <w:t xml:space="preserve">major </w:t>
      </w:r>
      <w:r>
        <w:t xml:space="preserve">regional disasters occur during the life of the program). </w:t>
      </w:r>
    </w:p>
    <w:p w14:paraId="71C1893E" w14:textId="77777777" w:rsidR="007D01B9" w:rsidRPr="00DA334C" w:rsidRDefault="007D01B9" w:rsidP="007D01B9">
      <w:pPr>
        <w:rPr>
          <w:b/>
        </w:rPr>
      </w:pPr>
      <w:r w:rsidRPr="00DA334C">
        <w:rPr>
          <w:b/>
        </w:rPr>
        <w:t>Modality and indicative activities</w:t>
      </w:r>
    </w:p>
    <w:p w14:paraId="7EFDEE87" w14:textId="77777777" w:rsidR="00A14062" w:rsidRDefault="007D01B9" w:rsidP="007D01B9">
      <w:r>
        <w:t xml:space="preserve">Pillar 3 </w:t>
      </w:r>
      <w:r w:rsidRPr="002B1286">
        <w:t>will be delivered through</w:t>
      </w:r>
      <w:r>
        <w:t xml:space="preserve">: </w:t>
      </w:r>
    </w:p>
    <w:p w14:paraId="73AF5179" w14:textId="77777777" w:rsidR="00A14062" w:rsidRDefault="00EC1BBE" w:rsidP="007D01B9">
      <w:r>
        <w:t xml:space="preserve">a) </w:t>
      </w:r>
      <w:r w:rsidR="007D01B9">
        <w:t xml:space="preserve">funding support to </w:t>
      </w:r>
      <w:r w:rsidR="00011E2F">
        <w:t>OCHA/</w:t>
      </w:r>
      <w:r w:rsidR="007D01B9">
        <w:t>IFRC/PMI</w:t>
      </w:r>
      <w:r w:rsidR="00011E2F">
        <w:t>/others</w:t>
      </w:r>
      <w:r w:rsidR="007D01B9">
        <w:t xml:space="preserve"> to deliver deployee capacity building training</w:t>
      </w:r>
      <w:r w:rsidR="00E24C1F">
        <w:t xml:space="preserve"> and policy development</w:t>
      </w:r>
      <w:r w:rsidR="007D01B9">
        <w:t>;</w:t>
      </w:r>
    </w:p>
    <w:p w14:paraId="2B1CD6AB" w14:textId="6A6BB3CC" w:rsidR="00A14062" w:rsidRDefault="00EC1BBE" w:rsidP="007D01B9">
      <w:r>
        <w:t xml:space="preserve">b) </w:t>
      </w:r>
      <w:r w:rsidR="007D01B9">
        <w:t>a range of technical inputs and exchanges</w:t>
      </w:r>
      <w:r>
        <w:t xml:space="preserve"> managed by the Managing Contractor; and </w:t>
      </w:r>
    </w:p>
    <w:p w14:paraId="27D36CDF" w14:textId="5C282D70" w:rsidR="007D01B9" w:rsidRDefault="00EC1BBE" w:rsidP="007D01B9">
      <w:r>
        <w:t>c)</w:t>
      </w:r>
      <w:r w:rsidR="007D01B9">
        <w:t xml:space="preserve"> </w:t>
      </w:r>
      <w:r w:rsidR="005D3E72">
        <w:t xml:space="preserve">MC </w:t>
      </w:r>
      <w:r w:rsidR="007D01B9">
        <w:t xml:space="preserve">support </w:t>
      </w:r>
      <w:r w:rsidR="00E24C1F">
        <w:t xml:space="preserve">for </w:t>
      </w:r>
      <w:r w:rsidR="007D01B9">
        <w:t>collaboration and Australia/Indonesia links.</w:t>
      </w:r>
    </w:p>
    <w:p w14:paraId="2D96F9DE" w14:textId="40DD83E2" w:rsidR="007D01B9" w:rsidRPr="00DA334C" w:rsidRDefault="005B679E" w:rsidP="007D01B9">
      <w:pPr>
        <w:rPr>
          <w:b/>
        </w:rPr>
      </w:pPr>
      <w:r w:rsidRPr="005B679E">
        <w:rPr>
          <w:b/>
        </w:rPr>
        <w:t>Outcome 4 (cross-cutting themes)</w:t>
      </w:r>
      <w:r w:rsidR="007D01B9" w:rsidRPr="00DA334C">
        <w:rPr>
          <w:b/>
        </w:rPr>
        <w:t>: Learning, innovation and inclusion for DRM</w:t>
      </w:r>
    </w:p>
    <w:p w14:paraId="6C745BB9" w14:textId="66E784C0" w:rsidR="005B679E" w:rsidRDefault="007D01B9" w:rsidP="00F231A8">
      <w:r>
        <w:t xml:space="preserve">The investment will strengthen </w:t>
      </w:r>
      <w:r w:rsidR="005B679E">
        <w:t xml:space="preserve">knowledge </w:t>
      </w:r>
      <w:r>
        <w:t>sharing and learning between government and non-state actors at different levels, and between sub-national and national levels in key areas of DRM</w:t>
      </w:r>
      <w:r w:rsidR="00D46166">
        <w:t>, including issues relating to climate change</w:t>
      </w:r>
      <w:r>
        <w:t xml:space="preserve">. The program will support structured learning in three areas: </w:t>
      </w:r>
    </w:p>
    <w:p w14:paraId="3445A9BB" w14:textId="77777777" w:rsidR="005B679E" w:rsidRDefault="007D01B9" w:rsidP="00F231A8">
      <w:r>
        <w:t xml:space="preserve">1) </w:t>
      </w:r>
      <w:r w:rsidR="00E91AF1">
        <w:t>best practice</w:t>
      </w:r>
      <w:r w:rsidR="00EC1BBE">
        <w:t xml:space="preserve"> </w:t>
      </w:r>
      <w:r>
        <w:t>BPBD capacity building</w:t>
      </w:r>
      <w:r w:rsidR="00EC1BBE">
        <w:t xml:space="preserve"> models (conducted every year)</w:t>
      </w:r>
      <w:r>
        <w:t xml:space="preserve">; </w:t>
      </w:r>
    </w:p>
    <w:p w14:paraId="71CC4028" w14:textId="1E07AFF6" w:rsidR="005B679E" w:rsidRDefault="007D01B9" w:rsidP="00F231A8">
      <w:r>
        <w:t xml:space="preserve">2) </w:t>
      </w:r>
      <w:r w:rsidR="00D562A8">
        <w:t>national workshop on l</w:t>
      </w:r>
      <w:r>
        <w:t xml:space="preserve">essons from after action reviews, evaluations and other </w:t>
      </w:r>
      <w:r w:rsidR="00D562A8">
        <w:t xml:space="preserve">relevant </w:t>
      </w:r>
      <w:r>
        <w:t>research</w:t>
      </w:r>
      <w:r w:rsidR="00EC1BBE">
        <w:t xml:space="preserve"> (conducted in year 3 and 5)</w:t>
      </w:r>
      <w:r>
        <w:t xml:space="preserve">; and </w:t>
      </w:r>
    </w:p>
    <w:p w14:paraId="5393E086" w14:textId="27F6202C" w:rsidR="00EC1BBE" w:rsidRDefault="007D01B9" w:rsidP="00F231A8">
      <w:r>
        <w:t xml:space="preserve">3) documentation of </w:t>
      </w:r>
      <w:r w:rsidR="00EA3BC0">
        <w:t xml:space="preserve">BPBD </w:t>
      </w:r>
      <w:r w:rsidR="00EC1BBE">
        <w:t xml:space="preserve">MSS in DRM model </w:t>
      </w:r>
      <w:r w:rsidR="00EA3BC0">
        <w:t xml:space="preserve">and </w:t>
      </w:r>
      <w:r>
        <w:t>the Resilient Village</w:t>
      </w:r>
      <w:r w:rsidR="005B679E">
        <w:t>/City</w:t>
      </w:r>
      <w:r>
        <w:t xml:space="preserve"> model</w:t>
      </w:r>
      <w:r w:rsidR="00EC1BBE">
        <w:t xml:space="preserve"> (conducted in year 3 and </w:t>
      </w:r>
      <w:r w:rsidR="005B679E">
        <w:t>4</w:t>
      </w:r>
      <w:r w:rsidR="00EC1BBE">
        <w:t>)</w:t>
      </w:r>
      <w:r>
        <w:t xml:space="preserve">. </w:t>
      </w:r>
    </w:p>
    <w:p w14:paraId="56D36C35" w14:textId="05465EA5" w:rsidR="007D01B9" w:rsidRPr="00F231A8" w:rsidRDefault="007D01B9" w:rsidP="00F231A8">
      <w:r>
        <w:t>While learning is a core work stream that underpins various outcomes under Pillars 1 and 2, learning is elevated to its own outcome within the program logic as the program aims to strength</w:t>
      </w:r>
      <w:r w:rsidR="003B12FC">
        <w:t>en</w:t>
      </w:r>
      <w:r>
        <w:t xml:space="preserve"> structured multi-stakeholder learning as an outcome in and of itself. </w:t>
      </w:r>
    </w:p>
    <w:p w14:paraId="07EB1E79" w14:textId="4F2A9DBA" w:rsidR="007D01B9" w:rsidRDefault="005B679E" w:rsidP="001044BD">
      <w:pPr>
        <w:pStyle w:val="ListParagraph"/>
        <w:numPr>
          <w:ilvl w:val="0"/>
          <w:numId w:val="38"/>
        </w:numPr>
      </w:pPr>
      <w:r>
        <w:rPr>
          <w:lang w:val="en-GB"/>
        </w:rPr>
        <w:t>B</w:t>
      </w:r>
      <w:r w:rsidRPr="005B679E">
        <w:rPr>
          <w:lang w:val="en-GB"/>
        </w:rPr>
        <w:t>est practice BPBD capacity building models (conducted every year)</w:t>
      </w:r>
      <w:r>
        <w:rPr>
          <w:lang w:val="en-GB"/>
        </w:rPr>
        <w:t xml:space="preserve">: </w:t>
      </w:r>
      <w:r w:rsidR="007D01B9">
        <w:t xml:space="preserve">As outlined under Pillar </w:t>
      </w:r>
      <w:r w:rsidR="00F97F5A">
        <w:t>2</w:t>
      </w:r>
      <w:r w:rsidR="007D01B9">
        <w:t>, the investment will support BPBDs to implement the MSS, providing a capacity building approach that can be replicated by sub-national governments with support of BNPB</w:t>
      </w:r>
      <w:r w:rsidR="00EA3BC0">
        <w:t>, Bappenas</w:t>
      </w:r>
      <w:r w:rsidR="007D01B9">
        <w:t xml:space="preserve"> and MoHA. The Managing Contractor will support this process, developing a learning agenda, framework and process to support the capture, analysis and dissemination of learning and experiences from sub-national implementation</w:t>
      </w:r>
      <w:r w:rsidR="00D46166">
        <w:t xml:space="preserve"> of DRM and climate change resilience policies</w:t>
      </w:r>
      <w:r w:rsidR="007D01B9">
        <w:t xml:space="preserve"> to national government. </w:t>
      </w:r>
      <w:r w:rsidR="004F63AF">
        <w:t xml:space="preserve">This process aims to address some of the </w:t>
      </w:r>
      <w:r w:rsidR="004F63AF" w:rsidRPr="007A362C">
        <w:t>vertical challenge</w:t>
      </w:r>
      <w:r w:rsidR="004F63AF">
        <w:t>s</w:t>
      </w:r>
      <w:r w:rsidR="004F63AF" w:rsidRPr="007A362C">
        <w:t xml:space="preserve"> between BNPB and provincial and district BPBDs</w:t>
      </w:r>
      <w:r w:rsidR="004F63AF">
        <w:t xml:space="preserve"> by </w:t>
      </w:r>
      <w:r w:rsidR="007D01B9">
        <w:t>enabl</w:t>
      </w:r>
      <w:r w:rsidR="004F63AF">
        <w:t>ing</w:t>
      </w:r>
      <w:r w:rsidR="007D01B9">
        <w:t xml:space="preserve"> BNPB, Bappenas and MoHA to better understand the experience of local government in seeking to apply and meet the MSS and will align with </w:t>
      </w:r>
      <w:r w:rsidR="0094476B">
        <w:t>MoHA</w:t>
      </w:r>
      <w:r w:rsidR="007D01B9">
        <w:t xml:space="preserve">’s monitoring processes. </w:t>
      </w:r>
      <w:r w:rsidR="00EA3BC0">
        <w:t>This will also help develop the ecosystem for knowledge sharing in DRM sector, which hopefully could be replicated by other sectors.</w:t>
      </w:r>
    </w:p>
    <w:p w14:paraId="61FCCD0A" w14:textId="1145D61B" w:rsidR="007D01B9" w:rsidRDefault="00D562A8" w:rsidP="001044BD">
      <w:pPr>
        <w:pStyle w:val="ListParagraph"/>
        <w:numPr>
          <w:ilvl w:val="0"/>
          <w:numId w:val="38"/>
        </w:numPr>
      </w:pPr>
      <w:r>
        <w:rPr>
          <w:lang w:val="en-GB"/>
        </w:rPr>
        <w:t>National workshop on l</w:t>
      </w:r>
      <w:r w:rsidR="005B679E" w:rsidRPr="005B679E">
        <w:rPr>
          <w:lang w:val="en-GB"/>
        </w:rPr>
        <w:t xml:space="preserve">essons from after action reviews, evaluations and other </w:t>
      </w:r>
      <w:r>
        <w:rPr>
          <w:lang w:val="en-GB"/>
        </w:rPr>
        <w:t xml:space="preserve">relevant </w:t>
      </w:r>
      <w:r w:rsidR="005B679E" w:rsidRPr="005B679E">
        <w:rPr>
          <w:lang w:val="en-GB"/>
        </w:rPr>
        <w:t>research (conducted in year 3 and 5)</w:t>
      </w:r>
      <w:r w:rsidR="005B679E">
        <w:rPr>
          <w:lang w:val="en-GB"/>
        </w:rPr>
        <w:t xml:space="preserve">: </w:t>
      </w:r>
      <w:r w:rsidR="007D01B9">
        <w:t>The program will support i</w:t>
      </w:r>
      <w:r w:rsidR="007D01B9" w:rsidRPr="001F0E53">
        <w:t xml:space="preserve">ncreased sharing, learning and feedback for DRM </w:t>
      </w:r>
      <w:r w:rsidR="00D46166">
        <w:t xml:space="preserve">and climate change resilience </w:t>
      </w:r>
      <w:r w:rsidR="007D01B9" w:rsidRPr="001F0E53">
        <w:t>between government and non-state actors at</w:t>
      </w:r>
      <w:r w:rsidR="007D01B9">
        <w:t xml:space="preserve"> the</w:t>
      </w:r>
      <w:r w:rsidR="007D01B9" w:rsidRPr="001F0E53">
        <w:t xml:space="preserve"> </w:t>
      </w:r>
      <w:r w:rsidR="005B679E">
        <w:t xml:space="preserve">national and </w:t>
      </w:r>
      <w:r w:rsidR="007D01B9" w:rsidRPr="001F0E53">
        <w:t>sub-national</w:t>
      </w:r>
      <w:r w:rsidR="007D01B9">
        <w:t xml:space="preserve"> level. The program will support after action reviews for disasters that occur </w:t>
      </w:r>
      <w:r w:rsidR="00EA3BC0">
        <w:t xml:space="preserve">during </w:t>
      </w:r>
      <w:r w:rsidR="007D01B9">
        <w:t xml:space="preserve">the program </w:t>
      </w:r>
      <w:r w:rsidR="00EA3BC0">
        <w:t>duration</w:t>
      </w:r>
      <w:r w:rsidR="005B679E">
        <w:t>, followed by a multi-stakeholder after action review during the year 3 and 5</w:t>
      </w:r>
      <w:r w:rsidR="007D01B9">
        <w:t>. Funds will be allocated for appropriately based organisations such as CSOs, think tanks and research organisations or universities to undertake reviews</w:t>
      </w:r>
      <w:r w:rsidR="005B679E">
        <w:t xml:space="preserve"> and targeted research</w:t>
      </w:r>
      <w:r w:rsidR="007D01B9">
        <w:t>. In addition</w:t>
      </w:r>
      <w:r w:rsidR="005B679E">
        <w:t>,</w:t>
      </w:r>
      <w:r w:rsidR="007D01B9">
        <w:t xml:space="preserve"> to supporting learning between local DRM actors, lessons will be actioned, with changes made to government systems with the support of the Managing Contractor. </w:t>
      </w:r>
    </w:p>
    <w:p w14:paraId="3A52E49B" w14:textId="283D0D7B" w:rsidR="007D01B9" w:rsidRDefault="007D01B9" w:rsidP="001044BD">
      <w:pPr>
        <w:ind w:left="709"/>
      </w:pPr>
      <w:r>
        <w:t xml:space="preserve">Multi-stakeholder information </w:t>
      </w:r>
      <w:r w:rsidR="006472AD">
        <w:t>sharing</w:t>
      </w:r>
      <w:r>
        <w:t xml:space="preserve"> and learning will be supported at a national level through the provision of funding grants to </w:t>
      </w:r>
      <w:r w:rsidR="00DE7FEF">
        <w:t>OCHA</w:t>
      </w:r>
      <w:r>
        <w:t xml:space="preserve"> and to </w:t>
      </w:r>
      <w:r w:rsidR="001044BD">
        <w:t xml:space="preserve">local </w:t>
      </w:r>
      <w:r>
        <w:t>NGO</w:t>
      </w:r>
      <w:r w:rsidR="001044BD">
        <w:t>s</w:t>
      </w:r>
      <w:r>
        <w:t xml:space="preserve"> to support HFI (to be managed by NU </w:t>
      </w:r>
      <w:r w:rsidR="001044BD">
        <w:t>and/</w:t>
      </w:r>
      <w:r>
        <w:t>or Muhammadiyah)</w:t>
      </w:r>
      <w:r w:rsidRPr="009A7627">
        <w:t xml:space="preserve"> </w:t>
      </w:r>
      <w:r w:rsidRPr="008712D8">
        <w:t xml:space="preserve">to </w:t>
      </w:r>
      <w:r>
        <w:t xml:space="preserve">facilitate national level learning and reflection workshops. Workshops will support government and other DRM stakeholders including CSOs, donors, science agencies, research institutions and think tanks to participate in structured reflection of evaluation findings, lessons from after-action reviews, and other research undertaken in the sector. Workshops may be structured around particular responses, or specific DRM issues such as the inclusion of women, children and people with disability, or coordination and engagement with non-state actors such as media </w:t>
      </w:r>
      <w:r w:rsidR="004213EA">
        <w:t xml:space="preserve">and </w:t>
      </w:r>
      <w:r>
        <w:t xml:space="preserve">the private sector in disaster response. This work aims to strengthen the sharing of experiences from the ground with national stakeholders, and coordination between stakeholders to improve </w:t>
      </w:r>
      <w:r w:rsidR="006472AD">
        <w:t xml:space="preserve">the </w:t>
      </w:r>
      <w:r>
        <w:t xml:space="preserve">DRM </w:t>
      </w:r>
      <w:r w:rsidR="006472AD">
        <w:t>ecosystem at local and national level</w:t>
      </w:r>
      <w:r>
        <w:t xml:space="preserve">. </w:t>
      </w:r>
    </w:p>
    <w:p w14:paraId="1918DE56" w14:textId="542942DB" w:rsidR="007D01B9" w:rsidRDefault="001044BD" w:rsidP="001044BD">
      <w:pPr>
        <w:pStyle w:val="ListParagraph"/>
        <w:numPr>
          <w:ilvl w:val="0"/>
          <w:numId w:val="38"/>
        </w:numPr>
      </w:pPr>
      <w:r>
        <w:t>D</w:t>
      </w:r>
      <w:r w:rsidRPr="001044BD">
        <w:t>ocumentation of BPBD MSS in DRM model and the Resilient Village/City model (conducted in year 3 and 4)</w:t>
      </w:r>
      <w:r>
        <w:t xml:space="preserve">: </w:t>
      </w:r>
      <w:r w:rsidR="007D01B9">
        <w:t xml:space="preserve">The Managing Contractor or suitable sub-contractor will work with NGOs </w:t>
      </w:r>
      <w:r>
        <w:t xml:space="preserve">in </w:t>
      </w:r>
      <w:r w:rsidR="007D01B9">
        <w:t>implementing Resilient Village</w:t>
      </w:r>
      <w:r>
        <w:t>/City</w:t>
      </w:r>
      <w:r w:rsidR="007D01B9">
        <w:t xml:space="preserve"> models within program localities to document the success factors, pre-conditions for success, barriers and enablers, and sustainability of the various models implemented </w:t>
      </w:r>
      <w:r w:rsidR="00F97F5A">
        <w:t xml:space="preserve">under </w:t>
      </w:r>
      <w:r w:rsidR="007D01B9">
        <w:t xml:space="preserve">Pillar 2. Results from this process will feed into wider national level sharing on DRM and aims to inform subsequent models implemented by government and other CSOs. </w:t>
      </w:r>
    </w:p>
    <w:p w14:paraId="58230414" w14:textId="444DFABD" w:rsidR="00B95320" w:rsidRDefault="00B95320" w:rsidP="007D01B9">
      <w:r>
        <w:t xml:space="preserve">Program activities to support learning at the national level seek to help BNPB to address challenges it faces in coordinating the array of government and non-government DRM actors including UN, national CSOs, the Red Cross, private sector, volunteers and locally based international NGOs and facilitating learning between these stakeholders about which approaches are effective and sustainable in addressing DRM and climate </w:t>
      </w:r>
      <w:r w:rsidR="00D46166">
        <w:t xml:space="preserve">change </w:t>
      </w:r>
      <w:r>
        <w:t>resilience.</w:t>
      </w:r>
    </w:p>
    <w:p w14:paraId="6A163C6A" w14:textId="7DE1A43A" w:rsidR="007D01B9" w:rsidRDefault="007D01B9" w:rsidP="007D01B9">
      <w:r>
        <w:t xml:space="preserve">With regards to innovation, </w:t>
      </w:r>
      <w:r w:rsidR="00F97F5A">
        <w:t xml:space="preserve">part of the </w:t>
      </w:r>
      <w:r>
        <w:t xml:space="preserve">funding grant to </w:t>
      </w:r>
      <w:r w:rsidR="00DE7FEF">
        <w:t>OCHA</w:t>
      </w:r>
      <w:r w:rsidR="00F97F5A">
        <w:t xml:space="preserve"> and IFRC</w:t>
      </w:r>
      <w:r w:rsidRPr="006A5FA6">
        <w:t xml:space="preserve"> </w:t>
      </w:r>
      <w:r w:rsidR="00F97F5A">
        <w:t xml:space="preserve">will be </w:t>
      </w:r>
      <w:r w:rsidRPr="006A5FA6">
        <w:t xml:space="preserve">to </w:t>
      </w:r>
      <w:r>
        <w:t xml:space="preserve">continue </w:t>
      </w:r>
      <w:r w:rsidR="00F97F5A">
        <w:t xml:space="preserve">the </w:t>
      </w:r>
      <w:r>
        <w:t xml:space="preserve">development of </w:t>
      </w:r>
      <w:r w:rsidRPr="006A5FA6">
        <w:t>innovati</w:t>
      </w:r>
      <w:r w:rsidR="002D5CFD">
        <w:t>ve</w:t>
      </w:r>
      <w:r w:rsidRPr="006A5FA6">
        <w:t xml:space="preserve"> cash transfers in collaboration with </w:t>
      </w:r>
      <w:r w:rsidR="00127C8F">
        <w:t>MoSA</w:t>
      </w:r>
      <w:r>
        <w:t>. Innovations aim to ensure vulnerable groups including women, children, people with disability and elderly people, are better protected and able to recover from disasters. While this activity will t</w:t>
      </w:r>
      <w:r w:rsidR="000A167A">
        <w:t xml:space="preserve">ake place at the national </w:t>
      </w:r>
      <w:r w:rsidR="00021E64">
        <w:t>level and</w:t>
      </w:r>
      <w:r>
        <w:t xml:space="preserve"> may not necessarily be activated in the select</w:t>
      </w:r>
      <w:r w:rsidR="000A167A">
        <w:t>ed provinces, where appropriate</w:t>
      </w:r>
      <w:r>
        <w:t xml:space="preserve"> the program will support the trialling of innovations in the targeted </w:t>
      </w:r>
      <w:r w:rsidR="00021E64">
        <w:t>localities and</w:t>
      </w:r>
      <w:r>
        <w:t xml:space="preserve"> explore appropriate links between activities. </w:t>
      </w:r>
      <w:r w:rsidR="00EA3BC0">
        <w:t xml:space="preserve">The program </w:t>
      </w:r>
      <w:r>
        <w:t>will also be supported to i</w:t>
      </w:r>
      <w:r w:rsidRPr="00100C87">
        <w:t>ncrease the availability of quality and up-to-date population data disaggregated by sex</w:t>
      </w:r>
      <w:r>
        <w:t>, disability</w:t>
      </w:r>
      <w:r w:rsidRPr="00100C87">
        <w:t xml:space="preserve"> and age at sub-national levels during preparedness and disaster stages</w:t>
      </w:r>
      <w:r>
        <w:t>. The first stage</w:t>
      </w:r>
      <w:r w:rsidR="00EF68F8">
        <w:t xml:space="preserve"> (i.e. year one to three)</w:t>
      </w:r>
      <w:r>
        <w:t xml:space="preserve"> of the program will focus on developing and trialling these innovations, and the remaining period will focus on ensuring they are successful</w:t>
      </w:r>
      <w:r w:rsidR="004213EA">
        <w:t>ly</w:t>
      </w:r>
      <w:r>
        <w:t xml:space="preserve"> integrated into government systems. </w:t>
      </w:r>
    </w:p>
    <w:p w14:paraId="7218B108" w14:textId="2AEA40F6" w:rsidR="007D01B9" w:rsidRDefault="007D01B9" w:rsidP="007D01B9">
      <w:r>
        <w:t>Gender and disability will also be mainstreamed across program components 1-3, and this work will be led by</w:t>
      </w:r>
      <w:r w:rsidR="00B075BE">
        <w:t xml:space="preserve"> a</w:t>
      </w:r>
      <w:r>
        <w:t xml:space="preserve"> Gender </w:t>
      </w:r>
      <w:r w:rsidR="000A167A">
        <w:t xml:space="preserve">Equality </w:t>
      </w:r>
      <w:r>
        <w:t xml:space="preserve">and Social Inclusion </w:t>
      </w:r>
      <w:r w:rsidR="000A167A">
        <w:t>(GESI) s</w:t>
      </w:r>
      <w:r>
        <w:t>pecialist. Within Pillar 1, organisational reform within BNPB will integrate gender and disability inclusion into HR processes</w:t>
      </w:r>
      <w:r w:rsidR="001F3618">
        <w:t>, for example with a women in leadership plan to support advancement of women in junior positions within BNPB</w:t>
      </w:r>
      <w:r>
        <w:t xml:space="preserve">. Gender and disability inclusion will also be integrated into capacity building / training supported under the program including of: BNPB staff (Pillar 1); BPBD staff (Pillar 2); and </w:t>
      </w:r>
      <w:r w:rsidR="00EF68F8">
        <w:t xml:space="preserve">other </w:t>
      </w:r>
      <w:r>
        <w:t xml:space="preserve">government </w:t>
      </w:r>
      <w:r w:rsidR="00EF68F8">
        <w:t xml:space="preserve">agencies </w:t>
      </w:r>
      <w:r>
        <w:t xml:space="preserve">and CSO staff (Pillar 3). The program’s </w:t>
      </w:r>
      <w:r w:rsidR="000A167A">
        <w:t>GESI</w:t>
      </w:r>
      <w:r>
        <w:t xml:space="preserve"> specialist will also work with project partners such as BPBDs and DRR platforms as required to ensure targeted gender and disability inclusion approaches are integrated into risk planning and assessment. Other specialists such</w:t>
      </w:r>
      <w:r w:rsidR="004213EA">
        <w:t xml:space="preserve"> as</w:t>
      </w:r>
      <w:r>
        <w:t xml:space="preserve"> local and national Disabled People’s Organisations (DPOs) may also be funded to provide training and other forms of technical support as appropriate. The GESI specialist will also ensure after action reviews appropriately engage and explore how effectively responses target different vulnerable groups. </w:t>
      </w:r>
      <w:r w:rsidR="00816DAA" w:rsidRPr="009573FB">
        <w:rPr>
          <w:rFonts w:cstheme="minorHAnsi"/>
        </w:rPr>
        <w:t xml:space="preserve">Gender and disability inclusion will be integrated into all </w:t>
      </w:r>
      <w:r w:rsidR="00816DAA">
        <w:rPr>
          <w:rFonts w:cstheme="minorHAnsi"/>
        </w:rPr>
        <w:t>project designs</w:t>
      </w:r>
      <w:r w:rsidR="003F29F1">
        <w:rPr>
          <w:rFonts w:cstheme="minorHAnsi"/>
        </w:rPr>
        <w:t xml:space="preserve"> </w:t>
      </w:r>
      <w:r w:rsidR="00816DAA" w:rsidRPr="009573FB">
        <w:rPr>
          <w:rFonts w:cstheme="minorHAnsi"/>
        </w:rPr>
        <w:t xml:space="preserve">and </w:t>
      </w:r>
      <w:r w:rsidR="00010922" w:rsidRPr="00010922">
        <w:rPr>
          <w:rFonts w:cstheme="minorHAnsi"/>
        </w:rPr>
        <w:t xml:space="preserve">Knowledge, Performance and Learning Framework </w:t>
      </w:r>
      <w:r w:rsidR="00010922">
        <w:rPr>
          <w:rFonts w:cstheme="minorHAnsi"/>
        </w:rPr>
        <w:t>(KPLF)</w:t>
      </w:r>
      <w:r w:rsidR="003F29F1">
        <w:rPr>
          <w:rFonts w:cstheme="minorHAnsi"/>
        </w:rPr>
        <w:t xml:space="preserve"> </w:t>
      </w:r>
      <w:r w:rsidR="00816DAA">
        <w:rPr>
          <w:rFonts w:cstheme="minorHAnsi"/>
        </w:rPr>
        <w:t>developed</w:t>
      </w:r>
      <w:r w:rsidR="00816DAA" w:rsidRPr="009573FB">
        <w:rPr>
          <w:rFonts w:cstheme="minorHAnsi"/>
        </w:rPr>
        <w:t xml:space="preserve"> by the Managing Contractor and</w:t>
      </w:r>
      <w:r w:rsidR="00184445">
        <w:rPr>
          <w:rFonts w:cstheme="minorHAnsi"/>
        </w:rPr>
        <w:t xml:space="preserve"> UN and NGO</w:t>
      </w:r>
      <w:r w:rsidR="00816DAA">
        <w:rPr>
          <w:rFonts w:cstheme="minorHAnsi"/>
        </w:rPr>
        <w:t xml:space="preserve"> partner</w:t>
      </w:r>
      <w:r w:rsidR="00184445">
        <w:rPr>
          <w:rFonts w:cstheme="minorHAnsi"/>
        </w:rPr>
        <w:t>s</w:t>
      </w:r>
      <w:r w:rsidR="00816DAA">
        <w:t xml:space="preserve">. It is expected that project </w:t>
      </w:r>
      <w:r w:rsidR="00184445">
        <w:t xml:space="preserve">budgets incorporate </w:t>
      </w:r>
      <w:r w:rsidR="00816DAA">
        <w:t>costs associated</w:t>
      </w:r>
      <w:r w:rsidR="00184445">
        <w:t xml:space="preserve"> with ensuring engagement processes are inclusive of people with disability.</w:t>
      </w:r>
    </w:p>
    <w:p w14:paraId="6682EA75" w14:textId="019549D3" w:rsidR="007D01B9" w:rsidRPr="00870756" w:rsidRDefault="007D01B9" w:rsidP="00870756">
      <w:pPr>
        <w:rPr>
          <w:b/>
        </w:rPr>
      </w:pPr>
      <w:r w:rsidRPr="00870756">
        <w:rPr>
          <w:b/>
        </w:rPr>
        <w:t>Modality and indicative activities</w:t>
      </w:r>
    </w:p>
    <w:p w14:paraId="582D07BA" w14:textId="77CAF5B4" w:rsidR="00D562A8" w:rsidRDefault="005B679E" w:rsidP="00F42EE8">
      <w:r w:rsidRPr="005B679E">
        <w:t>Outcome 4 (cross-cutting themes)</w:t>
      </w:r>
      <w:r w:rsidR="007D01B9">
        <w:t xml:space="preserve"> will be delivered through: </w:t>
      </w:r>
    </w:p>
    <w:p w14:paraId="768CEF7C" w14:textId="40410083" w:rsidR="00D562A8" w:rsidRDefault="007D01B9" w:rsidP="00D562A8">
      <w:pPr>
        <w:pStyle w:val="ListParagraph"/>
        <w:numPr>
          <w:ilvl w:val="0"/>
          <w:numId w:val="39"/>
        </w:numPr>
      </w:pPr>
      <w:r>
        <w:t>the Managing Contractor (or appropriate sub-contractor) who will document BPBD capacity building models and Resilient Village</w:t>
      </w:r>
      <w:r w:rsidR="00D562A8">
        <w:t>/City</w:t>
      </w:r>
      <w:r>
        <w:t xml:space="preserve"> models; </w:t>
      </w:r>
    </w:p>
    <w:p w14:paraId="208A0EFA" w14:textId="77777777" w:rsidR="00D562A8" w:rsidRDefault="007D01B9" w:rsidP="00D562A8">
      <w:pPr>
        <w:pStyle w:val="ListParagraph"/>
        <w:numPr>
          <w:ilvl w:val="0"/>
          <w:numId w:val="39"/>
        </w:numPr>
      </w:pPr>
      <w:r>
        <w:t>funding grants to OCHA</w:t>
      </w:r>
      <w:r w:rsidR="00B85E7C">
        <w:t>/IFRC</w:t>
      </w:r>
      <w:r>
        <w:t xml:space="preserve"> and </w:t>
      </w:r>
      <w:r w:rsidR="00F42EE8">
        <w:t>PMI/</w:t>
      </w:r>
      <w:r>
        <w:t>NU/Muhammadiya</w:t>
      </w:r>
      <w:r w:rsidR="00D17742">
        <w:t>h</w:t>
      </w:r>
      <w:r>
        <w:t xml:space="preserve"> for national reflection and learning workshops; </w:t>
      </w:r>
    </w:p>
    <w:p w14:paraId="7CFFD9BF" w14:textId="3903F352" w:rsidR="00885FEC" w:rsidRDefault="007D01B9" w:rsidP="00D562A8">
      <w:pPr>
        <w:pStyle w:val="ListParagraph"/>
        <w:numPr>
          <w:ilvl w:val="0"/>
          <w:numId w:val="39"/>
        </w:numPr>
      </w:pPr>
      <w:r>
        <w:t xml:space="preserve">funding grants to </w:t>
      </w:r>
      <w:r w:rsidR="00DE7FEF">
        <w:t>OCHA</w:t>
      </w:r>
      <w:r w:rsidR="00A46F6E">
        <w:t>/</w:t>
      </w:r>
      <w:r w:rsidR="00B85E7C">
        <w:t>IFRC</w:t>
      </w:r>
      <w:r w:rsidR="00A46F6E">
        <w:t xml:space="preserve"> </w:t>
      </w:r>
      <w:r>
        <w:t xml:space="preserve">to trial innovations and improve the ways which gender and social inclusion are addressed in the humanitarian system in Indonesia; </w:t>
      </w:r>
    </w:p>
    <w:p w14:paraId="56D329C2" w14:textId="00DEC388" w:rsidR="00A46F6E" w:rsidRDefault="00BA105B" w:rsidP="00D562A8">
      <w:pPr>
        <w:pStyle w:val="ListParagraph"/>
        <w:numPr>
          <w:ilvl w:val="0"/>
          <w:numId w:val="39"/>
        </w:numPr>
      </w:pPr>
      <w:r>
        <w:rPr>
          <w:lang w:val="en-GB"/>
        </w:rPr>
        <w:t xml:space="preserve">funding grants to </w:t>
      </w:r>
      <w:r w:rsidRPr="00BA105B">
        <w:rPr>
          <w:lang w:val="en-GB"/>
        </w:rPr>
        <w:t>CSOs, think tanks</w:t>
      </w:r>
      <w:r>
        <w:rPr>
          <w:lang w:val="en-GB"/>
        </w:rPr>
        <w:t xml:space="preserve">, </w:t>
      </w:r>
      <w:r w:rsidRPr="00BA105B">
        <w:rPr>
          <w:lang w:val="en-GB"/>
        </w:rPr>
        <w:t>research organisations or universities to undertake reviews and targeted research</w:t>
      </w:r>
      <w:r>
        <w:rPr>
          <w:lang w:val="en-GB"/>
        </w:rPr>
        <w:t>;</w:t>
      </w:r>
      <w:r w:rsidRPr="00BA105B">
        <w:rPr>
          <w:lang w:val="en-GB"/>
        </w:rPr>
        <w:t xml:space="preserve"> </w:t>
      </w:r>
      <w:r w:rsidR="007D01B9">
        <w:t xml:space="preserve">and </w:t>
      </w:r>
    </w:p>
    <w:p w14:paraId="53B0E183" w14:textId="679A745E" w:rsidR="007D01B9" w:rsidRDefault="007D01B9" w:rsidP="00D562A8">
      <w:pPr>
        <w:pStyle w:val="ListParagraph"/>
        <w:numPr>
          <w:ilvl w:val="0"/>
          <w:numId w:val="39"/>
        </w:numPr>
      </w:pPr>
      <w:r>
        <w:t>technical advice to provinces</w:t>
      </w:r>
      <w:r w:rsidR="00A46F6E">
        <w:t>/kabupaten</w:t>
      </w:r>
      <w:r>
        <w:t xml:space="preserve"> to ensure appropriate integration of disability and gender </w:t>
      </w:r>
      <w:r w:rsidR="003D279E">
        <w:t>(</w:t>
      </w:r>
      <w:r>
        <w:t xml:space="preserve">delivered by the GESI </w:t>
      </w:r>
      <w:r w:rsidR="003D7B29">
        <w:t xml:space="preserve">Specialist </w:t>
      </w:r>
      <w:r>
        <w:t>and other appropriate organisations such as DPOs</w:t>
      </w:r>
      <w:r w:rsidR="003D279E">
        <w:t>)</w:t>
      </w:r>
      <w:r>
        <w:t xml:space="preserve">. </w:t>
      </w:r>
    </w:p>
    <w:p w14:paraId="25616BC9" w14:textId="77777777" w:rsidR="00A877CF" w:rsidRPr="0072601F" w:rsidRDefault="00A877CF" w:rsidP="006D4F83">
      <w:pPr>
        <w:pStyle w:val="Heading3"/>
      </w:pPr>
      <w:bookmarkStart w:id="32" w:name="_Toc525550771"/>
      <w:bookmarkEnd w:id="1"/>
      <w:r w:rsidRPr="00C61524">
        <w:t>Delivery Approach</w:t>
      </w:r>
      <w:bookmarkEnd w:id="32"/>
    </w:p>
    <w:p w14:paraId="31D3D184" w14:textId="30AFFE8E" w:rsidR="004142B4" w:rsidRDefault="00F45878" w:rsidP="00C61524">
      <w:r>
        <w:t>A delivery approach</w:t>
      </w:r>
      <w:r w:rsidR="004142B4">
        <w:t xml:space="preserve"> which combines a Managing Contractor with direct grants</w:t>
      </w:r>
      <w:r>
        <w:t xml:space="preserve"> is outlined bel</w:t>
      </w:r>
      <w:r w:rsidR="004142B4">
        <w:t>ow. This approach allows flexibility in managing</w:t>
      </w:r>
      <w:r>
        <w:t xml:space="preserve"> the range of </w:t>
      </w:r>
      <w:r w:rsidR="004213EA">
        <w:t xml:space="preserve">relationships with </w:t>
      </w:r>
      <w:r w:rsidR="004142B4">
        <w:t xml:space="preserve">government and non-government local </w:t>
      </w:r>
      <w:r>
        <w:t xml:space="preserve">partners </w:t>
      </w:r>
      <w:r w:rsidR="004142B4">
        <w:t>necessary to achieve the outcomes sought under each program pillar</w:t>
      </w:r>
      <w:r w:rsidR="00E43C71">
        <w:t xml:space="preserve"> – working across the DRM system from community to national government level</w:t>
      </w:r>
      <w:r w:rsidR="004142B4">
        <w:t xml:space="preserve">. The MC will play a critical role in </w:t>
      </w:r>
      <w:r w:rsidR="00010922">
        <w:t>developing and implementing Program KPLF</w:t>
      </w:r>
      <w:r w:rsidR="003D7CDE">
        <w:t>, planning, gender and social inclusion services across all partners, as well as financial management for advisory support and NU</w:t>
      </w:r>
      <w:r w:rsidR="003D7B29">
        <w:t>,</w:t>
      </w:r>
      <w:r w:rsidR="003D7CDE">
        <w:t xml:space="preserve"> Muhammadiyah </w:t>
      </w:r>
      <w:r w:rsidR="003D7B29">
        <w:t xml:space="preserve">and </w:t>
      </w:r>
      <w:r w:rsidR="00FD0A17">
        <w:t xml:space="preserve">other </w:t>
      </w:r>
      <w:r w:rsidR="00412E88">
        <w:t xml:space="preserve">grants to </w:t>
      </w:r>
      <w:r w:rsidR="00FD0A17">
        <w:t>local partners</w:t>
      </w:r>
      <w:r w:rsidR="003D7CDE">
        <w:t>. Financial management of UN partners (</w:t>
      </w:r>
      <w:r w:rsidR="00DE7FEF">
        <w:t>OCHA</w:t>
      </w:r>
      <w:r w:rsidR="003D7CDE">
        <w:t xml:space="preserve"> and IFRC) will be managed directly by DFAT due to </w:t>
      </w:r>
      <w:r w:rsidR="0094476B">
        <w:t>GoI</w:t>
      </w:r>
      <w:r w:rsidR="003D7CDE">
        <w:t xml:space="preserve"> regulations.</w:t>
      </w:r>
    </w:p>
    <w:p w14:paraId="3199378C" w14:textId="540EB2CC" w:rsidR="00787127" w:rsidRDefault="00CD0F0D" w:rsidP="00C61524">
      <w:r>
        <w:t xml:space="preserve">In order to support organisational reform in DRM consideration was given to direct management of advisory support through DFAT (as is the case under </w:t>
      </w:r>
      <w:r w:rsidR="00A624B2">
        <w:t>the 2015-2018 disaster risk management investment</w:t>
      </w:r>
      <w:r>
        <w:t>)</w:t>
      </w:r>
      <w:r w:rsidR="004142B4">
        <w:t>, however the scale of TA at national and sub-national levels would be more efficiently managed through a contractor</w:t>
      </w:r>
      <w:r>
        <w:t xml:space="preserve">.  </w:t>
      </w:r>
      <w:r w:rsidR="00ED5DDE">
        <w:t>Using government systems for technical assistance was not considered suitable due to fiduciary and Indonesian regulatory issues</w:t>
      </w:r>
      <w:r>
        <w:t xml:space="preserve">. </w:t>
      </w:r>
      <w:r w:rsidR="00787127">
        <w:t>The investment explicitly support</w:t>
      </w:r>
      <w:r w:rsidR="00C14C65">
        <w:t>s</w:t>
      </w:r>
      <w:r w:rsidR="00787127">
        <w:t xml:space="preserve"> implementation of existing </w:t>
      </w:r>
      <w:r w:rsidR="0094476B">
        <w:t>GoI</w:t>
      </w:r>
      <w:r w:rsidR="00787127">
        <w:t xml:space="preserve"> law, policy and regulation on disaster risk management</w:t>
      </w:r>
      <w:r w:rsidR="00C14C65">
        <w:t xml:space="preserve">, such as the </w:t>
      </w:r>
      <w:r w:rsidR="003D7B29">
        <w:t>MSS</w:t>
      </w:r>
      <w:r w:rsidR="00787127">
        <w:t xml:space="preserve">. </w:t>
      </w:r>
      <w:r w:rsidR="00C14C65">
        <w:t xml:space="preserve">There is an emphasis in the program on </w:t>
      </w:r>
      <w:r w:rsidR="00F044D8">
        <w:t xml:space="preserve">organisational change and </w:t>
      </w:r>
      <w:r w:rsidR="00C14C65">
        <w:t>building capacity that</w:t>
      </w:r>
      <w:r w:rsidR="00F044D8">
        <w:t xml:space="preserve"> is based on the </w:t>
      </w:r>
      <w:r w:rsidR="00E43C71">
        <w:t>existing environment and</w:t>
      </w:r>
      <w:r w:rsidR="00C14C65">
        <w:t xml:space="preserve"> can be sustained through government systems. </w:t>
      </w:r>
    </w:p>
    <w:p w14:paraId="1B302EA0" w14:textId="09FFE67F" w:rsidR="00A747AC" w:rsidRDefault="00CD0F0D" w:rsidP="00C61524">
      <w:r>
        <w:t xml:space="preserve"> The </w:t>
      </w:r>
      <w:r w:rsidR="004142B4">
        <w:t>delivery approach</w:t>
      </w:r>
      <w:r w:rsidR="003D7CDE">
        <w:t xml:space="preserve"> is detailed below</w:t>
      </w:r>
      <w:r w:rsidR="00700B07">
        <w:t>:</w:t>
      </w:r>
      <w:r w:rsidR="004142B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8"/>
        <w:gridCol w:w="3351"/>
      </w:tblGrid>
      <w:tr w:rsidR="00B82518" w:rsidRPr="00991E73" w14:paraId="3B8C91EF" w14:textId="77777777" w:rsidTr="00A747AC">
        <w:trPr>
          <w:tblHeader/>
        </w:trPr>
        <w:tc>
          <w:tcPr>
            <w:tcW w:w="2547" w:type="dxa"/>
            <w:shd w:val="clear" w:color="auto" w:fill="B4C6E7" w:themeFill="accent1" w:themeFillTint="66"/>
          </w:tcPr>
          <w:p w14:paraId="1E8E6EAB" w14:textId="77777777" w:rsidR="00B82518" w:rsidRPr="00991E73" w:rsidRDefault="00B82518" w:rsidP="00991E73">
            <w:pPr>
              <w:spacing w:before="0"/>
              <w:rPr>
                <w:b/>
                <w:sz w:val="18"/>
                <w:szCs w:val="18"/>
              </w:rPr>
            </w:pPr>
            <w:r w:rsidRPr="00991E73">
              <w:rPr>
                <w:b/>
                <w:sz w:val="18"/>
                <w:szCs w:val="18"/>
              </w:rPr>
              <w:t>Delivery Approach</w:t>
            </w:r>
          </w:p>
        </w:tc>
        <w:tc>
          <w:tcPr>
            <w:tcW w:w="3118" w:type="dxa"/>
            <w:shd w:val="clear" w:color="auto" w:fill="B4C6E7" w:themeFill="accent1" w:themeFillTint="66"/>
          </w:tcPr>
          <w:p w14:paraId="59385968" w14:textId="77777777" w:rsidR="00B82518" w:rsidRPr="00991E73" w:rsidRDefault="00B82518" w:rsidP="00991E73">
            <w:pPr>
              <w:spacing w:before="0"/>
              <w:rPr>
                <w:b/>
                <w:sz w:val="18"/>
                <w:szCs w:val="18"/>
              </w:rPr>
            </w:pPr>
            <w:r w:rsidRPr="00991E73">
              <w:rPr>
                <w:b/>
                <w:sz w:val="18"/>
                <w:szCs w:val="18"/>
              </w:rPr>
              <w:t>Functions</w:t>
            </w:r>
          </w:p>
        </w:tc>
        <w:tc>
          <w:tcPr>
            <w:tcW w:w="3351" w:type="dxa"/>
            <w:shd w:val="clear" w:color="auto" w:fill="B4C6E7" w:themeFill="accent1" w:themeFillTint="66"/>
          </w:tcPr>
          <w:p w14:paraId="61CAC8F7" w14:textId="1787DAA6" w:rsidR="00B82518" w:rsidRPr="00991E73" w:rsidRDefault="002E1D5C" w:rsidP="00991E73">
            <w:pPr>
              <w:spacing w:before="0"/>
              <w:rPr>
                <w:b/>
                <w:sz w:val="18"/>
                <w:szCs w:val="18"/>
              </w:rPr>
            </w:pPr>
            <w:r>
              <w:rPr>
                <w:b/>
                <w:sz w:val="18"/>
                <w:szCs w:val="18"/>
              </w:rPr>
              <w:t>Justification</w:t>
            </w:r>
          </w:p>
        </w:tc>
      </w:tr>
      <w:tr w:rsidR="004D0BC7" w:rsidRPr="00991E73" w14:paraId="0F11F1AE" w14:textId="77777777" w:rsidTr="00FF1517">
        <w:tc>
          <w:tcPr>
            <w:tcW w:w="2547" w:type="dxa"/>
          </w:tcPr>
          <w:p w14:paraId="68C003CE" w14:textId="4BE5500A" w:rsidR="004D0BC7" w:rsidRPr="00991E73" w:rsidRDefault="002E1D5C" w:rsidP="00991E73">
            <w:pPr>
              <w:spacing w:before="0"/>
              <w:rPr>
                <w:sz w:val="18"/>
                <w:szCs w:val="18"/>
              </w:rPr>
            </w:pPr>
            <w:r>
              <w:rPr>
                <w:sz w:val="18"/>
                <w:szCs w:val="18"/>
              </w:rPr>
              <w:t>DFAT</w:t>
            </w:r>
          </w:p>
        </w:tc>
        <w:tc>
          <w:tcPr>
            <w:tcW w:w="3118" w:type="dxa"/>
          </w:tcPr>
          <w:p w14:paraId="01E87601" w14:textId="52C7ED8A" w:rsidR="008F01D8" w:rsidRPr="00444C35" w:rsidRDefault="008F01D8" w:rsidP="00444C35">
            <w:pPr>
              <w:pStyle w:val="ListParagraph"/>
              <w:numPr>
                <w:ilvl w:val="0"/>
                <w:numId w:val="40"/>
              </w:numPr>
              <w:ind w:left="323" w:hanging="255"/>
              <w:rPr>
                <w:sz w:val="18"/>
                <w:szCs w:val="18"/>
              </w:rPr>
            </w:pPr>
            <w:r w:rsidRPr="00444C35">
              <w:rPr>
                <w:sz w:val="18"/>
                <w:szCs w:val="18"/>
              </w:rPr>
              <w:t>Liaise with GoI partners, at both national and local levels, directly or through the MC.</w:t>
            </w:r>
          </w:p>
          <w:p w14:paraId="6CCB2231" w14:textId="3FA8C844" w:rsidR="004D0BC7" w:rsidRPr="00444C35" w:rsidRDefault="008129D6" w:rsidP="00444C35">
            <w:pPr>
              <w:pStyle w:val="ListParagraph"/>
              <w:numPr>
                <w:ilvl w:val="0"/>
                <w:numId w:val="40"/>
              </w:numPr>
              <w:ind w:left="323" w:hanging="255"/>
              <w:rPr>
                <w:sz w:val="18"/>
                <w:szCs w:val="18"/>
              </w:rPr>
            </w:pPr>
            <w:r w:rsidRPr="00444C35">
              <w:rPr>
                <w:sz w:val="18"/>
                <w:szCs w:val="18"/>
              </w:rPr>
              <w:t>Strategic oversight</w:t>
            </w:r>
            <w:r w:rsidR="00E91AF1" w:rsidRPr="00444C35">
              <w:rPr>
                <w:sz w:val="18"/>
                <w:szCs w:val="18"/>
              </w:rPr>
              <w:t xml:space="preserve"> of</w:t>
            </w:r>
            <w:r w:rsidRPr="00444C35">
              <w:rPr>
                <w:sz w:val="18"/>
                <w:szCs w:val="18"/>
              </w:rPr>
              <w:t xml:space="preserve"> the Program.</w:t>
            </w:r>
          </w:p>
          <w:p w14:paraId="47EBA351" w14:textId="7D172AA8" w:rsidR="004D0BC7" w:rsidRPr="00444C35" w:rsidRDefault="004D0BC7" w:rsidP="00444C35">
            <w:pPr>
              <w:pStyle w:val="ListParagraph"/>
              <w:numPr>
                <w:ilvl w:val="0"/>
                <w:numId w:val="40"/>
              </w:numPr>
              <w:ind w:left="323" w:hanging="255"/>
              <w:rPr>
                <w:sz w:val="18"/>
                <w:szCs w:val="18"/>
              </w:rPr>
            </w:pPr>
            <w:r w:rsidRPr="00444C35">
              <w:rPr>
                <w:sz w:val="18"/>
                <w:szCs w:val="18"/>
              </w:rPr>
              <w:t>As the co-chair of the SC, appro</w:t>
            </w:r>
            <w:r w:rsidR="008129D6" w:rsidRPr="00444C35">
              <w:rPr>
                <w:sz w:val="18"/>
                <w:szCs w:val="18"/>
              </w:rPr>
              <w:t>ve the Annual Plans and Reports.</w:t>
            </w:r>
          </w:p>
          <w:p w14:paraId="35E53B75" w14:textId="1A0F52B3" w:rsidR="004D0BC7" w:rsidRPr="00444C35" w:rsidRDefault="004D0BC7" w:rsidP="00444C35">
            <w:pPr>
              <w:pStyle w:val="ListParagraph"/>
              <w:numPr>
                <w:ilvl w:val="0"/>
                <w:numId w:val="40"/>
              </w:numPr>
              <w:ind w:left="323" w:hanging="255"/>
              <w:rPr>
                <w:sz w:val="18"/>
                <w:szCs w:val="18"/>
              </w:rPr>
            </w:pPr>
            <w:r w:rsidRPr="00444C35">
              <w:rPr>
                <w:sz w:val="18"/>
                <w:szCs w:val="18"/>
              </w:rPr>
              <w:t>Monitoring, reviewing and evaluating the performance of the Contractor and the Program</w:t>
            </w:r>
            <w:r w:rsidR="008129D6" w:rsidRPr="00444C35">
              <w:rPr>
                <w:sz w:val="18"/>
                <w:szCs w:val="18"/>
              </w:rPr>
              <w:t>.</w:t>
            </w:r>
          </w:p>
          <w:p w14:paraId="3626D9F6" w14:textId="16BEB241" w:rsidR="004D0BC7" w:rsidRPr="00444C35" w:rsidRDefault="004D0BC7" w:rsidP="00444C35">
            <w:pPr>
              <w:pStyle w:val="ListParagraph"/>
              <w:numPr>
                <w:ilvl w:val="0"/>
                <w:numId w:val="40"/>
              </w:numPr>
              <w:ind w:left="323" w:hanging="255"/>
              <w:rPr>
                <w:sz w:val="18"/>
                <w:szCs w:val="18"/>
              </w:rPr>
            </w:pPr>
            <w:r w:rsidRPr="00444C35">
              <w:rPr>
                <w:sz w:val="18"/>
                <w:szCs w:val="18"/>
              </w:rPr>
              <w:t>Ensuring that the implementation of the Program is in accordance with the Australia-Indonesia General Agreement on Development Cooperation (GADC)</w:t>
            </w:r>
            <w:r w:rsidR="008129D6" w:rsidRPr="00444C35">
              <w:rPr>
                <w:sz w:val="18"/>
                <w:szCs w:val="18"/>
              </w:rPr>
              <w:t>.</w:t>
            </w:r>
          </w:p>
          <w:p w14:paraId="0B847FC6" w14:textId="2E359CC8" w:rsidR="004D0BC7" w:rsidRPr="00444C35" w:rsidRDefault="004D0BC7" w:rsidP="00444C35">
            <w:pPr>
              <w:pStyle w:val="ListParagraph"/>
              <w:numPr>
                <w:ilvl w:val="0"/>
                <w:numId w:val="40"/>
              </w:numPr>
              <w:ind w:left="323" w:hanging="255"/>
              <w:rPr>
                <w:sz w:val="18"/>
                <w:szCs w:val="18"/>
              </w:rPr>
            </w:pPr>
            <w:r w:rsidRPr="00444C35">
              <w:rPr>
                <w:sz w:val="18"/>
                <w:szCs w:val="18"/>
              </w:rPr>
              <w:t xml:space="preserve">Together with BNPB, co-chair the SC and </w:t>
            </w:r>
            <w:r w:rsidR="008F340A">
              <w:rPr>
                <w:sz w:val="18"/>
                <w:szCs w:val="18"/>
              </w:rPr>
              <w:t>other relevant governance mechanisms</w:t>
            </w:r>
            <w:r w:rsidR="008F01D8" w:rsidRPr="00444C35">
              <w:rPr>
                <w:sz w:val="18"/>
                <w:szCs w:val="18"/>
              </w:rPr>
              <w:t>,</w:t>
            </w:r>
            <w:r w:rsidRPr="00444C35">
              <w:rPr>
                <w:sz w:val="18"/>
                <w:szCs w:val="18"/>
              </w:rPr>
              <w:t xml:space="preserve"> to provide strategic and operational guidance to the Program</w:t>
            </w:r>
            <w:r w:rsidR="008129D6" w:rsidRPr="00444C35">
              <w:rPr>
                <w:sz w:val="18"/>
                <w:szCs w:val="18"/>
              </w:rPr>
              <w:t>.</w:t>
            </w:r>
          </w:p>
          <w:p w14:paraId="295EF404" w14:textId="339CA296" w:rsidR="004D0BC7" w:rsidRPr="00444C35" w:rsidRDefault="004D0BC7" w:rsidP="00444C35">
            <w:pPr>
              <w:pStyle w:val="ListParagraph"/>
              <w:numPr>
                <w:ilvl w:val="0"/>
                <w:numId w:val="40"/>
              </w:numPr>
              <w:ind w:left="323" w:hanging="255"/>
              <w:rPr>
                <w:sz w:val="18"/>
                <w:szCs w:val="18"/>
              </w:rPr>
            </w:pPr>
            <w:r w:rsidRPr="00444C35">
              <w:rPr>
                <w:sz w:val="18"/>
                <w:szCs w:val="18"/>
              </w:rPr>
              <w:t>Directly manage financial management of multilateral partners.</w:t>
            </w:r>
          </w:p>
        </w:tc>
        <w:tc>
          <w:tcPr>
            <w:tcW w:w="3351" w:type="dxa"/>
          </w:tcPr>
          <w:p w14:paraId="3AC412CC" w14:textId="77777777" w:rsidR="004D0BC7" w:rsidRPr="00991E73" w:rsidRDefault="004D0BC7" w:rsidP="00991E73">
            <w:pPr>
              <w:spacing w:before="0"/>
              <w:rPr>
                <w:sz w:val="18"/>
                <w:szCs w:val="18"/>
              </w:rPr>
            </w:pPr>
          </w:p>
        </w:tc>
      </w:tr>
      <w:tr w:rsidR="00B82518" w:rsidRPr="00991E73" w14:paraId="2915F4E6" w14:textId="77777777" w:rsidTr="00FF1517">
        <w:tc>
          <w:tcPr>
            <w:tcW w:w="2547" w:type="dxa"/>
          </w:tcPr>
          <w:p w14:paraId="38B5E8DA" w14:textId="21A83155" w:rsidR="00B82518" w:rsidRPr="00991E73" w:rsidRDefault="00B82518" w:rsidP="00991E73">
            <w:pPr>
              <w:spacing w:before="0"/>
              <w:rPr>
                <w:sz w:val="18"/>
                <w:szCs w:val="18"/>
              </w:rPr>
            </w:pPr>
            <w:r w:rsidRPr="00991E73">
              <w:rPr>
                <w:sz w:val="18"/>
                <w:szCs w:val="18"/>
              </w:rPr>
              <w:t>M</w:t>
            </w:r>
            <w:r w:rsidR="00FF1517" w:rsidRPr="00991E73">
              <w:rPr>
                <w:sz w:val="18"/>
                <w:szCs w:val="18"/>
              </w:rPr>
              <w:t>anaging Contractor (MC)</w:t>
            </w:r>
          </w:p>
        </w:tc>
        <w:tc>
          <w:tcPr>
            <w:tcW w:w="3118" w:type="dxa"/>
          </w:tcPr>
          <w:p w14:paraId="27A15D67" w14:textId="1B005919" w:rsidR="004D0BC7" w:rsidRPr="00444C35" w:rsidRDefault="004D0BC7" w:rsidP="00444C35">
            <w:pPr>
              <w:pStyle w:val="ListParagraph"/>
              <w:numPr>
                <w:ilvl w:val="0"/>
                <w:numId w:val="40"/>
              </w:numPr>
              <w:ind w:left="323" w:hanging="283"/>
              <w:rPr>
                <w:sz w:val="18"/>
                <w:szCs w:val="18"/>
              </w:rPr>
            </w:pPr>
            <w:r w:rsidRPr="00444C35">
              <w:rPr>
                <w:sz w:val="18"/>
                <w:szCs w:val="18"/>
              </w:rPr>
              <w:t>Develop and maintain sound relationships with GoI partners at</w:t>
            </w:r>
            <w:r w:rsidR="008129D6" w:rsidRPr="00444C35">
              <w:rPr>
                <w:sz w:val="18"/>
                <w:szCs w:val="18"/>
              </w:rPr>
              <w:t xml:space="preserve"> both national and local levels.</w:t>
            </w:r>
          </w:p>
          <w:p w14:paraId="74891241" w14:textId="29313335" w:rsidR="004D0BC7" w:rsidRPr="00444C35" w:rsidRDefault="004D0BC7" w:rsidP="00444C35">
            <w:pPr>
              <w:pStyle w:val="ListParagraph"/>
              <w:numPr>
                <w:ilvl w:val="0"/>
                <w:numId w:val="40"/>
              </w:numPr>
              <w:ind w:left="323" w:hanging="283"/>
              <w:rPr>
                <w:sz w:val="18"/>
                <w:szCs w:val="18"/>
              </w:rPr>
            </w:pPr>
            <w:r w:rsidRPr="00444C35">
              <w:rPr>
                <w:sz w:val="18"/>
                <w:szCs w:val="18"/>
              </w:rPr>
              <w:t xml:space="preserve">Manage national and provincial </w:t>
            </w:r>
            <w:r w:rsidR="008F340A">
              <w:rPr>
                <w:sz w:val="18"/>
                <w:szCs w:val="18"/>
              </w:rPr>
              <w:t>technical advisors</w:t>
            </w:r>
            <w:r w:rsidRPr="00444C35">
              <w:rPr>
                <w:sz w:val="18"/>
                <w:szCs w:val="18"/>
              </w:rPr>
              <w:t xml:space="preserve"> (both STAs and LTAs)</w:t>
            </w:r>
            <w:r w:rsidR="008129D6" w:rsidRPr="00444C35">
              <w:rPr>
                <w:sz w:val="18"/>
                <w:szCs w:val="18"/>
              </w:rPr>
              <w:t>.</w:t>
            </w:r>
          </w:p>
          <w:p w14:paraId="498E3FA6" w14:textId="325511DD" w:rsidR="004D0BC7" w:rsidRPr="00444C35" w:rsidRDefault="004D0BC7" w:rsidP="00444C35">
            <w:pPr>
              <w:pStyle w:val="ListParagraph"/>
              <w:numPr>
                <w:ilvl w:val="0"/>
                <w:numId w:val="40"/>
              </w:numPr>
              <w:ind w:left="323" w:hanging="283"/>
              <w:rPr>
                <w:sz w:val="18"/>
                <w:szCs w:val="18"/>
              </w:rPr>
            </w:pPr>
            <w:r w:rsidRPr="00444C35">
              <w:rPr>
                <w:sz w:val="18"/>
                <w:szCs w:val="18"/>
              </w:rPr>
              <w:t>Manage NU and Muhammadiyah grants and other grants as requested by DFAT</w:t>
            </w:r>
            <w:r w:rsidR="008129D6" w:rsidRPr="00444C35">
              <w:rPr>
                <w:sz w:val="18"/>
                <w:szCs w:val="18"/>
              </w:rPr>
              <w:t>.</w:t>
            </w:r>
          </w:p>
          <w:p w14:paraId="712C9CD7" w14:textId="13EB22DD" w:rsidR="004D0BC7" w:rsidRPr="00444C35" w:rsidRDefault="004D0BC7" w:rsidP="00444C35">
            <w:pPr>
              <w:pStyle w:val="ListParagraph"/>
              <w:numPr>
                <w:ilvl w:val="0"/>
                <w:numId w:val="40"/>
              </w:numPr>
              <w:ind w:left="323" w:hanging="283"/>
              <w:rPr>
                <w:sz w:val="18"/>
                <w:szCs w:val="18"/>
              </w:rPr>
            </w:pPr>
            <w:r w:rsidRPr="00444C35">
              <w:rPr>
                <w:sz w:val="18"/>
                <w:szCs w:val="18"/>
              </w:rPr>
              <w:t>Deliver the agreed annual work plans and budget</w:t>
            </w:r>
            <w:r w:rsidR="008129D6" w:rsidRPr="00444C35">
              <w:rPr>
                <w:sz w:val="18"/>
                <w:szCs w:val="18"/>
              </w:rPr>
              <w:t>.</w:t>
            </w:r>
          </w:p>
          <w:p w14:paraId="41070E35" w14:textId="2B422809" w:rsidR="00C77AE6" w:rsidRPr="00444C35" w:rsidRDefault="004D0BC7" w:rsidP="00444C35">
            <w:pPr>
              <w:pStyle w:val="ListParagraph"/>
              <w:numPr>
                <w:ilvl w:val="0"/>
                <w:numId w:val="40"/>
              </w:numPr>
              <w:ind w:left="323" w:hanging="283"/>
              <w:rPr>
                <w:sz w:val="18"/>
                <w:szCs w:val="18"/>
              </w:rPr>
            </w:pPr>
            <w:r w:rsidRPr="00444C35">
              <w:rPr>
                <w:sz w:val="18"/>
                <w:szCs w:val="18"/>
              </w:rPr>
              <w:t xml:space="preserve">Lead the arrangement of annual Steering Committee and Technical Group meetings in coordination with </w:t>
            </w:r>
            <w:r w:rsidR="00C77AE6" w:rsidRPr="00444C35">
              <w:rPr>
                <w:sz w:val="18"/>
                <w:szCs w:val="18"/>
              </w:rPr>
              <w:t xml:space="preserve">DFAT and </w:t>
            </w:r>
            <w:r w:rsidRPr="00444C35">
              <w:rPr>
                <w:sz w:val="18"/>
                <w:szCs w:val="18"/>
              </w:rPr>
              <w:t>relevant GOI agencies</w:t>
            </w:r>
            <w:r w:rsidR="008129D6" w:rsidRPr="00444C35">
              <w:rPr>
                <w:sz w:val="18"/>
                <w:szCs w:val="18"/>
              </w:rPr>
              <w:t>.</w:t>
            </w:r>
          </w:p>
          <w:p w14:paraId="60619883" w14:textId="00FE9C4B" w:rsidR="004D0BC7" w:rsidRPr="00444C35" w:rsidRDefault="004D0BC7" w:rsidP="00444C35">
            <w:pPr>
              <w:pStyle w:val="ListParagraph"/>
              <w:numPr>
                <w:ilvl w:val="0"/>
                <w:numId w:val="40"/>
              </w:numPr>
              <w:ind w:left="323" w:hanging="283"/>
              <w:rPr>
                <w:sz w:val="18"/>
                <w:szCs w:val="18"/>
              </w:rPr>
            </w:pPr>
            <w:r w:rsidRPr="00444C35">
              <w:rPr>
                <w:sz w:val="18"/>
                <w:szCs w:val="18"/>
              </w:rPr>
              <w:t xml:space="preserve">Lead program wide planning, </w:t>
            </w:r>
            <w:r w:rsidR="00D9697B">
              <w:rPr>
                <w:sz w:val="18"/>
                <w:szCs w:val="18"/>
              </w:rPr>
              <w:t>KPL</w:t>
            </w:r>
            <w:r w:rsidRPr="00444C35">
              <w:rPr>
                <w:sz w:val="18"/>
                <w:szCs w:val="18"/>
              </w:rPr>
              <w:t>, GESI</w:t>
            </w:r>
            <w:r w:rsidR="008129D6" w:rsidRPr="00444C35">
              <w:rPr>
                <w:sz w:val="18"/>
                <w:szCs w:val="18"/>
              </w:rPr>
              <w:t>.</w:t>
            </w:r>
          </w:p>
          <w:p w14:paraId="77327F57" w14:textId="77777777" w:rsidR="00DD0642" w:rsidRPr="00444C35" w:rsidRDefault="00DD0642" w:rsidP="00444C35">
            <w:pPr>
              <w:pStyle w:val="ListParagraph"/>
              <w:numPr>
                <w:ilvl w:val="0"/>
                <w:numId w:val="40"/>
              </w:numPr>
              <w:ind w:left="323" w:hanging="283"/>
              <w:rPr>
                <w:sz w:val="18"/>
                <w:szCs w:val="18"/>
              </w:rPr>
            </w:pPr>
            <w:r w:rsidRPr="00444C35">
              <w:rPr>
                <w:sz w:val="18"/>
                <w:szCs w:val="18"/>
              </w:rPr>
              <w:t>Prepare and submit progress and annual reports and other reporting requirement as requested by DFAT.</w:t>
            </w:r>
          </w:p>
          <w:p w14:paraId="35B2D49A" w14:textId="1D65A5A5" w:rsidR="00B82518" w:rsidRPr="00444C35" w:rsidRDefault="004D0BC7" w:rsidP="00444C35">
            <w:pPr>
              <w:pStyle w:val="ListParagraph"/>
              <w:numPr>
                <w:ilvl w:val="0"/>
                <w:numId w:val="40"/>
              </w:numPr>
              <w:ind w:left="323" w:hanging="283"/>
              <w:rPr>
                <w:sz w:val="18"/>
                <w:szCs w:val="18"/>
              </w:rPr>
            </w:pPr>
            <w:r w:rsidRPr="00444C35">
              <w:rPr>
                <w:sz w:val="18"/>
                <w:szCs w:val="18"/>
              </w:rPr>
              <w:t>Support DFAT’s strategic oversight.</w:t>
            </w:r>
          </w:p>
        </w:tc>
        <w:tc>
          <w:tcPr>
            <w:tcW w:w="3351" w:type="dxa"/>
          </w:tcPr>
          <w:p w14:paraId="5A650FC3" w14:textId="77777777" w:rsidR="00787127" w:rsidRPr="00991E73" w:rsidRDefault="00B82518" w:rsidP="00991E73">
            <w:pPr>
              <w:spacing w:before="0"/>
              <w:rPr>
                <w:sz w:val="18"/>
                <w:szCs w:val="18"/>
              </w:rPr>
            </w:pPr>
            <w:r w:rsidRPr="00991E73">
              <w:rPr>
                <w:sz w:val="18"/>
                <w:szCs w:val="18"/>
              </w:rPr>
              <w:t xml:space="preserve">Efficiency </w:t>
            </w:r>
            <w:r w:rsidR="003D7CDE" w:rsidRPr="00991E73">
              <w:rPr>
                <w:sz w:val="18"/>
                <w:szCs w:val="18"/>
              </w:rPr>
              <w:t xml:space="preserve">in having dedicated operational, strategic and specialist support </w:t>
            </w:r>
            <w:r w:rsidR="00787127" w:rsidRPr="00991E73">
              <w:rPr>
                <w:sz w:val="18"/>
                <w:szCs w:val="18"/>
              </w:rPr>
              <w:t>in one contractor, to provide program wide services</w:t>
            </w:r>
          </w:p>
          <w:p w14:paraId="2892F6E2" w14:textId="7768C45F" w:rsidR="00ED5DDE" w:rsidRPr="00991E73" w:rsidRDefault="00ED5DDE">
            <w:pPr>
              <w:spacing w:before="0"/>
              <w:rPr>
                <w:sz w:val="18"/>
                <w:szCs w:val="18"/>
              </w:rPr>
            </w:pPr>
            <w:r w:rsidRPr="00991E73">
              <w:rPr>
                <w:sz w:val="18"/>
                <w:szCs w:val="18"/>
              </w:rPr>
              <w:t xml:space="preserve">Leaves </w:t>
            </w:r>
            <w:r w:rsidR="000C181B">
              <w:rPr>
                <w:sz w:val="18"/>
                <w:szCs w:val="18"/>
              </w:rPr>
              <w:t>GoA</w:t>
            </w:r>
            <w:r w:rsidR="000C181B" w:rsidRPr="00991E73">
              <w:rPr>
                <w:sz w:val="18"/>
                <w:szCs w:val="18"/>
              </w:rPr>
              <w:t xml:space="preserve"> </w:t>
            </w:r>
            <w:r w:rsidRPr="00991E73">
              <w:rPr>
                <w:sz w:val="18"/>
                <w:szCs w:val="18"/>
              </w:rPr>
              <w:t xml:space="preserve">free to focus on policy relationship and partnership development with </w:t>
            </w:r>
            <w:r w:rsidR="0094476B">
              <w:rPr>
                <w:sz w:val="18"/>
                <w:szCs w:val="18"/>
              </w:rPr>
              <w:t>GoI</w:t>
            </w:r>
            <w:r w:rsidR="00787127" w:rsidRPr="00991E73">
              <w:rPr>
                <w:sz w:val="18"/>
                <w:szCs w:val="18"/>
              </w:rPr>
              <w:t>, CSOs and development partners</w:t>
            </w:r>
          </w:p>
        </w:tc>
      </w:tr>
      <w:tr w:rsidR="00B82518" w:rsidRPr="00991E73" w14:paraId="5838757F" w14:textId="77777777" w:rsidTr="00FF1517">
        <w:tc>
          <w:tcPr>
            <w:tcW w:w="2547" w:type="dxa"/>
          </w:tcPr>
          <w:p w14:paraId="03A8EBDF" w14:textId="4D61C4FC" w:rsidR="00B82518" w:rsidRPr="00991E73" w:rsidRDefault="00B82518" w:rsidP="00991E73">
            <w:pPr>
              <w:spacing w:before="0"/>
              <w:rPr>
                <w:sz w:val="18"/>
                <w:szCs w:val="18"/>
              </w:rPr>
            </w:pPr>
            <w:r w:rsidRPr="00991E73">
              <w:rPr>
                <w:sz w:val="18"/>
                <w:szCs w:val="18"/>
              </w:rPr>
              <w:t>NU</w:t>
            </w:r>
          </w:p>
        </w:tc>
        <w:tc>
          <w:tcPr>
            <w:tcW w:w="3118" w:type="dxa"/>
          </w:tcPr>
          <w:p w14:paraId="74C3F4D1" w14:textId="25051B35" w:rsidR="008129D6" w:rsidRPr="00444C35" w:rsidRDefault="008129D6" w:rsidP="00444C35">
            <w:pPr>
              <w:pStyle w:val="ListParagraph"/>
              <w:numPr>
                <w:ilvl w:val="0"/>
                <w:numId w:val="41"/>
              </w:numPr>
              <w:ind w:left="323" w:hanging="323"/>
              <w:rPr>
                <w:sz w:val="18"/>
                <w:szCs w:val="18"/>
              </w:rPr>
            </w:pPr>
            <w:r w:rsidRPr="00444C35">
              <w:rPr>
                <w:sz w:val="18"/>
                <w:szCs w:val="18"/>
              </w:rPr>
              <w:t>Implement CBDRM in selected target locations.</w:t>
            </w:r>
          </w:p>
          <w:p w14:paraId="1C93FEBF" w14:textId="71F8F513" w:rsidR="008129D6" w:rsidRPr="00444C35" w:rsidRDefault="008129D6" w:rsidP="00444C35">
            <w:pPr>
              <w:pStyle w:val="ListParagraph"/>
              <w:numPr>
                <w:ilvl w:val="0"/>
                <w:numId w:val="41"/>
              </w:numPr>
              <w:ind w:left="323" w:hanging="323"/>
              <w:rPr>
                <w:sz w:val="18"/>
                <w:szCs w:val="18"/>
              </w:rPr>
            </w:pPr>
            <w:r w:rsidRPr="00444C35">
              <w:rPr>
                <w:sz w:val="18"/>
                <w:szCs w:val="18"/>
              </w:rPr>
              <w:t>Support (formulation or strengthening of) local DRM platform.</w:t>
            </w:r>
          </w:p>
          <w:p w14:paraId="74A0B2EF" w14:textId="6C24D8EC" w:rsidR="008129D6" w:rsidRPr="00444C35" w:rsidRDefault="008129D6" w:rsidP="00444C35">
            <w:pPr>
              <w:pStyle w:val="ListParagraph"/>
              <w:numPr>
                <w:ilvl w:val="0"/>
                <w:numId w:val="41"/>
              </w:numPr>
              <w:ind w:left="323" w:hanging="323"/>
              <w:rPr>
                <w:sz w:val="18"/>
                <w:szCs w:val="18"/>
              </w:rPr>
            </w:pPr>
            <w:r w:rsidRPr="00444C35">
              <w:rPr>
                <w:sz w:val="18"/>
                <w:szCs w:val="18"/>
              </w:rPr>
              <w:t>Support HFI/National platform.</w:t>
            </w:r>
          </w:p>
          <w:p w14:paraId="026D70D4" w14:textId="51AF7197" w:rsidR="003D7B29" w:rsidRPr="00444C35" w:rsidRDefault="008129D6" w:rsidP="00444C35">
            <w:pPr>
              <w:pStyle w:val="ListParagraph"/>
              <w:numPr>
                <w:ilvl w:val="0"/>
                <w:numId w:val="41"/>
              </w:numPr>
              <w:ind w:left="323" w:hanging="323"/>
              <w:rPr>
                <w:sz w:val="18"/>
                <w:szCs w:val="18"/>
              </w:rPr>
            </w:pPr>
            <w:r w:rsidRPr="00444C35">
              <w:rPr>
                <w:sz w:val="18"/>
                <w:szCs w:val="18"/>
              </w:rPr>
              <w:t>Monitor the implementation of MSS in DRM in selected target locations.</w:t>
            </w:r>
          </w:p>
        </w:tc>
        <w:tc>
          <w:tcPr>
            <w:tcW w:w="3351" w:type="dxa"/>
          </w:tcPr>
          <w:p w14:paraId="0E964614" w14:textId="09426A33" w:rsidR="00B82518" w:rsidRPr="00991E73" w:rsidRDefault="00187B86" w:rsidP="00991E73">
            <w:pPr>
              <w:spacing w:before="0"/>
              <w:rPr>
                <w:sz w:val="18"/>
                <w:szCs w:val="18"/>
              </w:rPr>
            </w:pPr>
            <w:r w:rsidRPr="00991E73">
              <w:rPr>
                <w:sz w:val="18"/>
                <w:szCs w:val="18"/>
              </w:rPr>
              <w:t xml:space="preserve">Reach and credibility as national humanitarian actor, </w:t>
            </w:r>
            <w:r w:rsidR="00787127" w:rsidRPr="00991E73">
              <w:rPr>
                <w:sz w:val="18"/>
                <w:szCs w:val="18"/>
              </w:rPr>
              <w:t xml:space="preserve">successful track record and relationship with </w:t>
            </w:r>
            <w:r w:rsidR="000C181B">
              <w:rPr>
                <w:sz w:val="18"/>
                <w:szCs w:val="18"/>
              </w:rPr>
              <w:t>GoI/GoA</w:t>
            </w:r>
            <w:r w:rsidRPr="00991E73">
              <w:rPr>
                <w:sz w:val="18"/>
                <w:szCs w:val="18"/>
              </w:rPr>
              <w:t xml:space="preserve"> </w:t>
            </w:r>
          </w:p>
          <w:p w14:paraId="5324132F" w14:textId="44A2C3FF" w:rsidR="00187B86" w:rsidRPr="00991E73" w:rsidRDefault="00187B86" w:rsidP="00991E73">
            <w:pPr>
              <w:spacing w:before="0"/>
              <w:rPr>
                <w:sz w:val="18"/>
                <w:szCs w:val="18"/>
              </w:rPr>
            </w:pPr>
            <w:r w:rsidRPr="00991E73">
              <w:rPr>
                <w:sz w:val="18"/>
                <w:szCs w:val="18"/>
              </w:rPr>
              <w:t xml:space="preserve">Importance of relationship </w:t>
            </w:r>
            <w:r w:rsidR="000C181B">
              <w:rPr>
                <w:sz w:val="18"/>
                <w:szCs w:val="18"/>
              </w:rPr>
              <w:t>for GoI/GoA</w:t>
            </w:r>
          </w:p>
          <w:p w14:paraId="36759B94" w14:textId="77777777" w:rsidR="00187B86" w:rsidRDefault="00187B86" w:rsidP="00991E73">
            <w:pPr>
              <w:spacing w:before="0"/>
              <w:rPr>
                <w:sz w:val="18"/>
                <w:szCs w:val="18"/>
              </w:rPr>
            </w:pPr>
            <w:r w:rsidRPr="00991E73">
              <w:rPr>
                <w:sz w:val="18"/>
                <w:szCs w:val="18"/>
              </w:rPr>
              <w:t>Experience with international humanitarian response</w:t>
            </w:r>
          </w:p>
          <w:p w14:paraId="3B8E2BF0" w14:textId="2E4B5985" w:rsidR="0073339D" w:rsidRPr="00991E73" w:rsidRDefault="0073339D" w:rsidP="00991E73">
            <w:pPr>
              <w:spacing w:before="0"/>
              <w:rPr>
                <w:sz w:val="18"/>
                <w:szCs w:val="18"/>
              </w:rPr>
            </w:pPr>
            <w:r w:rsidRPr="0073339D">
              <w:rPr>
                <w:sz w:val="18"/>
                <w:szCs w:val="18"/>
              </w:rPr>
              <w:t>Represents NGOs on BNPB Steering Committee</w:t>
            </w:r>
          </w:p>
        </w:tc>
      </w:tr>
      <w:tr w:rsidR="00B82518" w:rsidRPr="00991E73" w14:paraId="398CD550" w14:textId="77777777" w:rsidTr="00FF1517">
        <w:tc>
          <w:tcPr>
            <w:tcW w:w="2547" w:type="dxa"/>
          </w:tcPr>
          <w:p w14:paraId="74BC5214" w14:textId="2BD6AFB9" w:rsidR="00B82518" w:rsidRPr="00991E73" w:rsidRDefault="00B82518" w:rsidP="00991E73">
            <w:pPr>
              <w:spacing w:before="0"/>
              <w:rPr>
                <w:sz w:val="18"/>
                <w:szCs w:val="18"/>
              </w:rPr>
            </w:pPr>
            <w:r w:rsidRPr="00991E73">
              <w:rPr>
                <w:sz w:val="18"/>
                <w:szCs w:val="18"/>
              </w:rPr>
              <w:t>Muhammadiya</w:t>
            </w:r>
            <w:r w:rsidR="00787127" w:rsidRPr="00991E73">
              <w:rPr>
                <w:sz w:val="18"/>
                <w:szCs w:val="18"/>
              </w:rPr>
              <w:t>h</w:t>
            </w:r>
          </w:p>
        </w:tc>
        <w:tc>
          <w:tcPr>
            <w:tcW w:w="3118" w:type="dxa"/>
          </w:tcPr>
          <w:p w14:paraId="6E0C83D5" w14:textId="77777777" w:rsidR="008129D6" w:rsidRPr="00444C35" w:rsidRDefault="008129D6" w:rsidP="00444C35">
            <w:pPr>
              <w:pStyle w:val="ListParagraph"/>
              <w:numPr>
                <w:ilvl w:val="0"/>
                <w:numId w:val="42"/>
              </w:numPr>
              <w:ind w:left="323" w:hanging="323"/>
              <w:rPr>
                <w:sz w:val="18"/>
                <w:szCs w:val="18"/>
              </w:rPr>
            </w:pPr>
            <w:r w:rsidRPr="00444C35">
              <w:rPr>
                <w:sz w:val="18"/>
                <w:szCs w:val="18"/>
              </w:rPr>
              <w:t>Implement CBDRM in selected target locations.</w:t>
            </w:r>
          </w:p>
          <w:p w14:paraId="712A644F" w14:textId="4F323F17" w:rsidR="008129D6" w:rsidRPr="00444C35" w:rsidRDefault="008129D6" w:rsidP="00444C35">
            <w:pPr>
              <w:pStyle w:val="ListParagraph"/>
              <w:numPr>
                <w:ilvl w:val="0"/>
                <w:numId w:val="42"/>
              </w:numPr>
              <w:ind w:left="323" w:hanging="323"/>
              <w:rPr>
                <w:sz w:val="18"/>
                <w:szCs w:val="18"/>
              </w:rPr>
            </w:pPr>
            <w:r w:rsidRPr="00444C35">
              <w:rPr>
                <w:sz w:val="18"/>
                <w:szCs w:val="18"/>
              </w:rPr>
              <w:t>Support (formulation or strengthening of) local DRM platform</w:t>
            </w:r>
            <w:r w:rsidR="003A013E">
              <w:rPr>
                <w:sz w:val="18"/>
                <w:szCs w:val="18"/>
              </w:rPr>
              <w:t>s</w:t>
            </w:r>
            <w:r w:rsidRPr="00444C35">
              <w:rPr>
                <w:sz w:val="18"/>
                <w:szCs w:val="18"/>
              </w:rPr>
              <w:t>.</w:t>
            </w:r>
          </w:p>
          <w:p w14:paraId="02571421" w14:textId="77777777" w:rsidR="008129D6" w:rsidRPr="00444C35" w:rsidRDefault="008129D6" w:rsidP="00444C35">
            <w:pPr>
              <w:pStyle w:val="ListParagraph"/>
              <w:numPr>
                <w:ilvl w:val="0"/>
                <w:numId w:val="42"/>
              </w:numPr>
              <w:ind w:left="323" w:hanging="323"/>
              <w:rPr>
                <w:sz w:val="18"/>
                <w:szCs w:val="18"/>
              </w:rPr>
            </w:pPr>
            <w:r w:rsidRPr="00444C35">
              <w:rPr>
                <w:sz w:val="18"/>
                <w:szCs w:val="18"/>
              </w:rPr>
              <w:t>Support HFI/National platform.</w:t>
            </w:r>
          </w:p>
          <w:p w14:paraId="77A5CF89" w14:textId="61ABD8FA" w:rsidR="00B82518" w:rsidRPr="00444C35" w:rsidRDefault="008129D6" w:rsidP="00444C35">
            <w:pPr>
              <w:pStyle w:val="ListParagraph"/>
              <w:numPr>
                <w:ilvl w:val="0"/>
                <w:numId w:val="42"/>
              </w:numPr>
              <w:ind w:left="323" w:hanging="323"/>
              <w:rPr>
                <w:sz w:val="18"/>
                <w:szCs w:val="18"/>
              </w:rPr>
            </w:pPr>
            <w:r w:rsidRPr="00444C35">
              <w:rPr>
                <w:sz w:val="18"/>
                <w:szCs w:val="18"/>
              </w:rPr>
              <w:t>Monitor the implementation of MSS in DRM in selected target locations.</w:t>
            </w:r>
          </w:p>
        </w:tc>
        <w:tc>
          <w:tcPr>
            <w:tcW w:w="3351" w:type="dxa"/>
          </w:tcPr>
          <w:p w14:paraId="5BDF3DB1" w14:textId="3345F590" w:rsidR="00787127" w:rsidRPr="00991E73" w:rsidRDefault="00787127" w:rsidP="00991E73">
            <w:pPr>
              <w:spacing w:before="0"/>
              <w:rPr>
                <w:sz w:val="18"/>
                <w:szCs w:val="18"/>
              </w:rPr>
            </w:pPr>
            <w:r w:rsidRPr="00991E73">
              <w:rPr>
                <w:sz w:val="18"/>
                <w:szCs w:val="18"/>
              </w:rPr>
              <w:t xml:space="preserve">Reach and credibility as national humanitarian actor, successful track record and relationship with </w:t>
            </w:r>
            <w:r w:rsidR="000C181B">
              <w:rPr>
                <w:sz w:val="18"/>
                <w:szCs w:val="18"/>
              </w:rPr>
              <w:t>GoI/GoA</w:t>
            </w:r>
          </w:p>
          <w:p w14:paraId="04BEE392" w14:textId="77777777" w:rsidR="0073339D" w:rsidRPr="0073339D" w:rsidRDefault="0073339D" w:rsidP="0073339D">
            <w:pPr>
              <w:spacing w:before="0"/>
              <w:rPr>
                <w:sz w:val="18"/>
                <w:szCs w:val="18"/>
              </w:rPr>
            </w:pPr>
            <w:r w:rsidRPr="0073339D">
              <w:rPr>
                <w:sz w:val="18"/>
                <w:szCs w:val="18"/>
              </w:rPr>
              <w:t>Importance of relationship for GoI/GoA</w:t>
            </w:r>
          </w:p>
          <w:p w14:paraId="480C6370" w14:textId="77777777" w:rsidR="00187B86" w:rsidRPr="00991E73" w:rsidRDefault="00187B86" w:rsidP="00991E73">
            <w:pPr>
              <w:spacing w:before="0"/>
              <w:rPr>
                <w:sz w:val="18"/>
                <w:szCs w:val="18"/>
              </w:rPr>
            </w:pPr>
            <w:r w:rsidRPr="00991E73">
              <w:rPr>
                <w:sz w:val="18"/>
                <w:szCs w:val="18"/>
              </w:rPr>
              <w:t>Experience with international humanitarian response</w:t>
            </w:r>
          </w:p>
          <w:p w14:paraId="2F17A7CB" w14:textId="53DEF7D6" w:rsidR="00787127" w:rsidRPr="00991E73" w:rsidRDefault="00787127" w:rsidP="00991E73">
            <w:pPr>
              <w:spacing w:before="0"/>
              <w:rPr>
                <w:sz w:val="18"/>
                <w:szCs w:val="18"/>
              </w:rPr>
            </w:pPr>
            <w:r w:rsidRPr="00991E73">
              <w:rPr>
                <w:sz w:val="18"/>
                <w:szCs w:val="18"/>
              </w:rPr>
              <w:t>Represents NGOs on BNPB Steering Committee</w:t>
            </w:r>
          </w:p>
        </w:tc>
      </w:tr>
      <w:tr w:rsidR="00187B86" w:rsidRPr="00991E73" w14:paraId="2820C942" w14:textId="77777777" w:rsidTr="00FF1517">
        <w:tc>
          <w:tcPr>
            <w:tcW w:w="2547" w:type="dxa"/>
          </w:tcPr>
          <w:p w14:paraId="4D9D50E7" w14:textId="52EE126D" w:rsidR="00187B86" w:rsidRPr="00991E73" w:rsidRDefault="00187B86" w:rsidP="00CD75B2">
            <w:pPr>
              <w:spacing w:before="0"/>
              <w:rPr>
                <w:sz w:val="18"/>
                <w:szCs w:val="18"/>
              </w:rPr>
            </w:pPr>
            <w:r w:rsidRPr="00991E73">
              <w:rPr>
                <w:sz w:val="18"/>
                <w:szCs w:val="18"/>
              </w:rPr>
              <w:t>PMI</w:t>
            </w:r>
            <w:r w:rsidR="00CD75B2">
              <w:rPr>
                <w:sz w:val="18"/>
                <w:szCs w:val="18"/>
              </w:rPr>
              <w:t xml:space="preserve"> (through MC, </w:t>
            </w:r>
            <w:r w:rsidRPr="00991E73">
              <w:rPr>
                <w:sz w:val="18"/>
                <w:szCs w:val="18"/>
              </w:rPr>
              <w:t>IFRC</w:t>
            </w:r>
            <w:r w:rsidR="00CD75B2">
              <w:rPr>
                <w:sz w:val="18"/>
                <w:szCs w:val="18"/>
              </w:rPr>
              <w:t xml:space="preserve"> or ARC)</w:t>
            </w:r>
          </w:p>
        </w:tc>
        <w:tc>
          <w:tcPr>
            <w:tcW w:w="3118" w:type="dxa"/>
          </w:tcPr>
          <w:p w14:paraId="2F9E6DBA" w14:textId="77777777" w:rsidR="008129D6" w:rsidRPr="00444C35" w:rsidRDefault="008129D6" w:rsidP="00444C35">
            <w:pPr>
              <w:pStyle w:val="ListParagraph"/>
              <w:numPr>
                <w:ilvl w:val="0"/>
                <w:numId w:val="43"/>
              </w:numPr>
              <w:ind w:left="323" w:hanging="323"/>
              <w:rPr>
                <w:sz w:val="18"/>
                <w:szCs w:val="18"/>
              </w:rPr>
            </w:pPr>
            <w:r w:rsidRPr="00444C35">
              <w:rPr>
                <w:sz w:val="18"/>
                <w:szCs w:val="18"/>
              </w:rPr>
              <w:t>Implement CBDRM in selected target locations.</w:t>
            </w:r>
          </w:p>
          <w:p w14:paraId="6BE43449" w14:textId="77777777" w:rsidR="008129D6" w:rsidRPr="00444C35" w:rsidRDefault="008129D6" w:rsidP="00444C35">
            <w:pPr>
              <w:pStyle w:val="ListParagraph"/>
              <w:numPr>
                <w:ilvl w:val="0"/>
                <w:numId w:val="43"/>
              </w:numPr>
              <w:ind w:left="323" w:hanging="323"/>
              <w:rPr>
                <w:sz w:val="18"/>
                <w:szCs w:val="18"/>
              </w:rPr>
            </w:pPr>
            <w:r w:rsidRPr="00444C35">
              <w:rPr>
                <w:sz w:val="18"/>
                <w:szCs w:val="18"/>
              </w:rPr>
              <w:t>Support (formulation or strengthening of) local DRM platform.</w:t>
            </w:r>
          </w:p>
          <w:p w14:paraId="2CB6CBCF" w14:textId="77777777" w:rsidR="008129D6" w:rsidRPr="00444C35" w:rsidRDefault="008129D6" w:rsidP="00444C35">
            <w:pPr>
              <w:pStyle w:val="ListParagraph"/>
              <w:numPr>
                <w:ilvl w:val="0"/>
                <w:numId w:val="43"/>
              </w:numPr>
              <w:ind w:left="323" w:hanging="323"/>
              <w:rPr>
                <w:sz w:val="18"/>
                <w:szCs w:val="18"/>
              </w:rPr>
            </w:pPr>
            <w:r w:rsidRPr="00444C35">
              <w:rPr>
                <w:sz w:val="18"/>
                <w:szCs w:val="18"/>
              </w:rPr>
              <w:t>Support HFI/National platform.</w:t>
            </w:r>
          </w:p>
          <w:p w14:paraId="34257F8A" w14:textId="77777777" w:rsidR="008129D6" w:rsidRPr="00444C35" w:rsidRDefault="008129D6" w:rsidP="00444C35">
            <w:pPr>
              <w:pStyle w:val="ListParagraph"/>
              <w:numPr>
                <w:ilvl w:val="0"/>
                <w:numId w:val="43"/>
              </w:numPr>
              <w:ind w:left="323" w:hanging="323"/>
              <w:rPr>
                <w:sz w:val="18"/>
                <w:szCs w:val="18"/>
              </w:rPr>
            </w:pPr>
            <w:r w:rsidRPr="00444C35">
              <w:rPr>
                <w:sz w:val="18"/>
                <w:szCs w:val="18"/>
              </w:rPr>
              <w:t>Monitor the implementation of MSS in DRM in selected target locations.</w:t>
            </w:r>
          </w:p>
          <w:p w14:paraId="273585A9" w14:textId="63F98BCA" w:rsidR="00ED5DDE" w:rsidRPr="00444C35" w:rsidRDefault="00187B86" w:rsidP="00444C35">
            <w:pPr>
              <w:pStyle w:val="ListParagraph"/>
              <w:numPr>
                <w:ilvl w:val="0"/>
                <w:numId w:val="43"/>
              </w:numPr>
              <w:ind w:left="323" w:hanging="323"/>
              <w:rPr>
                <w:sz w:val="18"/>
                <w:szCs w:val="18"/>
              </w:rPr>
            </w:pPr>
            <w:r w:rsidRPr="00444C35">
              <w:rPr>
                <w:sz w:val="18"/>
                <w:szCs w:val="18"/>
              </w:rPr>
              <w:t>Training deployees to build Indonesian international deployment capability</w:t>
            </w:r>
            <w:r w:rsidR="008129D6" w:rsidRPr="00444C35">
              <w:rPr>
                <w:sz w:val="18"/>
                <w:szCs w:val="18"/>
              </w:rPr>
              <w:t>.</w:t>
            </w:r>
          </w:p>
        </w:tc>
        <w:tc>
          <w:tcPr>
            <w:tcW w:w="3351" w:type="dxa"/>
          </w:tcPr>
          <w:p w14:paraId="08180EDB" w14:textId="384F5705" w:rsidR="00187B86" w:rsidRDefault="00787127" w:rsidP="00991E73">
            <w:pPr>
              <w:spacing w:before="0"/>
              <w:rPr>
                <w:sz w:val="18"/>
                <w:szCs w:val="18"/>
              </w:rPr>
            </w:pPr>
            <w:r w:rsidRPr="00991E73">
              <w:rPr>
                <w:sz w:val="18"/>
                <w:szCs w:val="18"/>
              </w:rPr>
              <w:t>Reach and credibility of national red cross in Indonesia</w:t>
            </w:r>
          </w:p>
          <w:p w14:paraId="527270CD" w14:textId="77777777" w:rsidR="000C181B" w:rsidRPr="00991E73" w:rsidRDefault="000C181B" w:rsidP="000C181B">
            <w:pPr>
              <w:spacing w:before="0"/>
              <w:rPr>
                <w:sz w:val="18"/>
                <w:szCs w:val="18"/>
              </w:rPr>
            </w:pPr>
            <w:r w:rsidRPr="00991E73">
              <w:rPr>
                <w:sz w:val="18"/>
                <w:szCs w:val="18"/>
              </w:rPr>
              <w:t>Experience with international humanitarian response</w:t>
            </w:r>
          </w:p>
          <w:p w14:paraId="4B5572C5" w14:textId="3ECFDE7F" w:rsidR="00187B86" w:rsidRPr="00991E73" w:rsidRDefault="00187B86" w:rsidP="00991E73">
            <w:pPr>
              <w:spacing w:before="0"/>
              <w:rPr>
                <w:sz w:val="18"/>
                <w:szCs w:val="18"/>
              </w:rPr>
            </w:pPr>
            <w:r w:rsidRPr="00991E73">
              <w:rPr>
                <w:sz w:val="18"/>
                <w:szCs w:val="18"/>
              </w:rPr>
              <w:t>Global experience and credibility through IFRC</w:t>
            </w:r>
          </w:p>
        </w:tc>
      </w:tr>
      <w:tr w:rsidR="008129D6" w:rsidRPr="00991E73" w14:paraId="23649FFC" w14:textId="77777777" w:rsidTr="00FF1517">
        <w:tc>
          <w:tcPr>
            <w:tcW w:w="2547" w:type="dxa"/>
          </w:tcPr>
          <w:p w14:paraId="01617E54" w14:textId="040FA917" w:rsidR="008129D6" w:rsidRPr="00991E73" w:rsidRDefault="008129D6" w:rsidP="00991E73">
            <w:pPr>
              <w:spacing w:before="0"/>
              <w:rPr>
                <w:sz w:val="18"/>
                <w:szCs w:val="18"/>
              </w:rPr>
            </w:pPr>
            <w:r>
              <w:rPr>
                <w:sz w:val="18"/>
                <w:szCs w:val="18"/>
              </w:rPr>
              <w:t>IFRC</w:t>
            </w:r>
          </w:p>
        </w:tc>
        <w:tc>
          <w:tcPr>
            <w:tcW w:w="3118" w:type="dxa"/>
          </w:tcPr>
          <w:p w14:paraId="26CC01A5" w14:textId="77777777" w:rsidR="008129D6" w:rsidRPr="003A013E" w:rsidRDefault="008129D6" w:rsidP="003A013E">
            <w:pPr>
              <w:pStyle w:val="ListParagraph"/>
              <w:numPr>
                <w:ilvl w:val="0"/>
                <w:numId w:val="44"/>
              </w:numPr>
              <w:ind w:left="323" w:hanging="283"/>
              <w:rPr>
                <w:sz w:val="18"/>
                <w:szCs w:val="18"/>
              </w:rPr>
            </w:pPr>
            <w:r w:rsidRPr="003A013E">
              <w:rPr>
                <w:sz w:val="18"/>
                <w:szCs w:val="18"/>
              </w:rPr>
              <w:t xml:space="preserve">Support capacity development of PMI. </w:t>
            </w:r>
          </w:p>
          <w:p w14:paraId="6D0B4CF0" w14:textId="0688CBE3" w:rsidR="008129D6" w:rsidRPr="003A013E" w:rsidRDefault="008129D6" w:rsidP="003A013E">
            <w:pPr>
              <w:pStyle w:val="ListParagraph"/>
              <w:numPr>
                <w:ilvl w:val="0"/>
                <w:numId w:val="44"/>
              </w:numPr>
              <w:ind w:left="323" w:hanging="283"/>
              <w:rPr>
                <w:sz w:val="18"/>
                <w:szCs w:val="18"/>
              </w:rPr>
            </w:pPr>
            <w:r w:rsidRPr="003A013E">
              <w:rPr>
                <w:sz w:val="18"/>
                <w:szCs w:val="18"/>
              </w:rPr>
              <w:t>Facilitate innovation in cash, and social inclusion</w:t>
            </w:r>
            <w:r w:rsidR="007E7160">
              <w:rPr>
                <w:sz w:val="18"/>
                <w:szCs w:val="18"/>
              </w:rPr>
              <w:t>.</w:t>
            </w:r>
          </w:p>
          <w:p w14:paraId="1438176A" w14:textId="0DE986DF" w:rsidR="008129D6" w:rsidRPr="003A013E" w:rsidRDefault="008129D6" w:rsidP="003A013E">
            <w:pPr>
              <w:pStyle w:val="ListParagraph"/>
              <w:numPr>
                <w:ilvl w:val="0"/>
                <w:numId w:val="44"/>
              </w:numPr>
              <w:ind w:left="323" w:hanging="283"/>
              <w:rPr>
                <w:sz w:val="18"/>
                <w:szCs w:val="18"/>
              </w:rPr>
            </w:pPr>
            <w:r w:rsidRPr="003A013E">
              <w:rPr>
                <w:sz w:val="18"/>
                <w:szCs w:val="18"/>
              </w:rPr>
              <w:t>Training deployees to build Indonesian international humanitarian capability</w:t>
            </w:r>
            <w:r w:rsidR="007E7160">
              <w:rPr>
                <w:sz w:val="18"/>
                <w:szCs w:val="18"/>
              </w:rPr>
              <w:t>.</w:t>
            </w:r>
          </w:p>
        </w:tc>
        <w:tc>
          <w:tcPr>
            <w:tcW w:w="3351" w:type="dxa"/>
          </w:tcPr>
          <w:p w14:paraId="19C7D84D" w14:textId="5FFAB954" w:rsidR="008129D6" w:rsidRPr="00991E73" w:rsidRDefault="008129D6" w:rsidP="008129D6">
            <w:pPr>
              <w:spacing w:before="0"/>
              <w:rPr>
                <w:sz w:val="18"/>
                <w:szCs w:val="18"/>
              </w:rPr>
            </w:pPr>
            <w:r w:rsidRPr="00991E73">
              <w:rPr>
                <w:sz w:val="18"/>
                <w:szCs w:val="18"/>
              </w:rPr>
              <w:t xml:space="preserve">Valued partner for </w:t>
            </w:r>
            <w:r>
              <w:rPr>
                <w:sz w:val="18"/>
                <w:szCs w:val="18"/>
              </w:rPr>
              <w:t xml:space="preserve">GoI and GoA </w:t>
            </w:r>
            <w:r w:rsidRPr="00991E73">
              <w:rPr>
                <w:sz w:val="18"/>
                <w:szCs w:val="18"/>
              </w:rPr>
              <w:t xml:space="preserve">with critical </w:t>
            </w:r>
            <w:r>
              <w:rPr>
                <w:sz w:val="18"/>
                <w:szCs w:val="18"/>
              </w:rPr>
              <w:t xml:space="preserve">capacity development </w:t>
            </w:r>
            <w:r w:rsidRPr="00991E73">
              <w:rPr>
                <w:sz w:val="18"/>
                <w:szCs w:val="18"/>
              </w:rPr>
              <w:t>role</w:t>
            </w:r>
            <w:r>
              <w:rPr>
                <w:sz w:val="18"/>
                <w:szCs w:val="18"/>
              </w:rPr>
              <w:t xml:space="preserve"> in Indonesia</w:t>
            </w:r>
          </w:p>
          <w:p w14:paraId="46E6E825" w14:textId="22C1B813" w:rsidR="008129D6" w:rsidRPr="00991E73" w:rsidRDefault="008129D6" w:rsidP="008129D6">
            <w:pPr>
              <w:spacing w:before="0"/>
              <w:rPr>
                <w:sz w:val="18"/>
                <w:szCs w:val="18"/>
              </w:rPr>
            </w:pPr>
            <w:r w:rsidRPr="00991E73">
              <w:rPr>
                <w:sz w:val="18"/>
                <w:szCs w:val="18"/>
              </w:rPr>
              <w:t xml:space="preserve">Credibility with </w:t>
            </w:r>
            <w:r>
              <w:rPr>
                <w:sz w:val="18"/>
                <w:szCs w:val="18"/>
              </w:rPr>
              <w:t>GoI and GoA</w:t>
            </w:r>
          </w:p>
        </w:tc>
      </w:tr>
      <w:tr w:rsidR="00187B86" w:rsidRPr="00991E73" w14:paraId="5DA5E5CA" w14:textId="77777777" w:rsidTr="00FF1517">
        <w:tc>
          <w:tcPr>
            <w:tcW w:w="2547" w:type="dxa"/>
          </w:tcPr>
          <w:p w14:paraId="3A4A778B" w14:textId="15D103DC" w:rsidR="00187B86" w:rsidRPr="00991E73" w:rsidRDefault="00DE7FEF" w:rsidP="00991E73">
            <w:pPr>
              <w:spacing w:before="0"/>
              <w:rPr>
                <w:sz w:val="18"/>
                <w:szCs w:val="18"/>
              </w:rPr>
            </w:pPr>
            <w:r w:rsidRPr="00991E73">
              <w:rPr>
                <w:sz w:val="18"/>
                <w:szCs w:val="18"/>
              </w:rPr>
              <w:t>OCHA</w:t>
            </w:r>
          </w:p>
        </w:tc>
        <w:tc>
          <w:tcPr>
            <w:tcW w:w="3118" w:type="dxa"/>
          </w:tcPr>
          <w:p w14:paraId="0DECAB33" w14:textId="47B92DBE" w:rsidR="00187B86" w:rsidRPr="003A013E" w:rsidRDefault="00187B86" w:rsidP="003A013E">
            <w:pPr>
              <w:pStyle w:val="ListParagraph"/>
              <w:numPr>
                <w:ilvl w:val="0"/>
                <w:numId w:val="45"/>
              </w:numPr>
              <w:ind w:left="323" w:hanging="283"/>
              <w:rPr>
                <w:sz w:val="18"/>
                <w:szCs w:val="18"/>
              </w:rPr>
            </w:pPr>
            <w:r w:rsidRPr="003A013E">
              <w:rPr>
                <w:sz w:val="18"/>
                <w:szCs w:val="18"/>
              </w:rPr>
              <w:t>Lead donor coordination</w:t>
            </w:r>
            <w:r w:rsidR="007E7160">
              <w:rPr>
                <w:sz w:val="18"/>
                <w:szCs w:val="18"/>
              </w:rPr>
              <w:t>.</w:t>
            </w:r>
          </w:p>
          <w:p w14:paraId="232E13CC" w14:textId="757D98CE" w:rsidR="00187B86" w:rsidRPr="003A013E" w:rsidRDefault="00187B86" w:rsidP="003A013E">
            <w:pPr>
              <w:pStyle w:val="ListParagraph"/>
              <w:numPr>
                <w:ilvl w:val="0"/>
                <w:numId w:val="45"/>
              </w:numPr>
              <w:ind w:left="323" w:hanging="283"/>
              <w:rPr>
                <w:sz w:val="18"/>
                <w:szCs w:val="18"/>
              </w:rPr>
            </w:pPr>
            <w:r w:rsidRPr="003A013E">
              <w:rPr>
                <w:sz w:val="18"/>
                <w:szCs w:val="18"/>
              </w:rPr>
              <w:t>Facilitate innovation in cash, and social inclusion</w:t>
            </w:r>
            <w:r w:rsidR="007E7160">
              <w:rPr>
                <w:sz w:val="18"/>
                <w:szCs w:val="18"/>
              </w:rPr>
              <w:t>.</w:t>
            </w:r>
          </w:p>
          <w:p w14:paraId="55D8EBCF" w14:textId="40CD0A28" w:rsidR="00ED5DDE" w:rsidRPr="003A013E" w:rsidRDefault="00CD75B2" w:rsidP="003A013E">
            <w:pPr>
              <w:pStyle w:val="ListParagraph"/>
              <w:numPr>
                <w:ilvl w:val="0"/>
                <w:numId w:val="45"/>
              </w:numPr>
              <w:ind w:left="323" w:hanging="283"/>
              <w:rPr>
                <w:sz w:val="18"/>
                <w:szCs w:val="18"/>
              </w:rPr>
            </w:pPr>
            <w:r w:rsidRPr="003A013E">
              <w:rPr>
                <w:sz w:val="18"/>
                <w:szCs w:val="18"/>
              </w:rPr>
              <w:t>Training deployees to build Indonesian international humanitarian capability</w:t>
            </w:r>
            <w:r w:rsidR="007E7160">
              <w:rPr>
                <w:sz w:val="18"/>
                <w:szCs w:val="18"/>
              </w:rPr>
              <w:t>.</w:t>
            </w:r>
          </w:p>
        </w:tc>
        <w:tc>
          <w:tcPr>
            <w:tcW w:w="3351" w:type="dxa"/>
          </w:tcPr>
          <w:p w14:paraId="77941FF0" w14:textId="2515FB5D" w:rsidR="00187B86" w:rsidRPr="00991E73" w:rsidRDefault="00ED5DDE" w:rsidP="00991E73">
            <w:pPr>
              <w:spacing w:before="0"/>
              <w:rPr>
                <w:sz w:val="18"/>
                <w:szCs w:val="18"/>
              </w:rPr>
            </w:pPr>
            <w:r w:rsidRPr="00991E73">
              <w:rPr>
                <w:sz w:val="18"/>
                <w:szCs w:val="18"/>
              </w:rPr>
              <w:t xml:space="preserve">Valued partner for </w:t>
            </w:r>
            <w:r w:rsidR="000C181B">
              <w:rPr>
                <w:sz w:val="18"/>
                <w:szCs w:val="18"/>
              </w:rPr>
              <w:t xml:space="preserve">GoI and GoA </w:t>
            </w:r>
            <w:r w:rsidRPr="00991E73">
              <w:rPr>
                <w:sz w:val="18"/>
                <w:szCs w:val="18"/>
              </w:rPr>
              <w:t>with critical coordination role</w:t>
            </w:r>
          </w:p>
          <w:p w14:paraId="7DDB35A5" w14:textId="27B3256A" w:rsidR="00ED5DDE" w:rsidRPr="00991E73" w:rsidRDefault="00ED5DDE" w:rsidP="00991E73">
            <w:pPr>
              <w:spacing w:before="0"/>
              <w:rPr>
                <w:sz w:val="18"/>
                <w:szCs w:val="18"/>
              </w:rPr>
            </w:pPr>
            <w:r w:rsidRPr="00991E73">
              <w:rPr>
                <w:sz w:val="18"/>
                <w:szCs w:val="18"/>
              </w:rPr>
              <w:t xml:space="preserve">Credibility with </w:t>
            </w:r>
            <w:r w:rsidR="0094476B">
              <w:rPr>
                <w:sz w:val="18"/>
                <w:szCs w:val="18"/>
              </w:rPr>
              <w:t>GoI</w:t>
            </w:r>
            <w:r w:rsidR="000C181B">
              <w:rPr>
                <w:sz w:val="18"/>
                <w:szCs w:val="18"/>
              </w:rPr>
              <w:t xml:space="preserve"> and GoA</w:t>
            </w:r>
          </w:p>
        </w:tc>
      </w:tr>
    </w:tbl>
    <w:p w14:paraId="79D79777" w14:textId="77777777" w:rsidR="00D15BF3" w:rsidRDefault="00D15BF3" w:rsidP="00E35095">
      <w:pPr>
        <w:pStyle w:val="Heading3"/>
      </w:pPr>
      <w:bookmarkStart w:id="33" w:name="_Toc525550772"/>
    </w:p>
    <w:p w14:paraId="74244AC8" w14:textId="46DB771D" w:rsidR="00E35095" w:rsidRPr="0072601F" w:rsidRDefault="00F872EF" w:rsidP="00E35095">
      <w:pPr>
        <w:pStyle w:val="Heading3"/>
      </w:pPr>
      <w:r>
        <w:t xml:space="preserve">Indicative </w:t>
      </w:r>
      <w:r w:rsidR="00E35095">
        <w:t>Budget</w:t>
      </w:r>
      <w:bookmarkEnd w:id="33"/>
    </w:p>
    <w:p w14:paraId="7E5EA711" w14:textId="13932584" w:rsidR="00E35095" w:rsidRDefault="00E35095" w:rsidP="00E811EC">
      <w:r>
        <w:t>The proposed total budget for AIP-DRM is AUD</w:t>
      </w:r>
      <w:r w:rsidR="00D15BF3">
        <w:t xml:space="preserve"> </w:t>
      </w:r>
      <w:r>
        <w:t>25</w:t>
      </w:r>
      <w:r w:rsidR="00D15BF3">
        <w:t xml:space="preserve"> </w:t>
      </w:r>
      <w:r>
        <w:t>m</w:t>
      </w:r>
      <w:r w:rsidR="00D15BF3">
        <w:t>illion</w:t>
      </w:r>
      <w:r>
        <w:t xml:space="preserve"> over five years (April 2019 – March 2024).</w:t>
      </w:r>
      <w:r w:rsidR="00E811EC">
        <w:t xml:space="preserve"> Of this amount up to AUD</w:t>
      </w:r>
      <w:r w:rsidR="00D15BF3">
        <w:t xml:space="preserve"> </w:t>
      </w:r>
      <w:r w:rsidR="00E811EC">
        <w:t>23 million over five years will be tendered, with the remainder to be disbursed via grant agreements between DFAT and multilateral agencies</w:t>
      </w:r>
      <w:r w:rsidR="00D15BF3">
        <w:t>.</w:t>
      </w:r>
      <w:r>
        <w:t xml:space="preserve"> </w:t>
      </w:r>
    </w:p>
    <w:p w14:paraId="67EAFA2B" w14:textId="455C3B60" w:rsidR="00A877CF" w:rsidRPr="0072601F" w:rsidRDefault="00A877CF" w:rsidP="00C61524">
      <w:pPr>
        <w:pStyle w:val="Heading3"/>
      </w:pPr>
      <w:bookmarkStart w:id="34" w:name="_Toc525550773"/>
      <w:r w:rsidRPr="0057022B">
        <w:t>Resources</w:t>
      </w:r>
      <w:bookmarkEnd w:id="34"/>
    </w:p>
    <w:p w14:paraId="55376974" w14:textId="0E755E62" w:rsidR="00E43C71" w:rsidRDefault="00626A29" w:rsidP="00D6368D">
      <w:r>
        <w:t>R</w:t>
      </w:r>
      <w:r w:rsidR="00E43C71">
        <w:t>esou</w:t>
      </w:r>
      <w:r w:rsidR="00E65468">
        <w:t xml:space="preserve">rce requirements for DFAT, BNPB, </w:t>
      </w:r>
      <w:r w:rsidR="00E43C71">
        <w:t xml:space="preserve">BPBDs </w:t>
      </w:r>
      <w:r w:rsidR="00E65468">
        <w:t xml:space="preserve">and MoFA </w:t>
      </w:r>
      <w:r w:rsidR="00E43C71">
        <w:t>are as follows</w:t>
      </w:r>
    </w:p>
    <w:tbl>
      <w:tblPr>
        <w:tblW w:w="0" w:type="auto"/>
        <w:tblInd w:w="-142" w:type="dxa"/>
        <w:tblLook w:val="04A0" w:firstRow="1" w:lastRow="0" w:firstColumn="1" w:lastColumn="0" w:noHBand="0" w:noVBand="1"/>
      </w:tblPr>
      <w:tblGrid>
        <w:gridCol w:w="142"/>
        <w:gridCol w:w="1276"/>
        <w:gridCol w:w="7648"/>
        <w:gridCol w:w="601"/>
      </w:tblGrid>
      <w:tr w:rsidR="00E4073A" w:rsidRPr="00185996" w14:paraId="18664FCE" w14:textId="568DFF1A" w:rsidTr="002A58B4">
        <w:trPr>
          <w:gridBefore w:val="1"/>
          <w:gridAfter w:val="1"/>
          <w:wBefore w:w="142" w:type="dxa"/>
          <w:wAfter w:w="601" w:type="dxa"/>
        </w:trPr>
        <w:tc>
          <w:tcPr>
            <w:tcW w:w="1276" w:type="dxa"/>
          </w:tcPr>
          <w:p w14:paraId="776FD5B4" w14:textId="77777777" w:rsidR="00E4073A" w:rsidRPr="00185996" w:rsidRDefault="00E4073A" w:rsidP="006F2D06">
            <w:pPr>
              <w:rPr>
                <w:b/>
              </w:rPr>
            </w:pPr>
            <w:r w:rsidRPr="00185996">
              <w:rPr>
                <w:b/>
              </w:rPr>
              <w:t xml:space="preserve">DFAT </w:t>
            </w:r>
          </w:p>
        </w:tc>
        <w:tc>
          <w:tcPr>
            <w:tcW w:w="7648" w:type="dxa"/>
          </w:tcPr>
          <w:p w14:paraId="5E5FA4A1" w14:textId="21A8D17E" w:rsidR="00E4073A" w:rsidRDefault="00E4073A" w:rsidP="00E50F22">
            <w:pPr>
              <w:pStyle w:val="ListParagraph"/>
              <w:numPr>
                <w:ilvl w:val="0"/>
                <w:numId w:val="8"/>
              </w:numPr>
            </w:pPr>
            <w:r>
              <w:t xml:space="preserve">Senior staff to meet with each of the key government partners: BNPB, </w:t>
            </w:r>
            <w:r w:rsidR="0094476B">
              <w:t>MoFA</w:t>
            </w:r>
            <w:r>
              <w:t xml:space="preserve">, </w:t>
            </w:r>
            <w:r w:rsidR="00CA1E0A">
              <w:t>Bappenas</w:t>
            </w:r>
            <w:r>
              <w:t xml:space="preserve"> and MoHA to discuss </w:t>
            </w:r>
            <w:r w:rsidR="0094476B">
              <w:t>GoI</w:t>
            </w:r>
            <w:r>
              <w:t xml:space="preserve"> policy changes and program strategy issues </w:t>
            </w:r>
            <w:r w:rsidR="00946A81">
              <w:t xml:space="preserve">at least once per </w:t>
            </w:r>
            <w:r>
              <w:t>year</w:t>
            </w:r>
            <w:r w:rsidR="00CD75B2">
              <w:t xml:space="preserve"> (i.e. as a co-chair of the Steering Committee)</w:t>
            </w:r>
            <w:r>
              <w:t>.</w:t>
            </w:r>
          </w:p>
          <w:p w14:paraId="28F1F35D" w14:textId="08B0F38B" w:rsidR="003372CE" w:rsidRDefault="00E4073A" w:rsidP="00E50F22">
            <w:pPr>
              <w:pStyle w:val="ListParagraph"/>
              <w:numPr>
                <w:ilvl w:val="0"/>
                <w:numId w:val="8"/>
              </w:numPr>
            </w:pPr>
            <w:r>
              <w:t>Program staff to manage the MC and direct grants, meet regularly with the MC and undertake monitoring visits to sub-national locations</w:t>
            </w:r>
          </w:p>
          <w:p w14:paraId="34899472" w14:textId="738B4CE9" w:rsidR="00FD0A17" w:rsidRDefault="00FD0A17" w:rsidP="00E50F22">
            <w:pPr>
              <w:pStyle w:val="ListParagraph"/>
              <w:numPr>
                <w:ilvl w:val="0"/>
                <w:numId w:val="8"/>
              </w:numPr>
            </w:pPr>
            <w:r w:rsidRPr="00F0051B">
              <w:rPr>
                <w:lang w:val="en-GB"/>
              </w:rPr>
              <w:t>Senior and program staff to</w:t>
            </w:r>
            <w:r>
              <w:rPr>
                <w:lang w:val="en-GB"/>
              </w:rPr>
              <w:t xml:space="preserve"> manage the relationship with </w:t>
            </w:r>
            <w:r w:rsidR="00912F51">
              <w:rPr>
                <w:lang w:val="en-GB"/>
              </w:rPr>
              <w:t xml:space="preserve">Australian Government </w:t>
            </w:r>
            <w:r>
              <w:rPr>
                <w:lang w:val="en-GB"/>
              </w:rPr>
              <w:t xml:space="preserve">partners (when needed i.e. if </w:t>
            </w:r>
            <w:r w:rsidR="00912F51">
              <w:rPr>
                <w:lang w:val="en-GB"/>
              </w:rPr>
              <w:t xml:space="preserve">Australian Government </w:t>
            </w:r>
            <w:r>
              <w:rPr>
                <w:lang w:val="en-GB"/>
              </w:rPr>
              <w:t>agencies deem</w:t>
            </w:r>
            <w:r w:rsidR="00246E2F">
              <w:rPr>
                <w:lang w:val="en-GB"/>
              </w:rPr>
              <w:t>ed</w:t>
            </w:r>
            <w:r>
              <w:rPr>
                <w:lang w:val="en-GB"/>
              </w:rPr>
              <w:t xml:space="preserve"> suitable to deliver training program for Indonesia’s stakeholders).</w:t>
            </w:r>
          </w:p>
          <w:p w14:paraId="5CA27CEC" w14:textId="77777777" w:rsidR="004E2EBC" w:rsidRDefault="004E2EBC" w:rsidP="00E50F22">
            <w:pPr>
              <w:pStyle w:val="ListParagraph"/>
              <w:numPr>
                <w:ilvl w:val="0"/>
                <w:numId w:val="8"/>
              </w:numPr>
            </w:pPr>
            <w:r>
              <w:t xml:space="preserve">Senior and program staff to meet with other development partners regularly about </w:t>
            </w:r>
            <w:r w:rsidR="000B336D">
              <w:t xml:space="preserve">DRM </w:t>
            </w:r>
            <w:r>
              <w:t>reform progress, donor program coordination</w:t>
            </w:r>
          </w:p>
          <w:p w14:paraId="20806822" w14:textId="3F198A2B" w:rsidR="00204393" w:rsidRPr="00D14B48" w:rsidRDefault="00204393" w:rsidP="00912F51">
            <w:pPr>
              <w:pStyle w:val="ListParagraph"/>
              <w:numPr>
                <w:ilvl w:val="0"/>
                <w:numId w:val="8"/>
              </w:numPr>
            </w:pPr>
            <w:r>
              <w:t xml:space="preserve">Program staff to facilitate information sharing and joint work with other DFAT programs, including KOMPAK (sub-national governance and budgeting), </w:t>
            </w:r>
            <w:r w:rsidR="00912F51">
              <w:t>s</w:t>
            </w:r>
            <w:r>
              <w:t xml:space="preserve">ocial </w:t>
            </w:r>
            <w:r w:rsidR="00912F51">
              <w:t>p</w:t>
            </w:r>
            <w:r>
              <w:t xml:space="preserve">rotection (cash for emergencies), </w:t>
            </w:r>
            <w:r w:rsidR="00912F51">
              <w:t>health security</w:t>
            </w:r>
            <w:r>
              <w:t xml:space="preserve"> (disease outbreak)</w:t>
            </w:r>
            <w:r w:rsidR="00CF35E0">
              <w:t xml:space="preserve">, </w:t>
            </w:r>
            <w:r>
              <w:t>MAMPU (gender and social inclusion)</w:t>
            </w:r>
            <w:r w:rsidR="00CF35E0">
              <w:t xml:space="preserve"> and </w:t>
            </w:r>
            <w:r w:rsidR="00912F51">
              <w:t>environmental g</w:t>
            </w:r>
            <w:r w:rsidR="00CF35E0">
              <w:t>overnance (climate related hazards such as forest fire)</w:t>
            </w:r>
            <w:r>
              <w:t xml:space="preserve">.  </w:t>
            </w:r>
            <w:r w:rsidR="00CF35E0">
              <w:t>S</w:t>
            </w:r>
            <w:r>
              <w:t xml:space="preserve">ynergies with DFAT private sector programs </w:t>
            </w:r>
            <w:r w:rsidR="00CF35E0">
              <w:t xml:space="preserve">should also be explored </w:t>
            </w:r>
            <w:r w:rsidR="00BA59F7">
              <w:t>for example through</w:t>
            </w:r>
            <w:r>
              <w:t xml:space="preserve"> connecting </w:t>
            </w:r>
            <w:r w:rsidR="00CF35E0">
              <w:t xml:space="preserve">local </w:t>
            </w:r>
            <w:r>
              <w:t>DRR platforms with chambers of commerce</w:t>
            </w:r>
          </w:p>
        </w:tc>
      </w:tr>
      <w:tr w:rsidR="00E4073A" w:rsidRPr="00185996" w14:paraId="7961DFDC" w14:textId="77777777" w:rsidTr="002A58B4">
        <w:trPr>
          <w:gridBefore w:val="1"/>
          <w:gridAfter w:val="1"/>
          <w:wBefore w:w="142" w:type="dxa"/>
          <w:wAfter w:w="601" w:type="dxa"/>
        </w:trPr>
        <w:tc>
          <w:tcPr>
            <w:tcW w:w="1276" w:type="dxa"/>
          </w:tcPr>
          <w:p w14:paraId="3D45CA0D" w14:textId="76646303" w:rsidR="00E4073A" w:rsidRPr="00185996" w:rsidRDefault="00E4073A" w:rsidP="006F2D06">
            <w:pPr>
              <w:rPr>
                <w:b/>
              </w:rPr>
            </w:pPr>
            <w:r>
              <w:rPr>
                <w:b/>
              </w:rPr>
              <w:t>BNPB</w:t>
            </w:r>
          </w:p>
        </w:tc>
        <w:tc>
          <w:tcPr>
            <w:tcW w:w="7648" w:type="dxa"/>
          </w:tcPr>
          <w:p w14:paraId="4D3633DD" w14:textId="34F88CA0" w:rsidR="00236265" w:rsidRDefault="00236265" w:rsidP="00E50F22">
            <w:pPr>
              <w:pStyle w:val="ListParagraph"/>
              <w:numPr>
                <w:ilvl w:val="0"/>
                <w:numId w:val="8"/>
              </w:numPr>
            </w:pPr>
            <w:r>
              <w:t>Senior staff to meet with each of the key government partners: GoA, MoFA, Bappenas and MoHA to discuss GoI policy changes and program strategy issues</w:t>
            </w:r>
            <w:r w:rsidR="00246E2F">
              <w:t xml:space="preserve"> at least once per </w:t>
            </w:r>
            <w:r>
              <w:t>a year</w:t>
            </w:r>
            <w:r w:rsidR="00FD0A17">
              <w:t xml:space="preserve"> </w:t>
            </w:r>
            <w:r w:rsidR="00FD0A17" w:rsidRPr="000563D4">
              <w:rPr>
                <w:lang w:val="en-GB"/>
              </w:rPr>
              <w:t>(i.e. as a co-chair of the Steering Committee).</w:t>
            </w:r>
          </w:p>
          <w:p w14:paraId="106108E1" w14:textId="1AB505A2" w:rsidR="00246E2F" w:rsidRDefault="00246E2F" w:rsidP="00E50F22">
            <w:pPr>
              <w:pStyle w:val="ListParagraph"/>
              <w:numPr>
                <w:ilvl w:val="0"/>
                <w:numId w:val="8"/>
              </w:numPr>
            </w:pPr>
            <w:r>
              <w:t xml:space="preserve">Mid-level staff to meet with each of the key government partners: GoA, MoFA, Bappenas and MoHA to discuss technical issues at least once per a year </w:t>
            </w:r>
            <w:r w:rsidRPr="000563D4">
              <w:rPr>
                <w:lang w:val="en-GB"/>
              </w:rPr>
              <w:t xml:space="preserve">(i.e. as a co-chair of the </w:t>
            </w:r>
            <w:r>
              <w:rPr>
                <w:lang w:val="en-GB"/>
              </w:rPr>
              <w:t>Technical group</w:t>
            </w:r>
            <w:r w:rsidRPr="000563D4">
              <w:rPr>
                <w:lang w:val="en-GB"/>
              </w:rPr>
              <w:t>).</w:t>
            </w:r>
          </w:p>
          <w:p w14:paraId="65063518" w14:textId="5813F313" w:rsidR="00236265" w:rsidRDefault="00157DAD" w:rsidP="00E50F22">
            <w:pPr>
              <w:pStyle w:val="ListParagraph"/>
              <w:numPr>
                <w:ilvl w:val="0"/>
                <w:numId w:val="8"/>
              </w:numPr>
            </w:pPr>
            <w:r>
              <w:t xml:space="preserve">Technical </w:t>
            </w:r>
            <w:r w:rsidR="00236265">
              <w:t xml:space="preserve">staff to support the </w:t>
            </w:r>
            <w:r>
              <w:t xml:space="preserve">implementation/management/oversight </w:t>
            </w:r>
            <w:r w:rsidR="00236265">
              <w:t>of the program</w:t>
            </w:r>
            <w:r w:rsidR="00246E2F">
              <w:t>.</w:t>
            </w:r>
          </w:p>
          <w:p w14:paraId="2DAED395" w14:textId="271E7CAC" w:rsidR="00E4073A" w:rsidRDefault="00E4073A" w:rsidP="00E50F22">
            <w:pPr>
              <w:pStyle w:val="ListParagraph"/>
              <w:numPr>
                <w:ilvl w:val="0"/>
                <w:numId w:val="8"/>
              </w:numPr>
            </w:pPr>
            <w:r>
              <w:t xml:space="preserve">Staff and office space for the </w:t>
            </w:r>
            <w:r w:rsidR="001D0A7A">
              <w:t xml:space="preserve">Management </w:t>
            </w:r>
            <w:r w:rsidR="00815BE0">
              <w:t>Support Office</w:t>
            </w:r>
            <w:r>
              <w:t xml:space="preserve"> which will work across all BNPB Divisions</w:t>
            </w:r>
            <w:r w:rsidR="00246E2F">
              <w:t>.</w:t>
            </w:r>
          </w:p>
          <w:p w14:paraId="4F49BF62" w14:textId="7D12068D" w:rsidR="000667BC" w:rsidRDefault="00FD0A17" w:rsidP="00E50F22">
            <w:pPr>
              <w:pStyle w:val="ListParagraph"/>
              <w:numPr>
                <w:ilvl w:val="0"/>
                <w:numId w:val="8"/>
              </w:numPr>
            </w:pPr>
            <w:r>
              <w:t>Co-f</w:t>
            </w:r>
            <w:r w:rsidR="000667BC">
              <w:t>unding for activities and BNPB staff travel</w:t>
            </w:r>
            <w:r w:rsidR="00246E2F">
              <w:t xml:space="preserve">, honoraria and allowances. </w:t>
            </w:r>
          </w:p>
          <w:p w14:paraId="39652C51" w14:textId="212A202C" w:rsidR="00C01D83" w:rsidRDefault="00C01D83" w:rsidP="00E50F22">
            <w:pPr>
              <w:pStyle w:val="ListParagraph"/>
              <w:numPr>
                <w:ilvl w:val="0"/>
                <w:numId w:val="8"/>
              </w:numPr>
            </w:pPr>
            <w:r>
              <w:t>Commitment to post junior staff with Program sub-national TA</w:t>
            </w:r>
            <w:r w:rsidR="00FD0A17">
              <w:t xml:space="preserve"> and to provide opportunity for staff of targeted BPBDs to get on-the-job learning opportunity i.e. through internship program.</w:t>
            </w:r>
          </w:p>
        </w:tc>
      </w:tr>
      <w:tr w:rsidR="00E4073A" w:rsidRPr="00185996" w14:paraId="67A92729" w14:textId="77777777" w:rsidTr="002A58B4">
        <w:trPr>
          <w:gridBefore w:val="1"/>
          <w:gridAfter w:val="1"/>
          <w:wBefore w:w="142" w:type="dxa"/>
          <w:wAfter w:w="601" w:type="dxa"/>
        </w:trPr>
        <w:tc>
          <w:tcPr>
            <w:tcW w:w="1276" w:type="dxa"/>
          </w:tcPr>
          <w:p w14:paraId="51BE06CD" w14:textId="3ED954EA" w:rsidR="00E4073A" w:rsidRDefault="008571A5" w:rsidP="006F2D06">
            <w:pPr>
              <w:rPr>
                <w:b/>
              </w:rPr>
            </w:pPr>
            <w:r>
              <w:rPr>
                <w:b/>
              </w:rPr>
              <w:t>BPBD</w:t>
            </w:r>
            <w:r w:rsidR="00B01508">
              <w:rPr>
                <w:b/>
              </w:rPr>
              <w:t xml:space="preserve">s, </w:t>
            </w:r>
            <w:r w:rsidR="00E4073A">
              <w:rPr>
                <w:b/>
              </w:rPr>
              <w:t xml:space="preserve">Province </w:t>
            </w:r>
            <w:r w:rsidR="00B01508">
              <w:rPr>
                <w:b/>
              </w:rPr>
              <w:t xml:space="preserve">&amp; </w:t>
            </w:r>
            <w:r w:rsidR="00E4073A">
              <w:rPr>
                <w:b/>
              </w:rPr>
              <w:t>District Leadership</w:t>
            </w:r>
          </w:p>
        </w:tc>
        <w:tc>
          <w:tcPr>
            <w:tcW w:w="7648" w:type="dxa"/>
          </w:tcPr>
          <w:p w14:paraId="41F1CCE8" w14:textId="7AE885BE" w:rsidR="00E4073A" w:rsidRDefault="00E4073A" w:rsidP="00E50F22">
            <w:pPr>
              <w:pStyle w:val="ListParagraph"/>
              <w:numPr>
                <w:ilvl w:val="0"/>
                <w:numId w:val="8"/>
              </w:numPr>
            </w:pPr>
            <w:r>
              <w:t xml:space="preserve">Commitment to maintain </w:t>
            </w:r>
            <w:r w:rsidR="00B01508">
              <w:t xml:space="preserve">a level of </w:t>
            </w:r>
            <w:r>
              <w:t>staff</w:t>
            </w:r>
            <w:r w:rsidR="00B01508">
              <w:t xml:space="preserve"> stability in </w:t>
            </w:r>
            <w:r w:rsidR="008571A5">
              <w:t>BPBD</w:t>
            </w:r>
            <w:r w:rsidR="00B01508">
              <w:t xml:space="preserve"> offices (</w:t>
            </w:r>
            <w:r w:rsidR="00412E88">
              <w:t>e.g.</w:t>
            </w:r>
            <w:r w:rsidR="00B01508">
              <w:t xml:space="preserve"> 50% stability for the program implementation period). </w:t>
            </w:r>
          </w:p>
          <w:p w14:paraId="22D5287F" w14:textId="21BA7C27" w:rsidR="00FD0A17" w:rsidRDefault="00FD0A17" w:rsidP="00E50F22">
            <w:pPr>
              <w:pStyle w:val="ListParagraph"/>
              <w:numPr>
                <w:ilvl w:val="0"/>
                <w:numId w:val="8"/>
              </w:numPr>
            </w:pPr>
            <w:r w:rsidRPr="00FD0A17">
              <w:rPr>
                <w:lang w:val="en-GB"/>
              </w:rPr>
              <w:t>Staff and office space for the sub-national office of the program.</w:t>
            </w:r>
          </w:p>
          <w:p w14:paraId="0217D73E" w14:textId="35E7205C" w:rsidR="002A58B4" w:rsidRDefault="00DB2455" w:rsidP="002A58B4">
            <w:pPr>
              <w:pStyle w:val="ListParagraph"/>
              <w:numPr>
                <w:ilvl w:val="0"/>
                <w:numId w:val="8"/>
              </w:numPr>
            </w:pPr>
            <w:r>
              <w:t xml:space="preserve">Budget </w:t>
            </w:r>
            <w:r w:rsidR="00F00F64">
              <w:t xml:space="preserve">allocation </w:t>
            </w:r>
            <w:r>
              <w:t>for activities</w:t>
            </w:r>
            <w:r w:rsidR="00F00F64">
              <w:t xml:space="preserve"> from provincial and district budgets</w:t>
            </w:r>
          </w:p>
        </w:tc>
      </w:tr>
      <w:tr w:rsidR="002A58B4" w:rsidRPr="00185996" w14:paraId="2424D73D" w14:textId="77777777" w:rsidTr="002A58B4">
        <w:trPr>
          <w:gridBefore w:val="1"/>
          <w:gridAfter w:val="1"/>
          <w:wBefore w:w="142" w:type="dxa"/>
          <w:wAfter w:w="601" w:type="dxa"/>
        </w:trPr>
        <w:tc>
          <w:tcPr>
            <w:tcW w:w="1276" w:type="dxa"/>
          </w:tcPr>
          <w:p w14:paraId="480F8466" w14:textId="6EF6D457" w:rsidR="002A58B4" w:rsidRDefault="002A58B4" w:rsidP="006F2D06">
            <w:pPr>
              <w:rPr>
                <w:b/>
              </w:rPr>
            </w:pPr>
            <w:r>
              <w:rPr>
                <w:b/>
              </w:rPr>
              <w:t>MoFA</w:t>
            </w:r>
          </w:p>
        </w:tc>
        <w:tc>
          <w:tcPr>
            <w:tcW w:w="7648" w:type="dxa"/>
          </w:tcPr>
          <w:p w14:paraId="3A748235" w14:textId="77777777" w:rsidR="002A58B4" w:rsidRDefault="002A58B4" w:rsidP="002A58B4">
            <w:pPr>
              <w:pStyle w:val="ListParagraph"/>
              <w:numPr>
                <w:ilvl w:val="0"/>
                <w:numId w:val="8"/>
              </w:numPr>
            </w:pPr>
            <w:r>
              <w:t xml:space="preserve">Senior staff to meet with each of the key government partners: GoA, MoFA, Bappenas and MoHA to discuss GoI policy changes and program strategy issues at least once per a year </w:t>
            </w:r>
            <w:r w:rsidRPr="000563D4">
              <w:rPr>
                <w:lang w:val="en-GB"/>
              </w:rPr>
              <w:t>(i.e. as a co-chair of the Steering Committee).</w:t>
            </w:r>
          </w:p>
          <w:p w14:paraId="22B3F67C" w14:textId="77777777" w:rsidR="002A58B4" w:rsidRDefault="002A58B4" w:rsidP="002A58B4">
            <w:pPr>
              <w:pStyle w:val="ListParagraph"/>
              <w:numPr>
                <w:ilvl w:val="0"/>
                <w:numId w:val="8"/>
              </w:numPr>
            </w:pPr>
            <w:r>
              <w:t xml:space="preserve">Mid-level staff to meet with each of the key government partners: GoA, MoFA, Bappenas and MoHA to discuss technical issues at least once per a year </w:t>
            </w:r>
            <w:r w:rsidRPr="000563D4">
              <w:rPr>
                <w:lang w:val="en-GB"/>
              </w:rPr>
              <w:t xml:space="preserve">(i.e. as a co-chair of the </w:t>
            </w:r>
            <w:r>
              <w:rPr>
                <w:lang w:val="en-GB"/>
              </w:rPr>
              <w:t>Technical group</w:t>
            </w:r>
            <w:r w:rsidRPr="000563D4">
              <w:rPr>
                <w:lang w:val="en-GB"/>
              </w:rPr>
              <w:t>).</w:t>
            </w:r>
          </w:p>
          <w:p w14:paraId="6D03B49B" w14:textId="77777777" w:rsidR="002A58B4" w:rsidRDefault="002A58B4" w:rsidP="002A58B4">
            <w:pPr>
              <w:pStyle w:val="ListParagraph"/>
              <w:numPr>
                <w:ilvl w:val="0"/>
                <w:numId w:val="8"/>
              </w:numPr>
            </w:pPr>
            <w:r>
              <w:t>Technical staff to support the implementation/management/oversight of the program.</w:t>
            </w:r>
          </w:p>
          <w:p w14:paraId="165709EF" w14:textId="025EAEBA" w:rsidR="002A58B4" w:rsidRDefault="002A58B4" w:rsidP="002A58B4">
            <w:pPr>
              <w:pStyle w:val="ListParagraph"/>
              <w:numPr>
                <w:ilvl w:val="0"/>
                <w:numId w:val="8"/>
              </w:numPr>
            </w:pPr>
            <w:r>
              <w:t xml:space="preserve">Co-funding for activities and Kemlu staff travel, honoraria and allowances. </w:t>
            </w:r>
          </w:p>
        </w:tc>
      </w:tr>
      <w:tr w:rsidR="00A877CF" w:rsidRPr="0072601F" w14:paraId="2B77E230" w14:textId="77777777" w:rsidTr="002A58B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Ex>
        <w:trPr>
          <w:trHeight w:val="360"/>
          <w:tblHeader/>
        </w:trPr>
        <w:tc>
          <w:tcPr>
            <w:tcW w:w="9667" w:type="dxa"/>
            <w:gridSpan w:val="4"/>
            <w:shd w:val="clear" w:color="auto" w:fill="B4C6E7" w:themeFill="accent1" w:themeFillTint="66"/>
          </w:tcPr>
          <w:p w14:paraId="48882ECA" w14:textId="2A0AAD99" w:rsidR="00A877CF" w:rsidRPr="0072601F" w:rsidRDefault="006E3D3D" w:rsidP="00CC67BD">
            <w:pPr>
              <w:pStyle w:val="Heading2"/>
            </w:pPr>
            <w:bookmarkStart w:id="35" w:name="_Toc514853176"/>
            <w:bookmarkStart w:id="36" w:name="_Toc525550774"/>
            <w:r>
              <w:t xml:space="preserve">E:  </w:t>
            </w:r>
            <w:r w:rsidR="00A877CF" w:rsidRPr="0072601F">
              <w:t>Implementation Arrangements</w:t>
            </w:r>
            <w:bookmarkEnd w:id="35"/>
            <w:bookmarkEnd w:id="36"/>
          </w:p>
        </w:tc>
      </w:tr>
    </w:tbl>
    <w:p w14:paraId="27729AB7" w14:textId="5CBC7523" w:rsidR="00A877CF" w:rsidRPr="0072601F" w:rsidRDefault="00A877CF" w:rsidP="00C61524">
      <w:pPr>
        <w:pStyle w:val="Heading3"/>
      </w:pPr>
      <w:bookmarkStart w:id="37" w:name="_Toc525550775"/>
      <w:r w:rsidRPr="00465160">
        <w:t>Governance Arrangements and Structure</w:t>
      </w:r>
      <w:bookmarkEnd w:id="37"/>
    </w:p>
    <w:p w14:paraId="23F4D66D" w14:textId="05AE9D19" w:rsidR="001E562F" w:rsidRDefault="00B471FD" w:rsidP="00EE4B1B">
      <w:r>
        <w:t xml:space="preserve">The governance structure for the program provides for strategic </w:t>
      </w:r>
      <w:r w:rsidR="006C3392">
        <w:t>engagement</w:t>
      </w:r>
      <w:r>
        <w:t xml:space="preserve"> between </w:t>
      </w:r>
      <w:r w:rsidR="0094476B">
        <w:t>GoI</w:t>
      </w:r>
      <w:r w:rsidR="001E562F">
        <w:t xml:space="preserve">, DFAT and program partners on </w:t>
      </w:r>
      <w:r w:rsidR="004F2AD5">
        <w:t>specific policy reform issues</w:t>
      </w:r>
      <w:r w:rsidR="00E84E55">
        <w:t xml:space="preserve"> to inform future program priorities</w:t>
      </w:r>
      <w:r w:rsidR="001E562F">
        <w:t xml:space="preserve">. </w:t>
      </w:r>
      <w:r w:rsidR="004F2AD5">
        <w:t>This will be separated from aid d</w:t>
      </w:r>
      <w:r w:rsidR="006C3392">
        <w:t xml:space="preserve">ecision making on annual plans </w:t>
      </w:r>
      <w:r w:rsidR="004F2AD5">
        <w:t>which will be</w:t>
      </w:r>
      <w:r w:rsidR="006C3392">
        <w:t xml:space="preserve"> facilitated</w:t>
      </w:r>
      <w:r w:rsidR="00196E7A">
        <w:t xml:space="preserve"> </w:t>
      </w:r>
      <w:r w:rsidR="006C3392">
        <w:t xml:space="preserve">by the Managing Contractor between DFAT and the respective implementing partner. </w:t>
      </w:r>
      <w:r w:rsidR="004F2AD5">
        <w:t>A partnership approach will be used to support the engagement between DFAT</w:t>
      </w:r>
      <w:r w:rsidR="0033725D">
        <w:t xml:space="preserve"> and key </w:t>
      </w:r>
      <w:r w:rsidR="0094476B">
        <w:t>GoI</w:t>
      </w:r>
      <w:r w:rsidR="0033725D">
        <w:t xml:space="preserve"> agencies: BNPB, </w:t>
      </w:r>
      <w:r w:rsidR="0094476B">
        <w:t>MoFA</w:t>
      </w:r>
      <w:r w:rsidR="00F231A8">
        <w:t>, Bappenas</w:t>
      </w:r>
      <w:r w:rsidR="0033725D">
        <w:t xml:space="preserve"> and provincial authorities in target locations.</w:t>
      </w:r>
    </w:p>
    <w:p w14:paraId="35F298DA" w14:textId="701AA0CC" w:rsidR="00FD0A17" w:rsidRDefault="004F2AD5" w:rsidP="00EE4B1B">
      <w:r>
        <w:t xml:space="preserve">This governance structure will be supported by a Managing Contractor </w:t>
      </w:r>
      <w:r w:rsidR="00B471FD">
        <w:t xml:space="preserve">with responsibility for planning, </w:t>
      </w:r>
      <w:r w:rsidR="00D9697B">
        <w:t>developing and implementing KPLF</w:t>
      </w:r>
      <w:r w:rsidR="00B471FD">
        <w:t xml:space="preserve">, </w:t>
      </w:r>
      <w:r w:rsidR="00D9697B">
        <w:t xml:space="preserve">implementing </w:t>
      </w:r>
      <w:r w:rsidR="00B471FD">
        <w:t xml:space="preserve">GESI and </w:t>
      </w:r>
      <w:r w:rsidR="00D9697B">
        <w:t xml:space="preserve">maintaining communications </w:t>
      </w:r>
      <w:r w:rsidR="00B471FD">
        <w:t>across the whole program</w:t>
      </w:r>
      <w:r>
        <w:t>, as well as management of technical advisers and grant agreements with NU</w:t>
      </w:r>
      <w:r w:rsidR="00FD0A17">
        <w:t xml:space="preserve">, </w:t>
      </w:r>
      <w:r>
        <w:t>Muhammadiyah</w:t>
      </w:r>
      <w:r w:rsidR="00FD0A17">
        <w:t xml:space="preserve"> and other local partners</w:t>
      </w:r>
      <w:r>
        <w:t xml:space="preserve">. The Contractor will also support DFAT management of grant agreements with </w:t>
      </w:r>
      <w:r w:rsidR="00DE7FEF">
        <w:t>OCHA</w:t>
      </w:r>
      <w:r>
        <w:t xml:space="preserve"> and IFRC</w:t>
      </w:r>
      <w:r w:rsidR="00E84E55">
        <w:t xml:space="preserve"> to ensure grant activities align with program goal and objectives</w:t>
      </w:r>
      <w:r w:rsidR="00B471FD">
        <w:t>.</w:t>
      </w:r>
      <w:r w:rsidR="006C3392">
        <w:t xml:space="preserve"> </w:t>
      </w:r>
    </w:p>
    <w:p w14:paraId="228D1B95" w14:textId="43A397AB" w:rsidR="004F2AD5" w:rsidRDefault="004213EA" w:rsidP="00EE4B1B">
      <w:r>
        <w:rPr>
          <w:b/>
        </w:rPr>
        <w:t xml:space="preserve">Program Office, </w:t>
      </w:r>
      <w:r w:rsidR="001D0A7A">
        <w:rPr>
          <w:b/>
        </w:rPr>
        <w:t xml:space="preserve">Management </w:t>
      </w:r>
      <w:r w:rsidR="00815BE0">
        <w:rPr>
          <w:b/>
        </w:rPr>
        <w:t>Support Office</w:t>
      </w:r>
      <w:r w:rsidR="008375EF">
        <w:rPr>
          <w:b/>
        </w:rPr>
        <w:t xml:space="preserve"> and Provincial Office</w:t>
      </w:r>
      <w:r w:rsidR="00FD0A17">
        <w:t xml:space="preserve">. </w:t>
      </w:r>
      <w:r w:rsidR="00294369">
        <w:t>The MC will establish a</w:t>
      </w:r>
      <w:r>
        <w:t xml:space="preserve"> program office </w:t>
      </w:r>
      <w:r w:rsidR="00294369">
        <w:t xml:space="preserve">which </w:t>
      </w:r>
      <w:r>
        <w:t>will house the Program Director and a team of operations and technical staff. Th</w:t>
      </w:r>
      <w:r w:rsidR="00E84E55">
        <w:t>e</w:t>
      </w:r>
      <w:r>
        <w:t xml:space="preserve"> </w:t>
      </w:r>
      <w:r w:rsidR="00294369">
        <w:t xml:space="preserve">MC will support </w:t>
      </w:r>
      <w:r>
        <w:t xml:space="preserve">the </w:t>
      </w:r>
      <w:r w:rsidR="00294369">
        <w:t xml:space="preserve">establishment of the </w:t>
      </w:r>
      <w:r w:rsidR="001D0A7A">
        <w:t xml:space="preserve">Management </w:t>
      </w:r>
      <w:r w:rsidR="00815BE0">
        <w:t>Support Office</w:t>
      </w:r>
      <w:r w:rsidR="00294369">
        <w:t>, which will be</w:t>
      </w:r>
      <w:r w:rsidR="00FD0A17">
        <w:t xml:space="preserve"> located within BNPB premises</w:t>
      </w:r>
      <w:r w:rsidRPr="004213EA">
        <w:t xml:space="preserve">. </w:t>
      </w:r>
      <w:r w:rsidR="00534355" w:rsidRPr="004213EA">
        <w:t xml:space="preserve">The MC will also </w:t>
      </w:r>
      <w:r w:rsidR="00294369">
        <w:t xml:space="preserve">support the </w:t>
      </w:r>
      <w:r w:rsidR="00534355" w:rsidRPr="004213EA">
        <w:t>establish</w:t>
      </w:r>
      <w:r w:rsidR="00294369">
        <w:t>ment of</w:t>
      </w:r>
      <w:r w:rsidR="00534355" w:rsidRPr="004213EA">
        <w:t xml:space="preserve"> provincial office</w:t>
      </w:r>
      <w:r w:rsidR="00294369">
        <w:t>s</w:t>
      </w:r>
      <w:r w:rsidR="00534355" w:rsidRPr="004213EA">
        <w:t xml:space="preserve"> </w:t>
      </w:r>
      <w:r w:rsidR="00294369">
        <w:t xml:space="preserve">co-located within BPBDs (where possible) </w:t>
      </w:r>
      <w:r w:rsidR="00534355" w:rsidRPr="004213EA">
        <w:t>at the</w:t>
      </w:r>
      <w:r w:rsidR="00DB5DF7">
        <w:t xml:space="preserve"> (up to)</w:t>
      </w:r>
      <w:r w:rsidR="00534355" w:rsidRPr="004213EA">
        <w:t xml:space="preserve"> six target provinces and recruit staff (LTAs and STAs) to run those offices and to lead the implementation of the work plan at the provincial level.</w:t>
      </w:r>
    </w:p>
    <w:p w14:paraId="5A9F4642" w14:textId="4F516834" w:rsidR="00B471FD" w:rsidRDefault="005E3D27" w:rsidP="00EE4B1B">
      <w:r>
        <w:t xml:space="preserve">An </w:t>
      </w:r>
      <w:r w:rsidRPr="005E3D27">
        <w:rPr>
          <w:b/>
        </w:rPr>
        <w:t xml:space="preserve">Annual </w:t>
      </w:r>
      <w:r w:rsidR="00FD0A17">
        <w:rPr>
          <w:b/>
        </w:rPr>
        <w:t xml:space="preserve">Steering Committee </w:t>
      </w:r>
      <w:r w:rsidRPr="005E3D27">
        <w:rPr>
          <w:b/>
        </w:rPr>
        <w:t>Meeting</w:t>
      </w:r>
      <w:r>
        <w:t xml:space="preserve"> </w:t>
      </w:r>
      <w:r w:rsidR="00FD0A17">
        <w:t>(</w:t>
      </w:r>
      <w:r w:rsidR="00DB5DF7">
        <w:t xml:space="preserve">e.g. </w:t>
      </w:r>
      <w:r w:rsidR="00FD0A17">
        <w:t>every February)</w:t>
      </w:r>
      <w:r w:rsidR="004213EA">
        <w:t xml:space="preserve"> co-chaired by BNPB </w:t>
      </w:r>
      <w:r w:rsidR="004F2E8B">
        <w:t xml:space="preserve">Head </w:t>
      </w:r>
      <w:r w:rsidR="004213EA">
        <w:t>and DFAT</w:t>
      </w:r>
      <w:r w:rsidR="00FD0A17">
        <w:t xml:space="preserve"> </w:t>
      </w:r>
      <w:r w:rsidR="004F2E8B">
        <w:t xml:space="preserve">Minister-Counsellor </w:t>
      </w:r>
      <w:r>
        <w:t>will provide an opportunity for strategic dialogue across all program partners on key policy reform issues e</w:t>
      </w:r>
      <w:r w:rsidR="00294369">
        <w:t>.</w:t>
      </w:r>
      <w:r>
        <w:t>g</w:t>
      </w:r>
      <w:r w:rsidR="00294369">
        <w:t>.</w:t>
      </w:r>
      <w:r>
        <w:t xml:space="preserve"> </w:t>
      </w:r>
      <w:r w:rsidR="00294369">
        <w:t>i</w:t>
      </w:r>
      <w:r>
        <w:t xml:space="preserve">mplementation of </w:t>
      </w:r>
      <w:r w:rsidR="00FD0A17">
        <w:t>MSS</w:t>
      </w:r>
      <w:r w:rsidR="001A4E62">
        <w:t xml:space="preserve">; </w:t>
      </w:r>
      <w:r w:rsidR="00294369">
        <w:t>n</w:t>
      </w:r>
      <w:r w:rsidR="001A4E62">
        <w:t>ational and sub-national co</w:t>
      </w:r>
      <w:r>
        <w:t xml:space="preserve">ordination across all DRM partners; and addressing gender </w:t>
      </w:r>
      <w:r w:rsidR="00CF35E0">
        <w:t xml:space="preserve">equality </w:t>
      </w:r>
      <w:r>
        <w:t xml:space="preserve">and social inclusion in preparedness and response. </w:t>
      </w:r>
      <w:r w:rsidR="00473633">
        <w:t xml:space="preserve">This strategy meeting </w:t>
      </w:r>
      <w:r w:rsidR="00FD0A17">
        <w:t xml:space="preserve">will </w:t>
      </w:r>
      <w:r w:rsidR="00473633">
        <w:t xml:space="preserve">also include a session for </w:t>
      </w:r>
      <w:r w:rsidR="00E84E55">
        <w:t xml:space="preserve">approving </w:t>
      </w:r>
      <w:r w:rsidR="00FD0A17">
        <w:t xml:space="preserve">the Annual Work Plan for each Pillar and agreeing on </w:t>
      </w:r>
      <w:r w:rsidR="00CF35E0">
        <w:t>future year priorities</w:t>
      </w:r>
      <w:r w:rsidR="00473633">
        <w:t xml:space="preserve">. </w:t>
      </w:r>
    </w:p>
    <w:p w14:paraId="55371B9A" w14:textId="44546271" w:rsidR="00FD0A17" w:rsidRDefault="00DB5DF7" w:rsidP="00FD0A17">
      <w:r>
        <w:rPr>
          <w:b/>
          <w:lang w:val="en-AU"/>
        </w:rPr>
        <w:t xml:space="preserve">Other governance structures </w:t>
      </w:r>
      <w:r>
        <w:rPr>
          <w:lang w:val="en-AU"/>
        </w:rPr>
        <w:t xml:space="preserve">as necessary with senior and working level representatives appropriate for purpose of the governance structures. These structures may consider issues including but not limited to: </w:t>
      </w:r>
      <w:r w:rsidR="007B37E8" w:rsidRPr="007B37E8">
        <w:t xml:space="preserve">progress </w:t>
      </w:r>
      <w:r>
        <w:t xml:space="preserve">and performance of the program, </w:t>
      </w:r>
      <w:r w:rsidR="00FD0A17">
        <w:t>lessons learned and best practices from previous years implementation</w:t>
      </w:r>
      <w:r>
        <w:t>,</w:t>
      </w:r>
      <w:r w:rsidR="00FD0A17">
        <w:t xml:space="preserve"> and </w:t>
      </w:r>
      <w:r>
        <w:t xml:space="preserve">preparation if </w:t>
      </w:r>
      <w:r w:rsidR="00FD0A17">
        <w:t xml:space="preserve">the Annual Work Plan </w:t>
      </w:r>
      <w:r>
        <w:t xml:space="preserve">to be </w:t>
      </w:r>
      <w:r w:rsidR="00FD0A17">
        <w:t>agreed by the Steering Committee.</w:t>
      </w:r>
    </w:p>
    <w:p w14:paraId="63EE245D" w14:textId="0919AD4F" w:rsidR="00AF027C" w:rsidRDefault="00473633" w:rsidP="00EE4B1B">
      <w:r w:rsidRPr="007C7BBD">
        <w:rPr>
          <w:b/>
        </w:rPr>
        <w:t xml:space="preserve">Annual </w:t>
      </w:r>
      <w:r w:rsidR="00AF1625" w:rsidRPr="007C7BBD">
        <w:rPr>
          <w:b/>
        </w:rPr>
        <w:t>Work Plans</w:t>
      </w:r>
      <w:r w:rsidR="00AF1625">
        <w:t xml:space="preserve"> and project level </w:t>
      </w:r>
      <w:r w:rsidR="00FD0A17">
        <w:t>T</w:t>
      </w:r>
      <w:r w:rsidR="00AF1625">
        <w:t xml:space="preserve">erms of </w:t>
      </w:r>
      <w:r w:rsidR="00FD0A17">
        <w:t>R</w:t>
      </w:r>
      <w:r w:rsidR="00AF1625">
        <w:t xml:space="preserve">eference </w:t>
      </w:r>
      <w:r w:rsidR="00FD0A17">
        <w:t xml:space="preserve">(TORs) </w:t>
      </w:r>
      <w:r>
        <w:t xml:space="preserve">will be agreed with each program partner: </w:t>
      </w:r>
      <w:r w:rsidR="00AF1625">
        <w:t>GOI</w:t>
      </w:r>
      <w:r>
        <w:t>, NU, Muhammadiyah, PMI</w:t>
      </w:r>
      <w:r w:rsidR="00FD0A17">
        <w:t>,</w:t>
      </w:r>
      <w:r w:rsidR="003C58F7">
        <w:t xml:space="preserve"> </w:t>
      </w:r>
      <w:r>
        <w:t>IFRC</w:t>
      </w:r>
      <w:r w:rsidR="00FD0A17">
        <w:t xml:space="preserve"> and</w:t>
      </w:r>
      <w:r>
        <w:t xml:space="preserve"> </w:t>
      </w:r>
      <w:r w:rsidR="00DE7FEF">
        <w:t>OCHA</w:t>
      </w:r>
      <w:r>
        <w:t>.</w:t>
      </w:r>
      <w:r w:rsidR="00AF027C">
        <w:t xml:space="preserve">  </w:t>
      </w:r>
      <w:r w:rsidR="008508AC">
        <w:t>Annual work plans will include reflections on current year performance</w:t>
      </w:r>
      <w:r w:rsidR="00FD0A17">
        <w:t xml:space="preserve"> and the findings from the monitoring and evaluation</w:t>
      </w:r>
      <w:r w:rsidR="008508AC">
        <w:t>.</w:t>
      </w:r>
    </w:p>
    <w:p w14:paraId="4DF63273" w14:textId="6C7A98CE" w:rsidR="00F231A8" w:rsidRDefault="00AF027C" w:rsidP="00EE4B1B">
      <w:r>
        <w:t xml:space="preserve">A partnership approach </w:t>
      </w:r>
      <w:r w:rsidR="00345C0B">
        <w:t xml:space="preserve">between </w:t>
      </w:r>
      <w:r w:rsidR="0094476B">
        <w:t>GoI</w:t>
      </w:r>
      <w:r w:rsidR="00345C0B">
        <w:t xml:space="preserve">, DFAT and the MC </w:t>
      </w:r>
      <w:r>
        <w:t xml:space="preserve">will be used for </w:t>
      </w:r>
      <w:r w:rsidR="002763F8">
        <w:t xml:space="preserve">negotiating and </w:t>
      </w:r>
      <w:r>
        <w:t xml:space="preserve">agreeing annual </w:t>
      </w:r>
      <w:r w:rsidR="00AF1625">
        <w:t xml:space="preserve">work </w:t>
      </w:r>
      <w:r>
        <w:t>plans</w:t>
      </w:r>
      <w:r w:rsidR="002A5E2A">
        <w:t xml:space="preserve"> and commitments</w:t>
      </w:r>
      <w:r>
        <w:t xml:space="preserve"> with </w:t>
      </w:r>
      <w:r w:rsidR="007D3BA1">
        <w:t xml:space="preserve">each </w:t>
      </w:r>
      <w:r w:rsidR="0094476B">
        <w:t>GoI</w:t>
      </w:r>
      <w:r>
        <w:t xml:space="preserve"> </w:t>
      </w:r>
      <w:r w:rsidR="007D3BA1">
        <w:t>implementing partner</w:t>
      </w:r>
      <w:r>
        <w:t xml:space="preserve">. </w:t>
      </w:r>
      <w:r w:rsidR="00AF1625">
        <w:t>Three p</w:t>
      </w:r>
      <w:r w:rsidR="00D31E6F">
        <w:t>artnerships are envisaged at the national leve</w:t>
      </w:r>
      <w:r w:rsidR="00AF1625">
        <w:t xml:space="preserve">l, one under each Pillar 1-3, with </w:t>
      </w:r>
      <w:r w:rsidR="00D31E6F">
        <w:t xml:space="preserve">sub-national </w:t>
      </w:r>
      <w:r w:rsidR="00AF1625">
        <w:t>authorities invited as an observer for partnership under Pillar 2</w:t>
      </w:r>
      <w:r w:rsidR="00D31E6F">
        <w:t xml:space="preserve">. </w:t>
      </w:r>
      <w:r w:rsidR="002A5E2A">
        <w:t>Annual partnership health checks will provide opportunities to updat</w:t>
      </w:r>
      <w:r w:rsidR="00FC5897">
        <w:t>e and agree on the forward year</w:t>
      </w:r>
      <w:r w:rsidR="002A5E2A">
        <w:t xml:space="preserve"> commitments. </w:t>
      </w:r>
    </w:p>
    <w:p w14:paraId="2F04C02A" w14:textId="00CC70B5" w:rsidR="00473633" w:rsidRDefault="00D31E6F" w:rsidP="00EE4B1B">
      <w:r>
        <w:t>P</w:t>
      </w:r>
      <w:r w:rsidR="00345C0B">
        <w:t xml:space="preserve">artnerships </w:t>
      </w:r>
      <w:r>
        <w:t xml:space="preserve">with </w:t>
      </w:r>
      <w:r w:rsidR="0094476B">
        <w:t>GoI</w:t>
      </w:r>
      <w:r>
        <w:t xml:space="preserve"> program implementing partners </w:t>
      </w:r>
      <w:r w:rsidR="00345C0B">
        <w:t>are envisaged</w:t>
      </w:r>
      <w:r w:rsidR="00CF35E0">
        <w:t xml:space="preserve"> as</w:t>
      </w:r>
      <w:r w:rsidR="00345C0B">
        <w:t>:</w:t>
      </w:r>
    </w:p>
    <w:p w14:paraId="357352B7" w14:textId="3360AB5C" w:rsidR="000E24FD" w:rsidRDefault="000E24FD" w:rsidP="00E50F22">
      <w:pPr>
        <w:pStyle w:val="ListParagraph"/>
        <w:numPr>
          <w:ilvl w:val="0"/>
          <w:numId w:val="9"/>
        </w:numPr>
      </w:pPr>
      <w:r>
        <w:t>BNPB</w:t>
      </w:r>
      <w:r w:rsidR="00345C0B">
        <w:t xml:space="preserve">, DFAT and MC: </w:t>
      </w:r>
      <w:r w:rsidR="005F7995">
        <w:t xml:space="preserve"> with respect to </w:t>
      </w:r>
      <w:r w:rsidR="00345C0B">
        <w:t>Pillar 1</w:t>
      </w:r>
      <w:r w:rsidR="00074766">
        <w:t xml:space="preserve"> annual planning</w:t>
      </w:r>
      <w:r w:rsidR="00827006">
        <w:t xml:space="preserve"> and budget</w:t>
      </w:r>
      <w:r w:rsidR="00B803AA">
        <w:t xml:space="preserve"> (will include Bappenas as observer role)</w:t>
      </w:r>
      <w:r w:rsidR="00F20CFA">
        <w:t xml:space="preserve">  </w:t>
      </w:r>
    </w:p>
    <w:p w14:paraId="157BC18C" w14:textId="474E8531" w:rsidR="00AF1625" w:rsidRDefault="00AF1625" w:rsidP="00E50F22">
      <w:pPr>
        <w:pStyle w:val="ListParagraph"/>
        <w:numPr>
          <w:ilvl w:val="0"/>
          <w:numId w:val="9"/>
        </w:numPr>
      </w:pPr>
      <w:r>
        <w:t>BNPB, Bappenas, MoHA, DFAT and MC: with respect to Pillar 2 annual planning and budget (will include sub-national authority</w:t>
      </w:r>
      <w:r w:rsidR="00B803AA">
        <w:t xml:space="preserve"> and Civil Society </w:t>
      </w:r>
      <w:r>
        <w:t>in observer role)</w:t>
      </w:r>
    </w:p>
    <w:p w14:paraId="3830B1A4" w14:textId="01D771A1" w:rsidR="00345C0B" w:rsidRDefault="0094476B" w:rsidP="00E50F22">
      <w:pPr>
        <w:pStyle w:val="ListParagraph"/>
        <w:numPr>
          <w:ilvl w:val="0"/>
          <w:numId w:val="9"/>
        </w:numPr>
      </w:pPr>
      <w:r>
        <w:t>MoFA</w:t>
      </w:r>
      <w:r w:rsidR="00345C0B">
        <w:t>, DFAT</w:t>
      </w:r>
      <w:r w:rsidR="00B803AA">
        <w:t>, BNPB</w:t>
      </w:r>
      <w:r w:rsidR="00345C0B">
        <w:t xml:space="preserve"> and MC: </w:t>
      </w:r>
      <w:r w:rsidR="005F7995">
        <w:t xml:space="preserve"> with respect to </w:t>
      </w:r>
      <w:r w:rsidR="00345C0B">
        <w:t xml:space="preserve">Pillar 3 </w:t>
      </w:r>
      <w:r w:rsidR="00074766">
        <w:t>annual planning</w:t>
      </w:r>
      <w:r w:rsidR="00827006">
        <w:t xml:space="preserve"> and budget</w:t>
      </w:r>
    </w:p>
    <w:p w14:paraId="6C2EBCBA" w14:textId="1A4C8112" w:rsidR="00F20CFA" w:rsidRDefault="00D31E6F" w:rsidP="00D31E6F">
      <w:r>
        <w:t xml:space="preserve">In addition, there will be a partnership agreement between </w:t>
      </w:r>
      <w:r w:rsidR="00F20CFA">
        <w:t xml:space="preserve">DFAT and </w:t>
      </w:r>
      <w:r>
        <w:t xml:space="preserve">the MC </w:t>
      </w:r>
      <w:r w:rsidR="00F20CFA">
        <w:t xml:space="preserve">with respect </w:t>
      </w:r>
      <w:r>
        <w:t xml:space="preserve">to program management. This will sit alongside </w:t>
      </w:r>
      <w:r w:rsidR="00F20CFA">
        <w:t xml:space="preserve">contractual requirements, to enhance communication and </w:t>
      </w:r>
      <w:r w:rsidR="00BF21F6">
        <w:t>adaptive programming</w:t>
      </w:r>
      <w:r w:rsidR="00F20CFA">
        <w:t>.</w:t>
      </w:r>
    </w:p>
    <w:p w14:paraId="256BA52D" w14:textId="50264BA4" w:rsidR="001A2D17" w:rsidRDefault="00F20CFA" w:rsidP="000D0F3B">
      <w:r>
        <w:t xml:space="preserve">The MC will hold </w:t>
      </w:r>
      <w:r w:rsidR="005A222F">
        <w:t>grant agreement</w:t>
      </w:r>
      <w:r>
        <w:t xml:space="preserve"> relationships with </w:t>
      </w:r>
      <w:r w:rsidR="001A2D17">
        <w:t>Muh</w:t>
      </w:r>
      <w:r>
        <w:t>ammadiyah</w:t>
      </w:r>
      <w:r w:rsidR="00FD0A17">
        <w:t xml:space="preserve">, </w:t>
      </w:r>
      <w:r>
        <w:t>NU</w:t>
      </w:r>
      <w:r w:rsidR="00FD0A17">
        <w:t xml:space="preserve"> and other local partners where required</w:t>
      </w:r>
      <w:r>
        <w:t xml:space="preserve">. DFAT will hold </w:t>
      </w:r>
      <w:r w:rsidR="005A222F">
        <w:t xml:space="preserve">grant agreement </w:t>
      </w:r>
      <w:r>
        <w:t xml:space="preserve">relationships with IFRC and </w:t>
      </w:r>
      <w:r w:rsidR="00DE7FEF">
        <w:t>OCHA</w:t>
      </w:r>
      <w:r>
        <w:t>. Annual plans with budgets will</w:t>
      </w:r>
      <w:r w:rsidR="001A2D17">
        <w:t xml:space="preserve"> be submitted </w:t>
      </w:r>
      <w:r w:rsidR="00FD0A17">
        <w:t xml:space="preserve">by the local partners </w:t>
      </w:r>
      <w:r w:rsidR="001A2D17">
        <w:t xml:space="preserve">to </w:t>
      </w:r>
      <w:r>
        <w:t>the MC</w:t>
      </w:r>
      <w:r w:rsidR="001A2D17">
        <w:t xml:space="preserve"> for review and approval</w:t>
      </w:r>
      <w:r>
        <w:t xml:space="preserve"> in conjunction with DFAT.</w:t>
      </w:r>
      <w:r w:rsidR="00FD0A17">
        <w:t xml:space="preserve"> For all DFAT managed contracts, the annual plan and budget will be submitted directly to DFAT.  </w:t>
      </w:r>
    </w:p>
    <w:p w14:paraId="4EB4F831" w14:textId="77777777" w:rsidR="0099476C" w:rsidRPr="0099476C" w:rsidRDefault="0099476C" w:rsidP="0099476C">
      <w:pPr>
        <w:pStyle w:val="Heading3"/>
      </w:pPr>
      <w:bookmarkStart w:id="38" w:name="_Toc525550776"/>
      <w:r w:rsidRPr="0099476C">
        <w:t>Appointment of a Contractor</w:t>
      </w:r>
      <w:bookmarkEnd w:id="38"/>
    </w:p>
    <w:p w14:paraId="0FA257BB" w14:textId="63CDDB03" w:rsidR="0099476C" w:rsidRPr="0099476C" w:rsidRDefault="0099476C" w:rsidP="0099476C">
      <w:r w:rsidRPr="0099476C">
        <w:t xml:space="preserve">A Contractor will be engaged through a competitive tender process to coordinate and support national and subnational activities and facilitate and manage partnerships and interventions under the Program. The Contractor will deliver the Program from a central program office in </w:t>
      </w:r>
      <w:r>
        <w:t>Jakarta</w:t>
      </w:r>
      <w:r w:rsidRPr="0099476C">
        <w:t xml:space="preserve">. The program team will be required to liaise with local government and </w:t>
      </w:r>
      <w:r>
        <w:t xml:space="preserve">other </w:t>
      </w:r>
      <w:r w:rsidRPr="0099476C">
        <w:t xml:space="preserve">partners in </w:t>
      </w:r>
      <w:r>
        <w:t xml:space="preserve">Jakarta and </w:t>
      </w:r>
      <w:r w:rsidRPr="0099476C">
        <w:t>the six program provinces.</w:t>
      </w:r>
    </w:p>
    <w:p w14:paraId="620C51EF" w14:textId="77777777" w:rsidR="0099476C" w:rsidRPr="0099476C" w:rsidRDefault="0099476C" w:rsidP="0099476C">
      <w:r w:rsidRPr="0099476C">
        <w:t xml:space="preserve">The Contractor’s main roles will include: </w:t>
      </w:r>
    </w:p>
    <w:p w14:paraId="7FD56822" w14:textId="33CE2DD7" w:rsidR="00364F26" w:rsidRPr="00364F26" w:rsidRDefault="00364F26" w:rsidP="00364F26">
      <w:pPr>
        <w:pStyle w:val="ListParagraph"/>
        <w:numPr>
          <w:ilvl w:val="0"/>
          <w:numId w:val="36"/>
        </w:numPr>
      </w:pPr>
      <w:r w:rsidRPr="00364F26">
        <w:t xml:space="preserve">Providing all day-to-day management, coordination, implementation and support resources necessary to deliver the Program effectively and efficiently in accordance with the strategic direction agreed to by the Steering Committee, and as set out in the Annual Plan and with the Terms and Conditions of </w:t>
      </w:r>
      <w:r>
        <w:t>the</w:t>
      </w:r>
      <w:r w:rsidRPr="00364F26">
        <w:t xml:space="preserve"> Contract; </w:t>
      </w:r>
    </w:p>
    <w:p w14:paraId="79449A99" w14:textId="1EC45679" w:rsidR="00364F26" w:rsidRDefault="00364F26" w:rsidP="00364F26">
      <w:pPr>
        <w:pStyle w:val="ListParagraph"/>
        <w:numPr>
          <w:ilvl w:val="0"/>
          <w:numId w:val="36"/>
        </w:numPr>
      </w:pPr>
      <w:r>
        <w:t xml:space="preserve">Establish and </w:t>
      </w:r>
      <w:r w:rsidR="00481B94">
        <w:t xml:space="preserve">maintain a </w:t>
      </w:r>
      <w:r>
        <w:t xml:space="preserve">Program Office (in Jakarta) and an </w:t>
      </w:r>
      <w:r w:rsidR="001D0A7A">
        <w:t xml:space="preserve">Management </w:t>
      </w:r>
      <w:r>
        <w:t xml:space="preserve">Support Office (in BNPB </w:t>
      </w:r>
      <w:r w:rsidR="001D0A7A">
        <w:t>premises</w:t>
      </w:r>
      <w:r>
        <w:t xml:space="preserve">) at national level </w:t>
      </w:r>
      <w:r w:rsidR="00481B94">
        <w:t xml:space="preserve">and BPBD advisor offices at provincial level (in BPBD offices) </w:t>
      </w:r>
      <w:r>
        <w:t xml:space="preserve">including ICT, the recruitment and commencement of any support personnel staff as well as the establishment of all systems required for effective implementation of the Program; </w:t>
      </w:r>
    </w:p>
    <w:p w14:paraId="0E060D25" w14:textId="77777777" w:rsidR="00364F26" w:rsidRDefault="00364F26" w:rsidP="00364F26">
      <w:pPr>
        <w:pStyle w:val="ListParagraph"/>
        <w:numPr>
          <w:ilvl w:val="0"/>
          <w:numId w:val="36"/>
        </w:numPr>
      </w:pPr>
      <w:r>
        <w:t>Deliver the agreed annual work plans and budget;</w:t>
      </w:r>
    </w:p>
    <w:p w14:paraId="0F6ACE64" w14:textId="1A38E0A5" w:rsidR="00364F26" w:rsidRDefault="00364F26" w:rsidP="00364F26">
      <w:pPr>
        <w:pStyle w:val="ListParagraph"/>
        <w:numPr>
          <w:ilvl w:val="0"/>
          <w:numId w:val="36"/>
        </w:numPr>
      </w:pPr>
      <w:r>
        <w:t>Support DFAT’s role in policy dialogue with the Government of Indonesia;</w:t>
      </w:r>
    </w:p>
    <w:p w14:paraId="799394EC" w14:textId="6197EF3E" w:rsidR="00364F26" w:rsidRDefault="00D219FC" w:rsidP="00364F26">
      <w:pPr>
        <w:pStyle w:val="ListParagraph"/>
        <w:numPr>
          <w:ilvl w:val="0"/>
          <w:numId w:val="36"/>
        </w:numPr>
      </w:pPr>
      <w:r>
        <w:t>Technical support, including c</w:t>
      </w:r>
      <w:r w:rsidR="00364F26">
        <w:t>onduct</w:t>
      </w:r>
      <w:r>
        <w:t>ing</w:t>
      </w:r>
      <w:r w:rsidR="00364F26">
        <w:t xml:space="preserve"> strategic and technical analysis and other advice to DFAT and the Steering Committee as required;</w:t>
      </w:r>
    </w:p>
    <w:p w14:paraId="0F7C9C36" w14:textId="3A7D7238" w:rsidR="00364F26" w:rsidRDefault="00364F26" w:rsidP="00364F26">
      <w:pPr>
        <w:pStyle w:val="ListParagraph"/>
        <w:numPr>
          <w:ilvl w:val="0"/>
          <w:numId w:val="36"/>
        </w:numPr>
      </w:pPr>
      <w:r>
        <w:t>Liaison with Government of Indonesia to deliver the Program in accordance with the requirements as agreed by DFAT. This may include supporting engagement between Government of Australia and Government of Indonesia;</w:t>
      </w:r>
    </w:p>
    <w:p w14:paraId="14525EED" w14:textId="54DCBA74" w:rsidR="00364F26" w:rsidRDefault="00364F26" w:rsidP="00364F26">
      <w:pPr>
        <w:pStyle w:val="ListParagraph"/>
        <w:numPr>
          <w:ilvl w:val="0"/>
          <w:numId w:val="36"/>
        </w:numPr>
      </w:pPr>
      <w:r>
        <w:t xml:space="preserve">Providing secretariat services to the Steering Committee and assist with organising Steering Committee and </w:t>
      </w:r>
      <w:r w:rsidR="00BB7D07">
        <w:t>other governance</w:t>
      </w:r>
      <w:r>
        <w:t xml:space="preserve"> meetings in collaboration with all relevant parties;</w:t>
      </w:r>
    </w:p>
    <w:p w14:paraId="53278DAE" w14:textId="6D3614C7" w:rsidR="0099476C" w:rsidRDefault="0099476C" w:rsidP="0099476C">
      <w:pPr>
        <w:pStyle w:val="ListParagraph"/>
        <w:numPr>
          <w:ilvl w:val="0"/>
          <w:numId w:val="36"/>
        </w:numPr>
      </w:pPr>
      <w:r>
        <w:t xml:space="preserve">Lead program wide planning, </w:t>
      </w:r>
      <w:r w:rsidR="00D9697B">
        <w:t>KPL</w:t>
      </w:r>
      <w:r w:rsidR="00364F26">
        <w:t xml:space="preserve">, </w:t>
      </w:r>
      <w:r>
        <w:t>GESI</w:t>
      </w:r>
      <w:r w:rsidR="00364F26">
        <w:t>, communications and reporting</w:t>
      </w:r>
      <w:r>
        <w:t>; and</w:t>
      </w:r>
    </w:p>
    <w:p w14:paraId="3757E3E1" w14:textId="77777777" w:rsidR="00364F26" w:rsidRPr="0099476C" w:rsidRDefault="00364F26" w:rsidP="00364F26">
      <w:pPr>
        <w:pStyle w:val="ListParagraph"/>
        <w:numPr>
          <w:ilvl w:val="0"/>
          <w:numId w:val="36"/>
        </w:numPr>
      </w:pPr>
      <w:r w:rsidRPr="0099476C">
        <w:t>Risk management, including in relation to safeguards, fraud, security, workplace health and safety, and program risks.</w:t>
      </w:r>
    </w:p>
    <w:p w14:paraId="669E0B67" w14:textId="77777777" w:rsidR="0099476C" w:rsidRPr="0099476C" w:rsidRDefault="0099476C" w:rsidP="0099476C">
      <w:pPr>
        <w:pStyle w:val="Heading3"/>
      </w:pPr>
      <w:bookmarkStart w:id="39" w:name="_Toc525550777"/>
      <w:r w:rsidRPr="0099476C">
        <w:t>Resourcing and Recruitment</w:t>
      </w:r>
      <w:bookmarkEnd w:id="39"/>
    </w:p>
    <w:p w14:paraId="58285691" w14:textId="024D8BC2" w:rsidR="0099476C" w:rsidRPr="0099476C" w:rsidRDefault="0099476C" w:rsidP="0099476C">
      <w:r w:rsidRPr="0099476C">
        <w:t xml:space="preserve">The Contractor will provide high quality program direction and leadership support to manage and implement the </w:t>
      </w:r>
      <w:r w:rsidR="00364F26">
        <w:t xml:space="preserve">AIP-DRM </w:t>
      </w:r>
      <w:r w:rsidRPr="0099476C">
        <w:t xml:space="preserve">program. The Contractor team will include personnel for the positions of Contractor Representative, Team Leader and Head of Operations and Finance as well as any additional proposed core management personnel and technical advisers (for DFAT approval) with appropriate technical, management and operation skills needed to maintain continuity and to deliver the program. The Team Leader will be contracted through a joint recruitment process with DFAT during the program </w:t>
      </w:r>
      <w:r w:rsidR="00364F26">
        <w:t xml:space="preserve">mobilisation </w:t>
      </w:r>
      <w:r w:rsidRPr="0099476C">
        <w:t xml:space="preserve">phase. Terms of Reference for the core management team will be finalised with DFAT during the </w:t>
      </w:r>
      <w:r w:rsidR="00364F26">
        <w:t>mobilisation</w:t>
      </w:r>
      <w:r w:rsidRPr="0099476C">
        <w:t xml:space="preserve"> phase. The core management team will liaise closely with DFAT throughout implementation to ensure the program remains responsive to Indonesian and Australian priorities and meets their information needs. </w:t>
      </w:r>
    </w:p>
    <w:p w14:paraId="1E8DE4F3" w14:textId="77777777" w:rsidR="0099476C" w:rsidRPr="0099476C" w:rsidRDefault="0099476C" w:rsidP="0099476C">
      <w:r w:rsidRPr="0099476C">
        <w:t xml:space="preserve">Employment conditions for international staff contracted as part of the core management team will align with the DFAT Adviser Remuneration Framework. Remuneration rates and employment conditions for national staff will be expected to be commensurate with existing norms, and align with other donor-funded programs in Indonesia and local employment and manpower legislation. </w:t>
      </w:r>
    </w:p>
    <w:p w14:paraId="23C00B9F" w14:textId="77777777" w:rsidR="0099476C" w:rsidRPr="0099476C" w:rsidRDefault="0099476C" w:rsidP="0099476C">
      <w:pPr>
        <w:pStyle w:val="Heading3"/>
      </w:pPr>
      <w:bookmarkStart w:id="40" w:name="_Toc525550778"/>
      <w:r w:rsidRPr="0099476C">
        <w:t>Communications and Reporting</w:t>
      </w:r>
      <w:bookmarkEnd w:id="40"/>
      <w:r w:rsidRPr="0099476C">
        <w:t xml:space="preserve"> </w:t>
      </w:r>
    </w:p>
    <w:p w14:paraId="198A8A10" w14:textId="76F426A4" w:rsidR="0099476C" w:rsidRPr="00AD42A3" w:rsidRDefault="0099476C" w:rsidP="0099476C">
      <w:r w:rsidRPr="0099476C">
        <w:t xml:space="preserve">The Contractor will work with DFAT to develop a </w:t>
      </w:r>
      <w:r w:rsidR="00412E88" w:rsidRPr="0099476C">
        <w:t xml:space="preserve">Communications </w:t>
      </w:r>
      <w:r w:rsidR="00412E88">
        <w:t xml:space="preserve">Strategy for </w:t>
      </w:r>
      <w:r w:rsidR="00364F26">
        <w:t xml:space="preserve">AIP-DRM </w:t>
      </w:r>
      <w:r w:rsidRPr="0099476C">
        <w:t xml:space="preserve">that supports the dissemination of information and learning from the Program to key stakeholders. The Communications Strategy will identify information needs for all key stakeholders, including </w:t>
      </w:r>
      <w:r w:rsidR="00364F26">
        <w:t>BNPB</w:t>
      </w:r>
      <w:r w:rsidRPr="0099476C">
        <w:t>, DFAT, government and non-government stakeholders, and the Australian and Indonesian public, and outline a range of mechanisms for sharing learning and other relevant information on</w:t>
      </w:r>
      <w:r w:rsidR="00364F26">
        <w:t xml:space="preserve"> DRM</w:t>
      </w:r>
      <w:r w:rsidRPr="0099476C">
        <w:t xml:space="preserve">. Qualitative data will be tailored to different audiences and purposes, such as policy briefs, case studies, and stories of change to ensure evidence from </w:t>
      </w:r>
      <w:r w:rsidR="00364F26">
        <w:t xml:space="preserve">AIP-DRM </w:t>
      </w:r>
      <w:r w:rsidRPr="0099476C">
        <w:t xml:space="preserve">supports broader analysis of the enabling environment and is relevant and meaningful to a range of different stakeholders. Quantitative data sourced from the </w:t>
      </w:r>
      <w:r w:rsidR="00D9697B">
        <w:t>KPLF</w:t>
      </w:r>
      <w:r w:rsidR="00D9697B" w:rsidRPr="00AD42A3">
        <w:t xml:space="preserve"> </w:t>
      </w:r>
      <w:r w:rsidRPr="00AD42A3">
        <w:t xml:space="preserve">(see </w:t>
      </w:r>
      <w:r w:rsidR="005C3CB1">
        <w:t>Annex 3</w:t>
      </w:r>
      <w:r w:rsidRPr="00AD42A3">
        <w:t xml:space="preserve">) will be collated into reports that provide DFAT and key program partners with a synopsis of headline results from the program. Selected stakeholders, including DFAT and </w:t>
      </w:r>
      <w:r w:rsidR="00364F26" w:rsidRPr="00AD42A3">
        <w:t>BNPB</w:t>
      </w:r>
      <w:r w:rsidRPr="00AD42A3">
        <w:t xml:space="preserve"> will have on-line access to the MIS so there is a common body of evidence to support management and policy dialogue.  </w:t>
      </w:r>
    </w:p>
    <w:p w14:paraId="34CF2A75" w14:textId="16CE151A" w:rsidR="00B46481" w:rsidRPr="00AD42A3" w:rsidRDefault="0099476C" w:rsidP="0099476C">
      <w:r w:rsidRPr="00AD42A3">
        <w:t xml:space="preserve">The reporting cycle for the Program (see </w:t>
      </w:r>
      <w:r w:rsidR="005C3CB1">
        <w:t>Annex 3</w:t>
      </w:r>
      <w:r w:rsidRPr="00AD42A3">
        <w:t xml:space="preserve">) will include a semi-annual progress report and implementation plans, with the content and structure to be determined by DFAT in consultation with the Contractor, and set out in the program operations manual and annual work plan. </w:t>
      </w:r>
    </w:p>
    <w:p w14:paraId="5AF23D3F" w14:textId="77777777" w:rsidR="00A877CF" w:rsidRPr="00AD42A3" w:rsidRDefault="00A877CF" w:rsidP="006E3D3D">
      <w:pPr>
        <w:pStyle w:val="Heading3"/>
      </w:pPr>
      <w:bookmarkStart w:id="41" w:name="_Toc514853178"/>
      <w:bookmarkStart w:id="42" w:name="_Toc525550779"/>
      <w:r w:rsidRPr="00AD42A3">
        <w:t>Procurement Arrangements</w:t>
      </w:r>
      <w:bookmarkEnd w:id="41"/>
      <w:bookmarkEnd w:id="42"/>
    </w:p>
    <w:p w14:paraId="6B718EA7" w14:textId="07AE9A91" w:rsidR="00417949" w:rsidRPr="00AD42A3" w:rsidRDefault="005E52D8" w:rsidP="00417949">
      <w:r w:rsidRPr="00AD42A3">
        <w:t xml:space="preserve">There are two modes of procurement for the investment: competitive tender for a Managing Contractor </w:t>
      </w:r>
      <w:r w:rsidR="0048560B" w:rsidRPr="00AD42A3">
        <w:t xml:space="preserve">(and sub-contractors when required) </w:t>
      </w:r>
      <w:r w:rsidRPr="00AD42A3">
        <w:t xml:space="preserve">and direct grants for UN, </w:t>
      </w:r>
      <w:r w:rsidR="00DD1697" w:rsidRPr="00AD42A3">
        <w:t xml:space="preserve">IFRC and national </w:t>
      </w:r>
      <w:r w:rsidRPr="00AD42A3">
        <w:t>NGO</w:t>
      </w:r>
      <w:r w:rsidR="00DD1697" w:rsidRPr="00AD42A3">
        <w:t xml:space="preserve">s. </w:t>
      </w:r>
      <w:r w:rsidRPr="00AD42A3">
        <w:t xml:space="preserve">Contractual and grant agreements will be as per DFAT </w:t>
      </w:r>
      <w:r w:rsidR="00417949" w:rsidRPr="00AD42A3">
        <w:t>templates, including provisions for financial management and auditing, and safeguards.</w:t>
      </w:r>
      <w:r w:rsidR="00DD1697" w:rsidRPr="00AD42A3">
        <w:t xml:space="preserve"> DFAT has undertaken due diligence assessments for </w:t>
      </w:r>
      <w:r w:rsidR="00DE7FEF" w:rsidRPr="00AD42A3">
        <w:t>OCHA</w:t>
      </w:r>
      <w:r w:rsidR="0049701E" w:rsidRPr="00AD42A3">
        <w:t xml:space="preserve">, </w:t>
      </w:r>
      <w:r w:rsidR="00DD1697" w:rsidRPr="00AD42A3">
        <w:t xml:space="preserve">NU, Muhammadiyah and IFRC. </w:t>
      </w:r>
      <w:r w:rsidR="0048560B" w:rsidRPr="00AD42A3">
        <w:t xml:space="preserve">MC, ARC or </w:t>
      </w:r>
      <w:r w:rsidR="00A851C3" w:rsidRPr="00AD42A3">
        <w:t>IFRC will manage funding to PMI.</w:t>
      </w:r>
      <w:r w:rsidR="00FF49C0" w:rsidRPr="00AD42A3">
        <w:t xml:space="preserve"> </w:t>
      </w:r>
      <w:r w:rsidR="00417949" w:rsidRPr="00AD42A3">
        <w:t xml:space="preserve">Budgets for each partner are estimates only. Where progress is assessed as slow or stalled, or an unexpected opportunity arises the MC can propose </w:t>
      </w:r>
      <w:r w:rsidR="0048621B">
        <w:t xml:space="preserve">to DFAT </w:t>
      </w:r>
      <w:r w:rsidR="00417949" w:rsidRPr="00AD42A3">
        <w:t xml:space="preserve">a reallocation of funds. This should generally be done through the annual plan process, however specific opportunities not envisaged in an annual plan could also be accommodated with DFAT approval. </w:t>
      </w:r>
    </w:p>
    <w:p w14:paraId="4012A20B" w14:textId="4B91CF88" w:rsidR="00837AA5" w:rsidRPr="00AD42A3" w:rsidRDefault="00D9697B" w:rsidP="00C61524">
      <w:pPr>
        <w:pStyle w:val="Heading3"/>
      </w:pPr>
      <w:bookmarkStart w:id="43" w:name="_Toc525550780"/>
      <w:r>
        <w:t>Knowledge, Performance and Learning Framework (KPLF)</w:t>
      </w:r>
      <w:bookmarkEnd w:id="43"/>
    </w:p>
    <w:p w14:paraId="7F66A49A" w14:textId="70008BC3" w:rsidR="00837AA5" w:rsidRDefault="00837AA5" w:rsidP="00323E78">
      <w:r w:rsidRPr="00AD42A3">
        <w:t xml:space="preserve">This section describes </w:t>
      </w:r>
      <w:bookmarkStart w:id="44" w:name="_Hlk512527674"/>
      <w:r w:rsidRPr="00AD42A3">
        <w:t xml:space="preserve">the </w:t>
      </w:r>
      <w:bookmarkStart w:id="45" w:name="_Hlk512532967"/>
      <w:r w:rsidR="00085A65" w:rsidRPr="00AD42A3">
        <w:t xml:space="preserve">AIP-DRM </w:t>
      </w:r>
      <w:r w:rsidR="00D9697B" w:rsidRPr="00D9697B">
        <w:t xml:space="preserve">Knowledge, Performance and Learning </w:t>
      </w:r>
      <w:r w:rsidR="00D9697B">
        <w:t xml:space="preserve">(KPL) </w:t>
      </w:r>
      <w:r w:rsidRPr="00AD42A3">
        <w:t xml:space="preserve">approach and framework </w:t>
      </w:r>
      <w:bookmarkEnd w:id="44"/>
      <w:bookmarkEnd w:id="45"/>
      <w:r w:rsidRPr="00AD42A3">
        <w:t>and covers the</w:t>
      </w:r>
      <w:r w:rsidR="00B55F51" w:rsidRPr="00AD42A3">
        <w:t xml:space="preserve"> </w:t>
      </w:r>
      <w:r w:rsidR="00D9697B">
        <w:t>KPL</w:t>
      </w:r>
      <w:r w:rsidR="00D9697B" w:rsidRPr="00AD42A3">
        <w:t xml:space="preserve"> </w:t>
      </w:r>
      <w:r w:rsidRPr="00AD42A3">
        <w:t>purpose and approach</w:t>
      </w:r>
      <w:r w:rsidR="00B55F51" w:rsidRPr="00AD42A3">
        <w:t xml:space="preserve">; and </w:t>
      </w:r>
      <w:bookmarkStart w:id="46" w:name="_Hlk513636194"/>
      <w:r w:rsidR="00B55F51" w:rsidRPr="00AD42A3">
        <w:t>m</w:t>
      </w:r>
      <w:r w:rsidRPr="00AD42A3">
        <w:t>ethods for measuring change</w:t>
      </w:r>
      <w:r w:rsidR="00B55F51" w:rsidRPr="00AD42A3">
        <w:t xml:space="preserve">. </w:t>
      </w:r>
      <w:bookmarkStart w:id="47" w:name="_Hlk513740001"/>
      <w:bookmarkEnd w:id="46"/>
      <w:r w:rsidR="00CE5D24" w:rsidRPr="00AD42A3">
        <w:t xml:space="preserve">Refer </w:t>
      </w:r>
      <w:r w:rsidR="005C3CB1">
        <w:t>Annex 3</w:t>
      </w:r>
      <w:r w:rsidR="00CE5D24" w:rsidRPr="00AD42A3">
        <w:t xml:space="preserve"> for further</w:t>
      </w:r>
      <w:r w:rsidR="00CE5D24">
        <w:t xml:space="preserve"> guidance on the </w:t>
      </w:r>
      <w:r w:rsidR="00D9697B">
        <w:t xml:space="preserve">KPL </w:t>
      </w:r>
      <w:r w:rsidR="00CE5D24">
        <w:t xml:space="preserve">approach, including </w:t>
      </w:r>
      <w:r w:rsidR="00A851C3">
        <w:t>Mid - Term Review and Final E</w:t>
      </w:r>
      <w:r w:rsidRPr="009C2A16">
        <w:t>valuation questions</w:t>
      </w:r>
      <w:r w:rsidR="00323E78">
        <w:t xml:space="preserve">, learning </w:t>
      </w:r>
      <w:r w:rsidRPr="009C2A16">
        <w:t>products and processes</w:t>
      </w:r>
      <w:r w:rsidR="00323E78">
        <w:t>, r</w:t>
      </w:r>
      <w:r w:rsidRPr="009C2A16">
        <w:t>eporting</w:t>
      </w:r>
      <w:r w:rsidR="00323E78">
        <w:t xml:space="preserve"> and </w:t>
      </w:r>
      <w:r w:rsidRPr="009C2A16">
        <w:t>MEL implementation arrangements and costs.</w:t>
      </w:r>
    </w:p>
    <w:bookmarkEnd w:id="47"/>
    <w:p w14:paraId="7DFB7E19" w14:textId="3AE704EC" w:rsidR="00837AA5" w:rsidRPr="004C77C9" w:rsidRDefault="00837AA5" w:rsidP="00837AA5">
      <w:pPr>
        <w:autoSpaceDE w:val="0"/>
        <w:autoSpaceDN w:val="0"/>
        <w:adjustRightInd w:val="0"/>
        <w:spacing w:after="0" w:line="240" w:lineRule="auto"/>
        <w:rPr>
          <w:rFonts w:ascii="Calibri" w:hAnsi="Calibri" w:cs="Calibri"/>
          <w:b/>
          <w:color w:val="000000"/>
          <w:szCs w:val="20"/>
        </w:rPr>
      </w:pPr>
      <w:r w:rsidRPr="004C77C9">
        <w:rPr>
          <w:rFonts w:ascii="Calibri" w:hAnsi="Calibri" w:cs="Calibri"/>
          <w:b/>
          <w:color w:val="000000"/>
          <w:szCs w:val="20"/>
        </w:rPr>
        <w:t xml:space="preserve">Purpose and approach of the </w:t>
      </w:r>
      <w:r w:rsidR="00D9697B">
        <w:rPr>
          <w:rFonts w:ascii="Calibri" w:hAnsi="Calibri" w:cs="Calibri"/>
          <w:b/>
          <w:color w:val="000000"/>
          <w:szCs w:val="20"/>
        </w:rPr>
        <w:t>KPL</w:t>
      </w:r>
      <w:r w:rsidR="00D9697B" w:rsidRPr="004C77C9">
        <w:rPr>
          <w:rFonts w:ascii="Calibri" w:hAnsi="Calibri" w:cs="Calibri"/>
          <w:b/>
          <w:color w:val="000000"/>
          <w:szCs w:val="20"/>
        </w:rPr>
        <w:t xml:space="preserve"> </w:t>
      </w:r>
      <w:r w:rsidRPr="004C77C9">
        <w:rPr>
          <w:rFonts w:ascii="Calibri" w:hAnsi="Calibri" w:cs="Calibri"/>
          <w:b/>
          <w:color w:val="000000"/>
          <w:szCs w:val="20"/>
        </w:rPr>
        <w:t xml:space="preserve">framework </w:t>
      </w:r>
    </w:p>
    <w:p w14:paraId="34218536" w14:textId="6C4C81E7" w:rsidR="00837AA5" w:rsidRDefault="00837AA5" w:rsidP="00837AA5">
      <w:pPr>
        <w:autoSpaceDE w:val="0"/>
        <w:autoSpaceDN w:val="0"/>
        <w:adjustRightInd w:val="0"/>
        <w:spacing w:after="40" w:line="240" w:lineRule="auto"/>
        <w:rPr>
          <w:rFonts w:ascii="Calibri Light" w:hAnsi="Calibri Light" w:cs="Calibri Light"/>
          <w:color w:val="000000"/>
        </w:rPr>
      </w:pPr>
      <w:bookmarkStart w:id="48" w:name="_Hlk512529579"/>
      <w:r w:rsidRPr="009D53C6">
        <w:rPr>
          <w:rFonts w:cstheme="minorHAnsi"/>
        </w:rPr>
        <w:t>T</w:t>
      </w:r>
      <w:r>
        <w:rPr>
          <w:rFonts w:cstheme="minorHAnsi"/>
        </w:rPr>
        <w:t>he</w:t>
      </w:r>
      <w:r w:rsidRPr="00EA741B">
        <w:rPr>
          <w:rFonts w:cstheme="minorHAnsi"/>
        </w:rPr>
        <w:t xml:space="preserve"> </w:t>
      </w:r>
      <w:bookmarkEnd w:id="48"/>
      <w:r w:rsidR="00085A65">
        <w:rPr>
          <w:rFonts w:cstheme="minorHAnsi"/>
        </w:rPr>
        <w:t xml:space="preserve">key objectives of the AIP-DRM </w:t>
      </w:r>
      <w:r w:rsidR="00D9697B">
        <w:rPr>
          <w:rFonts w:cstheme="minorHAnsi"/>
        </w:rPr>
        <w:t xml:space="preserve">KPLF </w:t>
      </w:r>
      <w:r w:rsidR="00085A65">
        <w:rPr>
          <w:rFonts w:cstheme="minorHAnsi"/>
        </w:rPr>
        <w:t>are</w:t>
      </w:r>
      <w:r w:rsidRPr="00483BE5">
        <w:rPr>
          <w:rFonts w:cstheme="minorHAnsi"/>
        </w:rPr>
        <w:t>:</w:t>
      </w:r>
      <w:r w:rsidRPr="00483BE5">
        <w:rPr>
          <w:rFonts w:ascii="Calibri Light" w:hAnsi="Calibri Light" w:cs="Calibri Light"/>
          <w:color w:val="000000"/>
        </w:rPr>
        <w:t xml:space="preserve"> </w:t>
      </w:r>
    </w:p>
    <w:p w14:paraId="05003379" w14:textId="77777777" w:rsidR="00837AA5" w:rsidRDefault="00837AA5" w:rsidP="00E50F22">
      <w:pPr>
        <w:pStyle w:val="ListParagraph"/>
        <w:numPr>
          <w:ilvl w:val="0"/>
          <w:numId w:val="13"/>
        </w:numPr>
      </w:pPr>
      <w:r>
        <w:t xml:space="preserve">To </w:t>
      </w:r>
      <w:r w:rsidRPr="00483BE5">
        <w:t xml:space="preserve">ensure accountability of </w:t>
      </w:r>
      <w:r>
        <w:t xml:space="preserve">the </w:t>
      </w:r>
      <w:r w:rsidRPr="00483BE5">
        <w:t>program</w:t>
      </w:r>
      <w:r>
        <w:t xml:space="preserve"> including Managing Contractor,</w:t>
      </w:r>
      <w:r w:rsidRPr="00483BE5">
        <w:t xml:space="preserve"> partners and DFAT</w:t>
      </w:r>
      <w:r>
        <w:t>.</w:t>
      </w:r>
    </w:p>
    <w:p w14:paraId="73C36E0A" w14:textId="1A5D6DB8" w:rsidR="00837AA5" w:rsidRDefault="00837AA5" w:rsidP="00E50F22">
      <w:pPr>
        <w:pStyle w:val="ListParagraph"/>
        <w:numPr>
          <w:ilvl w:val="0"/>
          <w:numId w:val="13"/>
        </w:numPr>
      </w:pPr>
      <w:r>
        <w:t>To support learning and decision making for program improvement</w:t>
      </w:r>
      <w:r w:rsidR="0048560B">
        <w:t>, including for duplication or scaling up of an approach or activity</w:t>
      </w:r>
      <w:r>
        <w:t>.</w:t>
      </w:r>
    </w:p>
    <w:p w14:paraId="2B61619B" w14:textId="12B1EF2A" w:rsidR="00837AA5" w:rsidRDefault="00837AA5" w:rsidP="00E50F22">
      <w:pPr>
        <w:pStyle w:val="ListParagraph"/>
        <w:numPr>
          <w:ilvl w:val="0"/>
          <w:numId w:val="13"/>
        </w:numPr>
      </w:pPr>
      <w:r>
        <w:t>To generate an evidence base to assess the program logic including change pathways and progress towards outcomes.</w:t>
      </w:r>
    </w:p>
    <w:p w14:paraId="3D058C5F" w14:textId="58293895" w:rsidR="0048560B" w:rsidRDefault="00837AA5" w:rsidP="00E50F22">
      <w:pPr>
        <w:pStyle w:val="ListParagraph"/>
        <w:numPr>
          <w:ilvl w:val="0"/>
          <w:numId w:val="13"/>
        </w:numPr>
      </w:pPr>
      <w:r w:rsidRPr="00483BE5">
        <w:t xml:space="preserve">To support management </w:t>
      </w:r>
      <w:r w:rsidRPr="00C35B46">
        <w:t>to undertake adaptive programming</w:t>
      </w:r>
      <w:r w:rsidR="0048560B">
        <w:t xml:space="preserve"> and to ensure sustainability of activities and approaches beyond program duration.</w:t>
      </w:r>
    </w:p>
    <w:p w14:paraId="23C2414A" w14:textId="721BF492" w:rsidR="00837AA5" w:rsidRDefault="0048560B" w:rsidP="00E50F22">
      <w:pPr>
        <w:pStyle w:val="ListParagraph"/>
        <w:numPr>
          <w:ilvl w:val="0"/>
          <w:numId w:val="13"/>
        </w:numPr>
      </w:pPr>
      <w:r>
        <w:t xml:space="preserve">To support </w:t>
      </w:r>
      <w:r w:rsidR="0048621B">
        <w:t xml:space="preserve">the </w:t>
      </w:r>
      <w:r>
        <w:t>communication strategy of the program</w:t>
      </w:r>
      <w:r w:rsidR="00837AA5">
        <w:t>.</w:t>
      </w:r>
    </w:p>
    <w:p w14:paraId="15782F65" w14:textId="45D67F33" w:rsidR="00BF58AF" w:rsidRPr="009C2A16" w:rsidRDefault="00BF58AF" w:rsidP="00E50F22">
      <w:pPr>
        <w:pStyle w:val="ListParagraph"/>
        <w:numPr>
          <w:ilvl w:val="0"/>
          <w:numId w:val="13"/>
        </w:numPr>
      </w:pPr>
      <w:r>
        <w:t xml:space="preserve">To support reporting towards the Australia Indonesia Aid Investment Plan and Performance Assessment Framework and other DFAT reporting requirements. </w:t>
      </w:r>
    </w:p>
    <w:p w14:paraId="7CB7C6FB" w14:textId="632E1EAE" w:rsidR="00837AA5" w:rsidRPr="009C2A16" w:rsidRDefault="00D9697B" w:rsidP="009C2A16">
      <w:r>
        <w:t xml:space="preserve">KPLF </w:t>
      </w:r>
      <w:r w:rsidR="00837AA5">
        <w:t xml:space="preserve">will support assessment of the investment’s performance and contribution towards bringing about the outcomes outlined in the program logic. It provides a framework to generate an evidence base to enable assessment of the program to deliver accountability and demonstrate results. The </w:t>
      </w:r>
      <w:r>
        <w:t xml:space="preserve">KPLF </w:t>
      </w:r>
      <w:r w:rsidR="00837AA5">
        <w:t xml:space="preserve">seeks to embed a </w:t>
      </w:r>
      <w:r w:rsidR="00837AA5" w:rsidRPr="00483BE5">
        <w:t>strong l</w:t>
      </w:r>
      <w:r w:rsidR="00837AA5">
        <w:t>earning culture within the Managing Contractor team throu</w:t>
      </w:r>
      <w:r w:rsidR="00ED5E6C">
        <w:t>gh regular reflection processes</w:t>
      </w:r>
      <w:r w:rsidR="00837AA5">
        <w:t xml:space="preserve"> and promote </w:t>
      </w:r>
      <w:r w:rsidR="00837AA5" w:rsidRPr="00483BE5">
        <w:t>prac</w:t>
      </w:r>
      <w:r w:rsidR="00837AA5">
        <w:t xml:space="preserve">tical utilisation of </w:t>
      </w:r>
      <w:r>
        <w:t xml:space="preserve">KPLF </w:t>
      </w:r>
      <w:r w:rsidR="00837AA5">
        <w:t xml:space="preserve">data for ongoing improvement by management in collaboration with government partners. It seeks to achieve an appropriate </w:t>
      </w:r>
      <w:r w:rsidR="00837AA5" w:rsidRPr="00C35B46">
        <w:t>balance between qu</w:t>
      </w:r>
      <w:r w:rsidR="009C2A16">
        <w:t xml:space="preserve">antitative and qualitative data </w:t>
      </w:r>
      <w:r w:rsidR="00837AA5">
        <w:t xml:space="preserve">and </w:t>
      </w:r>
      <w:r w:rsidR="00837AA5" w:rsidRPr="006C41E7">
        <w:t>refl</w:t>
      </w:r>
      <w:r w:rsidR="00837AA5">
        <w:t>ect relevant safeguard issues through the collection of</w:t>
      </w:r>
      <w:r w:rsidR="00837AA5" w:rsidRPr="006C41E7">
        <w:t xml:space="preserve"> sex</w:t>
      </w:r>
      <w:r w:rsidR="00BF58AF">
        <w:t xml:space="preserve">, age, disability </w:t>
      </w:r>
      <w:r w:rsidR="00837AA5">
        <w:t xml:space="preserve">and gender </w:t>
      </w:r>
      <w:r w:rsidR="00837AA5" w:rsidRPr="006C41E7">
        <w:t>disaggregated data</w:t>
      </w:r>
      <w:r w:rsidR="003C7598">
        <w:t xml:space="preserve"> </w:t>
      </w:r>
      <w:r w:rsidR="001E68C6">
        <w:t>and qualitative methods which assess</w:t>
      </w:r>
      <w:r w:rsidR="00AF1D49">
        <w:t xml:space="preserve"> the ways in which the program has ensured the participation of women and people with disability in project activities and project management and decision making</w:t>
      </w:r>
      <w:r w:rsidR="0048621B">
        <w:t>.</w:t>
      </w:r>
      <w:r w:rsidR="00AF1D49">
        <w:t xml:space="preserve"> </w:t>
      </w:r>
      <w:r w:rsidR="00837AA5">
        <w:t xml:space="preserve">The </w:t>
      </w:r>
      <w:r>
        <w:t xml:space="preserve">KPLF </w:t>
      </w:r>
      <w:r w:rsidR="00837AA5">
        <w:t xml:space="preserve">uses and builds on the </w:t>
      </w:r>
      <w:r>
        <w:t xml:space="preserve">KPL </w:t>
      </w:r>
      <w:r w:rsidR="00837AA5">
        <w:t xml:space="preserve">systems and indicators used by DFAT’s previous DRM sector projects in Indonesia. </w:t>
      </w:r>
    </w:p>
    <w:p w14:paraId="50CCC32A" w14:textId="0D0CE7C7" w:rsidR="00837AA5" w:rsidRPr="00527674" w:rsidRDefault="00837AA5" w:rsidP="00527674">
      <w:r>
        <w:t xml:space="preserve">As outlined in </w:t>
      </w:r>
      <w:r w:rsidR="009C2A16">
        <w:t>the</w:t>
      </w:r>
      <w:r>
        <w:t xml:space="preserve"> Program Logic, the investment will use an adaptive programming approach, rather </w:t>
      </w:r>
      <w:r w:rsidRPr="005B46E5">
        <w:t xml:space="preserve">than </w:t>
      </w:r>
      <w:r>
        <w:t xml:space="preserve">rigidly </w:t>
      </w:r>
      <w:r w:rsidRPr="005B46E5">
        <w:t>implementing a set of pre-determined activities</w:t>
      </w:r>
      <w:r>
        <w:t xml:space="preserve">. Adaptive programming means that </w:t>
      </w:r>
      <w:r w:rsidRPr="00073D4F">
        <w:t>activities and outputs will change over the life of the program.</w:t>
      </w:r>
      <w:r>
        <w:t xml:space="preserve"> The program logic and </w:t>
      </w:r>
      <w:r w:rsidR="00D9697B">
        <w:t xml:space="preserve">KPLF </w:t>
      </w:r>
      <w:r>
        <w:t>therefore does not provide a set of detailed outcomes, targets and indicators for each program component. It is expected that these are developed and adapted iteratively based on review and learning</w:t>
      </w:r>
      <w:r w:rsidR="0048560B">
        <w:t xml:space="preserve"> and also local context</w:t>
      </w:r>
      <w:r>
        <w:t>. The program however establishes bedrock outcomes at the immediate, intermediate, and end of program outcome level,</w:t>
      </w:r>
      <w:r w:rsidRPr="000833E0">
        <w:t xml:space="preserve"> which keep the program goalposts in place.</w:t>
      </w:r>
      <w:r>
        <w:t xml:space="preserve"> In alignment with an adaptive program approach, this investment includes some less traditional </w:t>
      </w:r>
      <w:r w:rsidR="00D9697B">
        <w:t xml:space="preserve">KPL </w:t>
      </w:r>
      <w:r>
        <w:t xml:space="preserve">approaches which builds evaluative thinking and reflection into monitoring processes. </w:t>
      </w:r>
    </w:p>
    <w:p w14:paraId="611CC9D0" w14:textId="4324702B" w:rsidR="00837AA5" w:rsidRPr="00527674" w:rsidRDefault="00837AA5" w:rsidP="00527674">
      <w:r>
        <w:t xml:space="preserve">A large component of this investment seeks to support the implementation of </w:t>
      </w:r>
      <w:r w:rsidR="0094476B">
        <w:t>GoI</w:t>
      </w:r>
      <w:r>
        <w:t xml:space="preserve"> policies, programs and plans</w:t>
      </w:r>
      <w:r>
        <w:rPr>
          <w:rStyle w:val="FootnoteReference"/>
          <w:rFonts w:cstheme="minorHAnsi"/>
          <w:sz w:val="22"/>
        </w:rPr>
        <w:footnoteReference w:id="37"/>
      </w:r>
      <w:r>
        <w:t>, rather than deliver a discrete set of program</w:t>
      </w:r>
      <w:r w:rsidRPr="001D2548">
        <w:t xml:space="preserve"> </w:t>
      </w:r>
      <w:r>
        <w:t xml:space="preserve">interventions. This makes for a complex programming context, in which a range of outcomes are not strongly within the program’s </w:t>
      </w:r>
      <w:r w:rsidR="00527674">
        <w:t>control</w:t>
      </w:r>
      <w:r>
        <w:t xml:space="preserve"> and are dependent on external factors including the </w:t>
      </w:r>
      <w:r w:rsidR="00294369">
        <w:t xml:space="preserve">Indonesian </w:t>
      </w:r>
      <w:r w:rsidRPr="0074074B">
        <w:t xml:space="preserve">government’s </w:t>
      </w:r>
      <w:r w:rsidR="00527674">
        <w:t xml:space="preserve">appetite for, </w:t>
      </w:r>
      <w:r w:rsidRPr="0074074B">
        <w:t>c</w:t>
      </w:r>
      <w:r>
        <w:t>ommitment and ability to strengthen capacity and coordination, and progress its own policies and plans. In these program areas,</w:t>
      </w:r>
      <w:r w:rsidRPr="00EA078E">
        <w:t xml:space="preserve"> </w:t>
      </w:r>
      <w:r>
        <w:t xml:space="preserve">program performance is therefore not necessarily synonymous with the scale and depth of outcomes achieved. There is however, critical need for the investment to program around these factors and others political drivers. To accommodate this, the </w:t>
      </w:r>
      <w:r w:rsidR="00D9697B">
        <w:t xml:space="preserve">KPLF </w:t>
      </w:r>
      <w:r>
        <w:t>includes a set of performance criteria which relate to the quality of program delivery by the Managing Contractor and other implementing partners. As more detailed program outcomes and targets will not be set across the program until after the program’s commencement, the criteria provide a set of performance markers to ensure that the program is performing well, in addition and complementarity to, the assessment of program outcomes.</w:t>
      </w:r>
    </w:p>
    <w:p w14:paraId="28772A8C" w14:textId="07D203BC" w:rsidR="00837AA5" w:rsidRDefault="00837AA5" w:rsidP="00527674">
      <w:bookmarkStart w:id="49" w:name="_Hlk513891503"/>
      <w:r>
        <w:t xml:space="preserve">The program’s Results and Performance </w:t>
      </w:r>
      <w:r w:rsidR="00EE2AAA">
        <w:t xml:space="preserve">Framework is included in </w:t>
      </w:r>
      <w:r w:rsidR="005C3CB1">
        <w:t>Annex 3</w:t>
      </w:r>
      <w:r w:rsidRPr="003144BF">
        <w:t>.</w:t>
      </w:r>
      <w:r>
        <w:t xml:space="preserve"> It has been designed to support assessment of the longer-term outcomes outlined in the program logic. The framework contains three components:</w:t>
      </w:r>
    </w:p>
    <w:p w14:paraId="7EA80B9B" w14:textId="77777777" w:rsidR="00837AA5" w:rsidRDefault="00837AA5" w:rsidP="00837AA5">
      <w:pPr>
        <w:pStyle w:val="Default"/>
        <w:rPr>
          <w:rFonts w:asciiTheme="minorHAnsi" w:hAnsiTheme="minorHAnsi" w:cstheme="minorHAnsi"/>
          <w:sz w:val="22"/>
          <w:szCs w:val="22"/>
        </w:rPr>
      </w:pPr>
    </w:p>
    <w:p w14:paraId="0FD235D8" w14:textId="77777777" w:rsidR="00837AA5" w:rsidRPr="00527674" w:rsidRDefault="00837AA5" w:rsidP="00E50F22">
      <w:pPr>
        <w:pStyle w:val="Default"/>
        <w:numPr>
          <w:ilvl w:val="0"/>
          <w:numId w:val="10"/>
        </w:numPr>
        <w:rPr>
          <w:rFonts w:asciiTheme="minorHAnsi" w:hAnsiTheme="minorHAnsi" w:cstheme="minorHAnsi"/>
          <w:b/>
          <w:i/>
          <w:sz w:val="20"/>
          <w:szCs w:val="20"/>
        </w:rPr>
      </w:pPr>
      <w:r w:rsidRPr="00527674">
        <w:rPr>
          <w:rFonts w:asciiTheme="minorHAnsi" w:hAnsiTheme="minorHAnsi" w:cstheme="minorHAnsi"/>
          <w:b/>
          <w:i/>
          <w:sz w:val="20"/>
          <w:szCs w:val="20"/>
        </w:rPr>
        <w:t>Success criteria - what success looks like</w:t>
      </w:r>
    </w:p>
    <w:p w14:paraId="0E684EC0" w14:textId="0BDE7E06" w:rsidR="00837AA5" w:rsidRDefault="00837AA5" w:rsidP="00527674">
      <w:r>
        <w:t xml:space="preserve">The framework features a set of criteria for each outcome which indicates what success is expected to look like at the end of the program. The Managing Contractor and other contracted partners </w:t>
      </w:r>
      <w:r w:rsidR="0048560B">
        <w:t xml:space="preserve">(including the sub-contractors) </w:t>
      </w:r>
      <w:r>
        <w:t>are expected to design and deliver interventions to bring about these successes. These success criteria will be used in the</w:t>
      </w:r>
      <w:r w:rsidR="0048560B">
        <w:t xml:space="preserve"> mid-term review and Final E</w:t>
      </w:r>
      <w:r>
        <w:t xml:space="preserve">valuation which will assess the extent to which outcomes have been successfully achieved. </w:t>
      </w:r>
    </w:p>
    <w:p w14:paraId="52A1E6D4" w14:textId="77777777" w:rsidR="00837AA5" w:rsidRDefault="00837AA5" w:rsidP="00837AA5">
      <w:pPr>
        <w:pStyle w:val="Default"/>
        <w:rPr>
          <w:rFonts w:asciiTheme="minorHAnsi" w:hAnsiTheme="minorHAnsi" w:cstheme="minorHAnsi"/>
          <w:sz w:val="22"/>
          <w:szCs w:val="22"/>
        </w:rPr>
      </w:pPr>
    </w:p>
    <w:p w14:paraId="28212D02" w14:textId="77777777" w:rsidR="00837AA5" w:rsidRPr="00527674" w:rsidRDefault="00837AA5" w:rsidP="00E50F22">
      <w:pPr>
        <w:pStyle w:val="Default"/>
        <w:numPr>
          <w:ilvl w:val="0"/>
          <w:numId w:val="10"/>
        </w:numPr>
        <w:rPr>
          <w:rFonts w:asciiTheme="minorHAnsi" w:hAnsiTheme="minorHAnsi" w:cstheme="minorHAnsi"/>
          <w:b/>
          <w:i/>
          <w:sz w:val="20"/>
          <w:szCs w:val="20"/>
        </w:rPr>
      </w:pPr>
      <w:r w:rsidRPr="00527674">
        <w:rPr>
          <w:rFonts w:asciiTheme="minorHAnsi" w:hAnsiTheme="minorHAnsi" w:cstheme="minorHAnsi"/>
          <w:b/>
          <w:i/>
          <w:sz w:val="20"/>
          <w:szCs w:val="20"/>
        </w:rPr>
        <w:t>Performance criteria – what good performance looks like</w:t>
      </w:r>
    </w:p>
    <w:p w14:paraId="1BC85EF9" w14:textId="4C5D6BD9" w:rsidR="00837AA5" w:rsidRPr="001429FB" w:rsidRDefault="00837AA5" w:rsidP="00527674">
      <w:r w:rsidRPr="00735C9B">
        <w:t xml:space="preserve">Performance criteria apply to </w:t>
      </w:r>
      <w:r>
        <w:t>the Managing Contractor and other organisations contracted to implement program activities. They outline the core ways in which they must work with stakeholders and design and deliver activities in order to activat</w:t>
      </w:r>
      <w:r w:rsidR="00527674">
        <w:t>e the success criteria</w:t>
      </w:r>
      <w:r>
        <w:t xml:space="preserve"> and provide a guide to support partners when designing activities. These criteria will be used by DFAT and the Managing Contractor to monitor partner performance. They will also inform the assessment of effectiveness during the Mid-Term Review and Final Evaluation.</w:t>
      </w:r>
    </w:p>
    <w:p w14:paraId="70F0479A" w14:textId="77777777" w:rsidR="00837AA5" w:rsidRDefault="00837AA5" w:rsidP="00837AA5">
      <w:pPr>
        <w:pStyle w:val="Default"/>
        <w:rPr>
          <w:rFonts w:asciiTheme="minorHAnsi" w:hAnsiTheme="minorHAnsi" w:cstheme="minorHAnsi"/>
          <w:b/>
          <w:i/>
          <w:sz w:val="22"/>
          <w:szCs w:val="22"/>
        </w:rPr>
      </w:pPr>
    </w:p>
    <w:p w14:paraId="4CF7D448" w14:textId="77777777" w:rsidR="00837AA5" w:rsidRPr="00527674" w:rsidRDefault="00837AA5" w:rsidP="00E50F22">
      <w:pPr>
        <w:pStyle w:val="Default"/>
        <w:numPr>
          <w:ilvl w:val="0"/>
          <w:numId w:val="10"/>
        </w:numPr>
        <w:rPr>
          <w:rFonts w:asciiTheme="minorHAnsi" w:hAnsiTheme="minorHAnsi" w:cstheme="minorHAnsi"/>
          <w:b/>
          <w:i/>
          <w:sz w:val="20"/>
          <w:szCs w:val="20"/>
        </w:rPr>
      </w:pPr>
      <w:r w:rsidRPr="00527674">
        <w:rPr>
          <w:rFonts w:asciiTheme="minorHAnsi" w:hAnsiTheme="minorHAnsi" w:cstheme="minorHAnsi"/>
          <w:b/>
          <w:i/>
          <w:sz w:val="20"/>
          <w:szCs w:val="20"/>
        </w:rPr>
        <w:t>Indicators to measure success</w:t>
      </w:r>
    </w:p>
    <w:p w14:paraId="09AF954F" w14:textId="1F2E406A" w:rsidR="00837AA5" w:rsidRPr="004C77C9" w:rsidRDefault="00837AA5" w:rsidP="004C77C9">
      <w:r w:rsidRPr="00C33484">
        <w:t xml:space="preserve">The framework </w:t>
      </w:r>
      <w:r>
        <w:t>outlines a set of indicators related to the achievement of outcomes and associated success criteria. This includes a combination of quantitative and qualitative indicators and includes relevant PAF indicators which must be reported against. F</w:t>
      </w:r>
      <w:r w:rsidR="005C1195">
        <w:t>or Outcomes 1, 2 and 4</w:t>
      </w:r>
      <w:r>
        <w:t xml:space="preserve">, it is expected that the Managing Contractor and contracted UN and NGO partners develop more detailed </w:t>
      </w:r>
      <w:r w:rsidR="00D9697B">
        <w:t>KPL Framework</w:t>
      </w:r>
      <w:r>
        <w:t xml:space="preserve"> which integrate and further detail the indicators provided in the </w:t>
      </w:r>
      <w:r w:rsidR="00D9697B">
        <w:t xml:space="preserve">KPLF </w:t>
      </w:r>
      <w:r>
        <w:t xml:space="preserve">in line with their specific project strategies / activities and timeframes. For </w:t>
      </w:r>
      <w:r w:rsidR="0048560B">
        <w:t xml:space="preserve">all </w:t>
      </w:r>
      <w:r w:rsidR="005C1195">
        <w:t>Outcomes</w:t>
      </w:r>
      <w:r>
        <w:t>, these indicators can be used and refined at the end of the first year in consultation with partners after additional research, consultation and strategy development are undertaken.</w:t>
      </w:r>
      <w:bookmarkEnd w:id="49"/>
    </w:p>
    <w:p w14:paraId="637BE64B" w14:textId="77777777" w:rsidR="00CE5D24" w:rsidRPr="004C77C9" w:rsidRDefault="00CE5D24" w:rsidP="00CE5D24">
      <w:pPr>
        <w:autoSpaceDE w:val="0"/>
        <w:autoSpaceDN w:val="0"/>
        <w:adjustRightInd w:val="0"/>
        <w:spacing w:after="0" w:line="240" w:lineRule="auto"/>
        <w:rPr>
          <w:rFonts w:ascii="Calibri" w:hAnsi="Calibri" w:cs="Calibri"/>
          <w:b/>
          <w:color w:val="000000"/>
          <w:szCs w:val="20"/>
        </w:rPr>
      </w:pPr>
      <w:r w:rsidRPr="004C77C9">
        <w:rPr>
          <w:rFonts w:ascii="Calibri" w:hAnsi="Calibri" w:cs="Calibri"/>
          <w:b/>
          <w:color w:val="000000"/>
          <w:szCs w:val="20"/>
        </w:rPr>
        <w:t>Methods for measuring change</w:t>
      </w:r>
    </w:p>
    <w:p w14:paraId="3A257F3A" w14:textId="1FB39377" w:rsidR="00CE5D24" w:rsidRPr="005535FC" w:rsidRDefault="00CE5D24" w:rsidP="00CE5D24">
      <w:r w:rsidRPr="00594A3A">
        <w:t xml:space="preserve">A diverse array of methods and tools will need to be developed to collect the data necessary to </w:t>
      </w:r>
      <w:r>
        <w:t xml:space="preserve">monitor progress and assess and report on progress toward outcomes at different stages of the program. </w:t>
      </w:r>
      <w:r w:rsidRPr="00594A3A">
        <w:t>These will be progressively assembled depending on the information needs of each activity</w:t>
      </w:r>
      <w:r>
        <w:t xml:space="preserve"> developed by the Managing Contractor in the first 12 months of the program, and by other contracted partners through proposal submission at the beginning of the program</w:t>
      </w:r>
      <w:r w:rsidRPr="00594A3A">
        <w:t xml:space="preserve">. Tools will be designed to capture </w:t>
      </w:r>
      <w:r>
        <w:t>data disaggregated by sex, disability</w:t>
      </w:r>
      <w:r w:rsidRPr="00594A3A">
        <w:t xml:space="preserve"> and other factors</w:t>
      </w:r>
      <w:r>
        <w:t xml:space="preserve"> as relevant. </w:t>
      </w:r>
    </w:p>
    <w:p w14:paraId="065D3AD0" w14:textId="335C57F3" w:rsidR="00A877CF" w:rsidRPr="0072601F" w:rsidRDefault="00A877CF" w:rsidP="00C61524">
      <w:pPr>
        <w:pStyle w:val="Heading3"/>
      </w:pPr>
      <w:bookmarkStart w:id="50" w:name="_Toc525550781"/>
      <w:r w:rsidRPr="00842D47">
        <w:t>Sustainability</w:t>
      </w:r>
      <w:bookmarkEnd w:id="50"/>
    </w:p>
    <w:p w14:paraId="091204B1" w14:textId="4ED3109F" w:rsidR="00C73080" w:rsidRDefault="00256ED9" w:rsidP="00842D47">
      <w:r>
        <w:t xml:space="preserve">The investment is designed to support implementation of </w:t>
      </w:r>
      <w:r w:rsidR="0094476B">
        <w:t>GoI</w:t>
      </w:r>
      <w:r>
        <w:t xml:space="preserve"> policies and plans for disaster risk management and decentralisation. </w:t>
      </w:r>
      <w:r w:rsidR="00536EF7">
        <w:t xml:space="preserve">Technical assistance will be provided within the context of capacity building strategies, to avoid the risk of capacity substitution. </w:t>
      </w:r>
      <w:r w:rsidR="009647A6">
        <w:t>The program will use a range of adaptive programming techniques to ensure support is based on actual chang</w:t>
      </w:r>
      <w:r w:rsidR="00434EAD">
        <w:t>e processes in each institution</w:t>
      </w:r>
      <w:r w:rsidR="009647A6">
        <w:t xml:space="preserve"> </w:t>
      </w:r>
      <w:r w:rsidR="0093379B">
        <w:t>and builds</w:t>
      </w:r>
      <w:r w:rsidR="009647A6">
        <w:t xml:space="preserve"> on</w:t>
      </w:r>
      <w:r w:rsidR="0093379B">
        <w:t xml:space="preserve"> existing</w:t>
      </w:r>
      <w:r w:rsidR="009647A6">
        <w:t xml:space="preserve"> strengths and approaches rather than imposing external frameworks</w:t>
      </w:r>
      <w:r w:rsidR="0093379B">
        <w:t xml:space="preserve"> that will not be sustained beyond the program</w:t>
      </w:r>
      <w:r w:rsidR="009647A6">
        <w:t xml:space="preserve">. Most of the change will be incremental, however the program will also </w:t>
      </w:r>
      <w:r w:rsidR="0093379B">
        <w:t xml:space="preserve">be cognisant of opportunities to accelerate change that can come about, for example following a disaster, or with a change in leadership. </w:t>
      </w:r>
      <w:r w:rsidR="00C73080">
        <w:t>Specific actions to support sustainability include:</w:t>
      </w:r>
    </w:p>
    <w:p w14:paraId="3E1ACE84" w14:textId="7C64629D" w:rsidR="00C73080" w:rsidRDefault="00434EAD" w:rsidP="00E50F22">
      <w:pPr>
        <w:pStyle w:val="ListParagraph"/>
        <w:numPr>
          <w:ilvl w:val="0"/>
          <w:numId w:val="18"/>
        </w:numPr>
      </w:pPr>
      <w:r>
        <w:t>Use of Strategy T</w:t>
      </w:r>
      <w:r w:rsidR="00C73080">
        <w:t xml:space="preserve">esting </w:t>
      </w:r>
      <w:r w:rsidR="00842D47">
        <w:t>to inform institutional strengthening with BNPB to identify</w:t>
      </w:r>
      <w:r w:rsidR="00C73080">
        <w:t>, test</w:t>
      </w:r>
      <w:r w:rsidR="00842D47">
        <w:t xml:space="preserve"> and pursue reforms which have ownership and are likely to be sustained within BNPB</w:t>
      </w:r>
      <w:r w:rsidR="00C73080">
        <w:t xml:space="preserve">; </w:t>
      </w:r>
    </w:p>
    <w:p w14:paraId="0B6A6678" w14:textId="68C383CE" w:rsidR="009B7130" w:rsidRDefault="009B7130" w:rsidP="00E50F22">
      <w:pPr>
        <w:pStyle w:val="ListParagraph"/>
        <w:numPr>
          <w:ilvl w:val="0"/>
          <w:numId w:val="18"/>
        </w:numPr>
      </w:pPr>
      <w:r>
        <w:t>A</w:t>
      </w:r>
      <w:r w:rsidR="00434EAD">
        <w:t>fter-Action R</w:t>
      </w:r>
      <w:r w:rsidR="00842D47">
        <w:t xml:space="preserve">eviews </w:t>
      </w:r>
      <w:r>
        <w:t xml:space="preserve">to capture </w:t>
      </w:r>
      <w:r w:rsidR="0071054E">
        <w:t>best practices and lessons learned to be replicated in other locations</w:t>
      </w:r>
    </w:p>
    <w:p w14:paraId="158211BA" w14:textId="29653CF0" w:rsidR="009B7130" w:rsidRDefault="009B7130" w:rsidP="00E50F22">
      <w:pPr>
        <w:pStyle w:val="ListParagraph"/>
        <w:numPr>
          <w:ilvl w:val="0"/>
          <w:numId w:val="18"/>
        </w:numPr>
      </w:pPr>
      <w:r>
        <w:t>Flexible programming to respond to opportunities and scale back where progress is not being made</w:t>
      </w:r>
    </w:p>
    <w:p w14:paraId="2BDF7DDC" w14:textId="672065E4" w:rsidR="006E6DA5" w:rsidRDefault="006E6DA5" w:rsidP="00E50F22">
      <w:pPr>
        <w:pStyle w:val="ListParagraph"/>
        <w:numPr>
          <w:ilvl w:val="0"/>
          <w:numId w:val="18"/>
        </w:numPr>
      </w:pPr>
      <w:r>
        <w:t xml:space="preserve">Program alignment and contribution to </w:t>
      </w:r>
      <w:r w:rsidR="0094476B">
        <w:t>GoI</w:t>
      </w:r>
      <w:r>
        <w:t xml:space="preserve"> RPJM and BNPB strategic plan</w:t>
      </w:r>
      <w:r w:rsidR="0071054E">
        <w:t>. This will also ensure cost sharing from GOI to fund some of the activities.</w:t>
      </w:r>
    </w:p>
    <w:p w14:paraId="4424310D" w14:textId="2FA46E8C" w:rsidR="009B7130" w:rsidRDefault="006E6DA5" w:rsidP="00E50F22">
      <w:pPr>
        <w:pStyle w:val="ListParagraph"/>
        <w:numPr>
          <w:ilvl w:val="0"/>
          <w:numId w:val="18"/>
        </w:numPr>
      </w:pPr>
      <w:r>
        <w:t>C</w:t>
      </w:r>
      <w:r w:rsidR="00536EF7">
        <w:t xml:space="preserve">apacity building model at subnational level to support </w:t>
      </w:r>
      <w:r w:rsidR="0094476B">
        <w:t>GoI</w:t>
      </w:r>
      <w:r w:rsidR="00536EF7">
        <w:t xml:space="preserve"> in the ongoing implementation of </w:t>
      </w:r>
      <w:r w:rsidR="0071054E">
        <w:t>MSS</w:t>
      </w:r>
      <w:r w:rsidR="00536EF7">
        <w:t xml:space="preserve"> drawing on existing expertise from BNPB</w:t>
      </w:r>
      <w:r w:rsidR="008156ED">
        <w:t xml:space="preserve"> (including posting junior staff with TA); </w:t>
      </w:r>
      <w:r w:rsidR="00536EF7">
        <w:t xml:space="preserve">and budget allocations by district and province authorities. </w:t>
      </w:r>
      <w:r w:rsidR="00223062">
        <w:t xml:space="preserve">Increasing levels of budget allocation are a key issue for long term sustainability. </w:t>
      </w:r>
    </w:p>
    <w:p w14:paraId="16BFAB98" w14:textId="4B82A049" w:rsidR="00223062" w:rsidRDefault="00E01F75" w:rsidP="00E50F22">
      <w:pPr>
        <w:pStyle w:val="ListParagraph"/>
        <w:numPr>
          <w:ilvl w:val="0"/>
          <w:numId w:val="18"/>
        </w:numPr>
      </w:pPr>
      <w:r>
        <w:t>M</w:t>
      </w:r>
      <w:r w:rsidR="00223062">
        <w:t>ajority of technical advisers at national level and all advisers at sub-national level will be Indonesians, familiar with informal rules, and an understanding of how to influence for reform</w:t>
      </w:r>
      <w:r w:rsidR="0071054E">
        <w:t xml:space="preserve"> considering local context</w:t>
      </w:r>
      <w:r w:rsidR="00223062">
        <w:t>.</w:t>
      </w:r>
    </w:p>
    <w:p w14:paraId="1172A08D" w14:textId="6E7C86CA" w:rsidR="00536EF7" w:rsidRDefault="00223062" w:rsidP="00E50F22">
      <w:pPr>
        <w:pStyle w:val="ListParagraph"/>
        <w:numPr>
          <w:ilvl w:val="0"/>
          <w:numId w:val="18"/>
        </w:numPr>
      </w:pPr>
      <w:r>
        <w:t>A</w:t>
      </w:r>
      <w:r w:rsidR="009B7130">
        <w:t>ssessing the Resilient V</w:t>
      </w:r>
      <w:r w:rsidR="00536EF7">
        <w:t>illage models to identify where and how support to resilient villages has been sustained af</w:t>
      </w:r>
      <w:r w:rsidR="009C6488">
        <w:t>t</w:t>
      </w:r>
      <w:r w:rsidR="0003386B">
        <w:t xml:space="preserve">er NGO or government withdraws </w:t>
      </w:r>
      <w:r w:rsidR="009B7130">
        <w:t xml:space="preserve">and using this </w:t>
      </w:r>
      <w:r w:rsidR="00536EF7">
        <w:t xml:space="preserve">learning </w:t>
      </w:r>
      <w:r w:rsidR="009B7130">
        <w:t xml:space="preserve">to promote sustainable </w:t>
      </w:r>
      <w:r w:rsidR="00536EF7">
        <w:t xml:space="preserve">CBDRM.  </w:t>
      </w:r>
    </w:p>
    <w:p w14:paraId="4EF7E64D" w14:textId="6061C467" w:rsidR="009B7130" w:rsidRDefault="009B7130" w:rsidP="00E50F22">
      <w:pPr>
        <w:pStyle w:val="ListParagraph"/>
        <w:numPr>
          <w:ilvl w:val="0"/>
          <w:numId w:val="18"/>
        </w:numPr>
      </w:pPr>
      <w:r>
        <w:t>Flexibility to support BNPB to embed Australian assisted science products, if needed. Currently BNPB is confident that they will continue to use and maintain these products.</w:t>
      </w:r>
    </w:p>
    <w:p w14:paraId="18E5EEC1" w14:textId="5231BC3D" w:rsidR="00223062" w:rsidRDefault="008156ED" w:rsidP="00E50F22">
      <w:pPr>
        <w:pStyle w:val="ListParagraph"/>
        <w:numPr>
          <w:ilvl w:val="0"/>
          <w:numId w:val="18"/>
        </w:numPr>
      </w:pPr>
      <w:r>
        <w:t>Supporting well established, locally resourced civil society organisations – PMI, NU</w:t>
      </w:r>
      <w:r w:rsidR="0071054E">
        <w:t xml:space="preserve">, </w:t>
      </w:r>
      <w:r>
        <w:t>Muhammadiyah</w:t>
      </w:r>
      <w:r w:rsidR="0071054E">
        <w:t xml:space="preserve"> or local universities</w:t>
      </w:r>
      <w:r>
        <w:t xml:space="preserve">, to extend their reach and focus on gender and social inclusion issues in DRM. </w:t>
      </w:r>
    </w:p>
    <w:p w14:paraId="63FFB319" w14:textId="76059A43" w:rsidR="004D58A5" w:rsidRDefault="004D58A5" w:rsidP="00BB0B57">
      <w:r w:rsidRPr="00BB0B57">
        <w:t xml:space="preserve">Finally </w:t>
      </w:r>
      <w:r w:rsidR="00BB0B57">
        <w:t>u</w:t>
      </w:r>
      <w:r>
        <w:t xml:space="preserve">sing a partnership approach in working with </w:t>
      </w:r>
      <w:r w:rsidR="0094476B">
        <w:t>GoI</w:t>
      </w:r>
      <w:r>
        <w:t xml:space="preserve"> at national and sub-national levels is critical to sustainability as it promotes joint solutions and </w:t>
      </w:r>
      <w:r w:rsidR="00BB0B57">
        <w:t xml:space="preserve">mutual </w:t>
      </w:r>
      <w:r>
        <w:t>accountability</w:t>
      </w:r>
      <w:r w:rsidR="00BB0B57">
        <w:t xml:space="preserve"> between DFAT and </w:t>
      </w:r>
      <w:r w:rsidR="0094476B">
        <w:t>GoI</w:t>
      </w:r>
      <w:r>
        <w:t xml:space="preserve"> rather than an aid-recipient relationship. </w:t>
      </w:r>
    </w:p>
    <w:p w14:paraId="149A22E2" w14:textId="6EE35EBC" w:rsidR="00A877CF" w:rsidRPr="0072601F" w:rsidRDefault="00A877CF" w:rsidP="00C61524">
      <w:pPr>
        <w:pStyle w:val="Heading3"/>
      </w:pPr>
      <w:bookmarkStart w:id="51" w:name="_Toc525550782"/>
      <w:r w:rsidRPr="00022BD4">
        <w:t>Gender Equality</w:t>
      </w:r>
      <w:r w:rsidR="0071054E">
        <w:t xml:space="preserve"> and Social Inclusion (GESI)</w:t>
      </w:r>
      <w:bookmarkEnd w:id="51"/>
    </w:p>
    <w:p w14:paraId="483722D0" w14:textId="0AD0ED12" w:rsidR="005A364A" w:rsidRDefault="00EB5890" w:rsidP="00A70416">
      <w:r>
        <w:t xml:space="preserve">The </w:t>
      </w:r>
      <w:r w:rsidR="006E6DA5">
        <w:t>human impact of disasters</w:t>
      </w:r>
      <w:r>
        <w:t xml:space="preserve"> is shaped by </w:t>
      </w:r>
      <w:r w:rsidR="006E6DA5">
        <w:t xml:space="preserve">a person’s </w:t>
      </w:r>
      <w:r>
        <w:t>gender, age, disability, sexual orientation</w:t>
      </w:r>
      <w:r w:rsidR="001B37AB">
        <w:t>, ethnicity</w:t>
      </w:r>
      <w:r w:rsidR="0003386B">
        <w:t xml:space="preserve"> and other social factors. </w:t>
      </w:r>
      <w:r w:rsidR="006E6DA5">
        <w:t xml:space="preserve">Access to resources and knowledge to reduce disaster risk, and to respond to disasters is highly variable within communities. </w:t>
      </w:r>
      <w:r w:rsidR="005A364A">
        <w:t xml:space="preserve">Indonesia’s Indian </w:t>
      </w:r>
      <w:r w:rsidR="00B97AC3">
        <w:t xml:space="preserve">Ocean </w:t>
      </w:r>
      <w:r w:rsidR="005A364A">
        <w:t xml:space="preserve">Tsunami experience </w:t>
      </w:r>
      <w:r w:rsidR="00B97AC3">
        <w:t xml:space="preserve">and subsequent major disasters in Indonesia have </w:t>
      </w:r>
      <w:r w:rsidR="005A364A">
        <w:t>generated understanding about the gendered nature of disasters</w:t>
      </w:r>
      <w:r w:rsidR="00B97AC3">
        <w:t xml:space="preserve"> in Indonesia</w:t>
      </w:r>
      <w:r w:rsidR="00DF15E9">
        <w:t>,</w:t>
      </w:r>
      <w:r w:rsidR="0003386B">
        <w:t xml:space="preserve"> based on the specific context </w:t>
      </w:r>
      <w:r w:rsidR="00DF15E9">
        <w:t>including</w:t>
      </w:r>
      <w:r w:rsidR="007A0F02">
        <w:rPr>
          <w:rStyle w:val="FootnoteReference"/>
        </w:rPr>
        <w:footnoteReference w:id="38"/>
      </w:r>
      <w:r w:rsidR="005A364A">
        <w:t>:</w:t>
      </w:r>
    </w:p>
    <w:p w14:paraId="2CF82472" w14:textId="6578253C" w:rsidR="005A364A" w:rsidRDefault="005A364A" w:rsidP="00E50F22">
      <w:pPr>
        <w:pStyle w:val="ListParagraph"/>
        <w:numPr>
          <w:ilvl w:val="0"/>
          <w:numId w:val="20"/>
        </w:numPr>
      </w:pPr>
      <w:r w:rsidRPr="005A364A">
        <w:t xml:space="preserve">significantly higher number of deaths for women as they were more exposed to </w:t>
      </w:r>
      <w:r w:rsidR="00DF15E9">
        <w:t>higher</w:t>
      </w:r>
      <w:r w:rsidRPr="005A364A">
        <w:t xml:space="preserve"> risk due to their home</w:t>
      </w:r>
      <w:r w:rsidR="00DF15E9">
        <w:t xml:space="preserve">- </w:t>
      </w:r>
      <w:r w:rsidRPr="005A364A">
        <w:t>based occupations</w:t>
      </w:r>
      <w:r w:rsidR="00DF15E9">
        <w:t xml:space="preserve"> and attempts to save children and elderly family members, while many men were on fishing boats or working away from home</w:t>
      </w:r>
      <w:r w:rsidR="00A70416">
        <w:t xml:space="preserve"> (Aceh 2004)</w:t>
      </w:r>
      <w:r w:rsidRPr="005A364A">
        <w:t>;</w:t>
      </w:r>
    </w:p>
    <w:p w14:paraId="09FA416F" w14:textId="36C1D506" w:rsidR="005A364A" w:rsidRDefault="005A364A" w:rsidP="00E50F22">
      <w:pPr>
        <w:pStyle w:val="ListParagraph"/>
        <w:numPr>
          <w:ilvl w:val="0"/>
          <w:numId w:val="20"/>
        </w:numPr>
      </w:pPr>
      <w:r w:rsidRPr="005A364A">
        <w:t xml:space="preserve">women </w:t>
      </w:r>
      <w:r>
        <w:t>were</w:t>
      </w:r>
      <w:r w:rsidRPr="005A364A">
        <w:t xml:space="preserve"> excluded from decision making </w:t>
      </w:r>
      <w:r>
        <w:t>about</w:t>
      </w:r>
      <w:r w:rsidRPr="005A364A">
        <w:t xml:space="preserve"> reconstruction</w:t>
      </w:r>
      <w:r w:rsidR="00A70416">
        <w:t xml:space="preserve"> (Aceh 2004)</w:t>
      </w:r>
      <w:r w:rsidRPr="005A364A">
        <w:t xml:space="preserve">; </w:t>
      </w:r>
    </w:p>
    <w:p w14:paraId="5A845811" w14:textId="3B7B2B11" w:rsidR="005A364A" w:rsidRDefault="005A364A" w:rsidP="00E50F22">
      <w:pPr>
        <w:pStyle w:val="ListParagraph"/>
        <w:numPr>
          <w:ilvl w:val="0"/>
          <w:numId w:val="20"/>
        </w:numPr>
      </w:pPr>
      <w:r>
        <w:t>livelihood recovery support focuse</w:t>
      </w:r>
      <w:r w:rsidR="00DF15E9">
        <w:t>d on male occupations and needs;</w:t>
      </w:r>
      <w:r w:rsidR="007A0F02">
        <w:t xml:space="preserve"> Men tend to prioritise large scale infrastructure while women prioritise shelter, water and sanitation and psychological support</w:t>
      </w:r>
      <w:r w:rsidR="0071054E">
        <w:t xml:space="preserve"> (Aceh 2004)</w:t>
      </w:r>
      <w:r w:rsidR="007A0F02">
        <w:t>.</w:t>
      </w:r>
    </w:p>
    <w:p w14:paraId="589542F7" w14:textId="6DCBF029" w:rsidR="00B97AC3" w:rsidRDefault="00B97AC3" w:rsidP="00E50F22">
      <w:pPr>
        <w:pStyle w:val="ListParagraph"/>
        <w:numPr>
          <w:ilvl w:val="0"/>
          <w:numId w:val="20"/>
        </w:numPr>
      </w:pPr>
      <w:r>
        <w:t>high incidence of gender-</w:t>
      </w:r>
      <w:r w:rsidR="00DF15E9">
        <w:t>based violence, including domestic violence</w:t>
      </w:r>
      <w:r w:rsidR="0071054E">
        <w:t>, after a disaster</w:t>
      </w:r>
      <w:r w:rsidR="00A70416">
        <w:t xml:space="preserve"> (Aceh 2004);</w:t>
      </w:r>
    </w:p>
    <w:p w14:paraId="661621E4" w14:textId="0B6BA6FA" w:rsidR="00A70416" w:rsidRDefault="00F21E49" w:rsidP="00E50F22">
      <w:pPr>
        <w:pStyle w:val="ListParagraph"/>
        <w:numPr>
          <w:ilvl w:val="0"/>
          <w:numId w:val="20"/>
        </w:numPr>
      </w:pPr>
      <w:r>
        <w:t>challenge for</w:t>
      </w:r>
      <w:r w:rsidR="00A70416">
        <w:t xml:space="preserve"> women in accessing benefits such as cash transfers as families registered by government in the male head of household name (Aceh</w:t>
      </w:r>
      <w:r w:rsidR="0071054E">
        <w:t xml:space="preserve"> 2004</w:t>
      </w:r>
      <w:r w:rsidR="00A70416">
        <w:t>)</w:t>
      </w:r>
      <w:r w:rsidR="0071054E">
        <w:t>;</w:t>
      </w:r>
    </w:p>
    <w:p w14:paraId="1B20D878" w14:textId="7F2FEF82" w:rsidR="00B97AC3" w:rsidRDefault="00B97AC3" w:rsidP="00E50F22">
      <w:pPr>
        <w:pStyle w:val="ListParagraph"/>
        <w:numPr>
          <w:ilvl w:val="0"/>
          <w:numId w:val="20"/>
        </w:numPr>
      </w:pPr>
      <w:r>
        <w:t>Women’s critical role in ensuring basic needs are met including food and water supply, care of children, health care as well as trauma healing for survivors</w:t>
      </w:r>
      <w:r w:rsidR="00A70416">
        <w:t xml:space="preserve"> (Yogyakarta 2006)</w:t>
      </w:r>
      <w:r w:rsidR="0071054E">
        <w:t>;</w:t>
      </w:r>
    </w:p>
    <w:p w14:paraId="30BD9791" w14:textId="756AB78E" w:rsidR="00B97AC3" w:rsidRDefault="00A70416" w:rsidP="00E50F22">
      <w:pPr>
        <w:pStyle w:val="ListParagraph"/>
        <w:numPr>
          <w:ilvl w:val="0"/>
          <w:numId w:val="20"/>
        </w:numPr>
      </w:pPr>
      <w:r>
        <w:t>Higher i</w:t>
      </w:r>
      <w:r w:rsidR="00B97AC3">
        <w:t>ncidence of death a</w:t>
      </w:r>
      <w:r>
        <w:t>nd injury amongst young men due to risk taking behaviours</w:t>
      </w:r>
      <w:r w:rsidR="0071054E">
        <w:t>; and</w:t>
      </w:r>
    </w:p>
    <w:p w14:paraId="0EEC905C" w14:textId="2A48BC3D" w:rsidR="00A70416" w:rsidRDefault="00A70416" w:rsidP="00E50F22">
      <w:pPr>
        <w:pStyle w:val="ListParagraph"/>
        <w:numPr>
          <w:ilvl w:val="0"/>
          <w:numId w:val="20"/>
        </w:numPr>
      </w:pPr>
      <w:r>
        <w:t>Reconstruction provided opportunity to increase women’s access to land title</w:t>
      </w:r>
      <w:r w:rsidR="001D00AF">
        <w:t>, with a policy change to allow joint titling by husbands and wives (Aceh 2004).</w:t>
      </w:r>
    </w:p>
    <w:p w14:paraId="15854480" w14:textId="20BB7F93" w:rsidR="0002297B" w:rsidRDefault="004A0AFC" w:rsidP="00652469">
      <w:r>
        <w:t>T</w:t>
      </w:r>
      <w:r w:rsidR="006E6DA5">
        <w:t xml:space="preserve">his program </w:t>
      </w:r>
      <w:r>
        <w:t>will integrate gender and disability inclusion across all activities</w:t>
      </w:r>
      <w:r w:rsidR="001B37AB">
        <w:t xml:space="preserve">, in line with the </w:t>
      </w:r>
      <w:r w:rsidR="0094476B">
        <w:t>GoI</w:t>
      </w:r>
      <w:r w:rsidR="001B37AB">
        <w:t xml:space="preserve"> commitment to </w:t>
      </w:r>
      <w:r w:rsidR="00652469">
        <w:t>gender mainstreaming and inclusion of vulnerable groups in government plans, policies and programs</w:t>
      </w:r>
      <w:r w:rsidR="00652469">
        <w:rPr>
          <w:rStyle w:val="FootnoteReference"/>
          <w:rFonts w:asciiTheme="majorHAnsi" w:hAnsiTheme="majorHAnsi"/>
        </w:rPr>
        <w:footnoteReference w:id="39"/>
      </w:r>
      <w:r>
        <w:t>. Key questions for all program staff will be “Whose risk is being reduced? Who will be more resilient?</w:t>
      </w:r>
      <w:r w:rsidR="00327580">
        <w:t xml:space="preserve"> Who </w:t>
      </w:r>
      <w:r w:rsidR="0026459A">
        <w:t xml:space="preserve">makes </w:t>
      </w:r>
      <w:r w:rsidR="00327580">
        <w:t>decisions</w:t>
      </w:r>
      <w:r w:rsidR="0026459A">
        <w:t xml:space="preserve"> about resources and priorities before, during and after disasters?</w:t>
      </w:r>
      <w:r>
        <w:t xml:space="preserve">” This work will be supported by a </w:t>
      </w:r>
      <w:r w:rsidR="0003386B">
        <w:t xml:space="preserve">GESI </w:t>
      </w:r>
      <w:r w:rsidR="00D9697B">
        <w:t xml:space="preserve">Specialist </w:t>
      </w:r>
      <w:r w:rsidR="0026459A">
        <w:t>(with a second specialist engaged for Year 1)</w:t>
      </w:r>
      <w:r w:rsidR="0003386B">
        <w:t xml:space="preserve"> and </w:t>
      </w:r>
      <w:r w:rsidR="00D9697B">
        <w:t xml:space="preserve">Knowledge Management Specialist </w:t>
      </w:r>
      <w:r w:rsidR="0003386B">
        <w:t>in the M</w:t>
      </w:r>
      <w:r>
        <w:t>an</w:t>
      </w:r>
      <w:r w:rsidR="0003386B">
        <w:t>aging C</w:t>
      </w:r>
      <w:r>
        <w:t>ontractor team, as well as through t</w:t>
      </w:r>
      <w:r w:rsidR="0002297B">
        <w:t>he expertise of the UN, and disabled people’s organisations.</w:t>
      </w:r>
      <w:r w:rsidR="0003695A">
        <w:t xml:space="preserve"> </w:t>
      </w:r>
    </w:p>
    <w:p w14:paraId="6787B0BB" w14:textId="51718602" w:rsidR="00B64704" w:rsidRDefault="004A0AFC" w:rsidP="00652469">
      <w:r>
        <w:t xml:space="preserve">Each partnership or grant agreement will </w:t>
      </w:r>
      <w:r w:rsidR="00652469">
        <w:t>produce and be guided by</w:t>
      </w:r>
      <w:r w:rsidR="00C65667">
        <w:t xml:space="preserve"> analysis and a </w:t>
      </w:r>
      <w:r>
        <w:t>gender</w:t>
      </w:r>
      <w:r w:rsidR="0003386B">
        <w:t xml:space="preserve"> equality</w:t>
      </w:r>
      <w:r w:rsidR="00652469">
        <w:t xml:space="preserve"> and </w:t>
      </w:r>
      <w:r w:rsidR="0003695A">
        <w:t xml:space="preserve">disability </w:t>
      </w:r>
      <w:r w:rsidR="00652469">
        <w:t>inclusion strategy. This will be specific to the context of the partnership or a</w:t>
      </w:r>
      <w:r w:rsidR="0003695A">
        <w:t>greement.</w:t>
      </w:r>
      <w:r w:rsidR="00652469">
        <w:t xml:space="preserve"> </w:t>
      </w:r>
      <w:r w:rsidR="0003695A">
        <w:t>Gender</w:t>
      </w:r>
      <w:r w:rsidR="0003386B">
        <w:t xml:space="preserve"> equality</w:t>
      </w:r>
      <w:r w:rsidR="0003695A">
        <w:t xml:space="preserve"> and disability inclusion will be mainst</w:t>
      </w:r>
      <w:r w:rsidR="0003386B">
        <w:t xml:space="preserve">reamed in the </w:t>
      </w:r>
      <w:r w:rsidR="00D9697B">
        <w:t>KPL Framework</w:t>
      </w:r>
      <w:r w:rsidR="0003386B">
        <w:t xml:space="preserve"> and a focus for the Mid-Term R</w:t>
      </w:r>
      <w:r w:rsidR="0003695A">
        <w:t xml:space="preserve">eview will be to assess implementation of gender and disability strategies. </w:t>
      </w:r>
      <w:r w:rsidR="008E2CF1">
        <w:t>The Mana</w:t>
      </w:r>
      <w:r w:rsidR="00FD5AE1">
        <w:t>ging Contractor will “walk the w</w:t>
      </w:r>
      <w:r w:rsidR="008E2CF1">
        <w:t>alk” and have a gender equality and disability inclusion strategy for its own operations. This will include commitments for example to gender balance in staf</w:t>
      </w:r>
      <w:r w:rsidR="0003386B">
        <w:t xml:space="preserve">f and adviser teams; </w:t>
      </w:r>
      <w:r w:rsidR="008E2CF1">
        <w:t>access</w:t>
      </w:r>
      <w:r w:rsidR="0003386B">
        <w:t>ible</w:t>
      </w:r>
      <w:r w:rsidR="008E2CF1">
        <w:t xml:space="preserve"> premises; measures to support employment of people with </w:t>
      </w:r>
      <w:r w:rsidR="0003386B">
        <w:t>disabilities; staff development</w:t>
      </w:r>
      <w:r w:rsidR="008E2CF1">
        <w:t>; and safety measures.</w:t>
      </w:r>
    </w:p>
    <w:p w14:paraId="0EBC8090" w14:textId="1E75952F" w:rsidR="00652469" w:rsidRDefault="0003695A" w:rsidP="00652469">
      <w:r>
        <w:t>S</w:t>
      </w:r>
      <w:r w:rsidR="00652469">
        <w:t xml:space="preserve">ome of the themes that would be relevant </w:t>
      </w:r>
      <w:r>
        <w:t xml:space="preserve">for gender </w:t>
      </w:r>
      <w:r w:rsidR="00C65667">
        <w:t xml:space="preserve">analysis and </w:t>
      </w:r>
      <w:r>
        <w:t>strategies</w:t>
      </w:r>
      <w:r w:rsidR="00D7552F">
        <w:t xml:space="preserve"> with program partners</w:t>
      </w:r>
      <w:r>
        <w:t xml:space="preserve"> include</w:t>
      </w:r>
      <w:r w:rsidR="00652469">
        <w:t>:</w:t>
      </w:r>
    </w:p>
    <w:p w14:paraId="5B737BDE" w14:textId="52548E68" w:rsidR="001911E1" w:rsidRDefault="0032250D" w:rsidP="00E50F22">
      <w:pPr>
        <w:pStyle w:val="ListParagraph"/>
        <w:numPr>
          <w:ilvl w:val="0"/>
          <w:numId w:val="19"/>
        </w:numPr>
      </w:pPr>
      <w:r>
        <w:t>Representation of women in DRM mechanisms such as disaster response needs assessment teams,</w:t>
      </w:r>
      <w:r w:rsidRPr="0032250D">
        <w:t xml:space="preserve"> </w:t>
      </w:r>
      <w:r w:rsidR="00652469">
        <w:t>Indonesian regional response teams</w:t>
      </w:r>
      <w:r w:rsidR="00824C6A">
        <w:t>,</w:t>
      </w:r>
      <w:r w:rsidR="002B4E15">
        <w:t xml:space="preserve"> contingency/emergency preparedness and risk reduction planning processes from village to sub-national levels. </w:t>
      </w:r>
    </w:p>
    <w:p w14:paraId="641DFE98" w14:textId="5747BA78" w:rsidR="0032250D" w:rsidRDefault="0032250D" w:rsidP="00E50F22">
      <w:pPr>
        <w:pStyle w:val="ListParagraph"/>
        <w:numPr>
          <w:ilvl w:val="0"/>
          <w:numId w:val="19"/>
        </w:numPr>
      </w:pPr>
      <w:r>
        <w:t xml:space="preserve">Gender equality policy and practice in BNPB and BPBDs. </w:t>
      </w:r>
      <w:r w:rsidR="000B30A1">
        <w:t xml:space="preserve">Gender mainstreaming in all ministries/agencies and provincial and district/municipality government is mandated through Presidential Instruction </w:t>
      </w:r>
      <w:r w:rsidR="0071054E">
        <w:t xml:space="preserve">No </w:t>
      </w:r>
      <w:r w:rsidR="000B30A1">
        <w:t>9</w:t>
      </w:r>
      <w:r w:rsidR="0071054E">
        <w:t>/</w:t>
      </w:r>
      <w:r w:rsidR="000B30A1">
        <w:t xml:space="preserve">2000, </w:t>
      </w:r>
      <w:r w:rsidR="007043E4">
        <w:t>however little information is available on progress of mainstreaming in BNPB or BPBDs.</w:t>
      </w:r>
      <w:r w:rsidR="00CB2055">
        <w:t xml:space="preserve"> Basic data on the gender breakdown by seniority, and longevity, and for promotions could be a starting point.</w:t>
      </w:r>
    </w:p>
    <w:p w14:paraId="2841AB24" w14:textId="5480BF09" w:rsidR="002B4E15" w:rsidRDefault="002B4E15" w:rsidP="00E50F22">
      <w:pPr>
        <w:pStyle w:val="ListParagraph"/>
        <w:numPr>
          <w:ilvl w:val="0"/>
          <w:numId w:val="19"/>
        </w:numPr>
      </w:pPr>
      <w:r>
        <w:t>Increased skills and knowledge amongst responders (including volunteers) of child protection and sexual and gender- based violence issues and management strategies.</w:t>
      </w:r>
    </w:p>
    <w:p w14:paraId="7CC4FA17" w14:textId="5BDCC39F" w:rsidR="002B4E15" w:rsidRDefault="00824C6A" w:rsidP="00E50F22">
      <w:pPr>
        <w:pStyle w:val="ListParagraph"/>
        <w:numPr>
          <w:ilvl w:val="0"/>
          <w:numId w:val="19"/>
        </w:numPr>
      </w:pPr>
      <w:r>
        <w:t>After- Action R</w:t>
      </w:r>
      <w:r w:rsidR="002B4E15">
        <w:t xml:space="preserve">eviews to include an </w:t>
      </w:r>
      <w:r w:rsidR="002E1F86">
        <w:t>assessment of how the specific needs of women, men, boys and girls (with and without disability) were identified and met</w:t>
      </w:r>
    </w:p>
    <w:p w14:paraId="3D2371F9" w14:textId="26B68303" w:rsidR="002E1F86" w:rsidRDefault="0003695A" w:rsidP="00E50F22">
      <w:pPr>
        <w:pStyle w:val="ListParagraph"/>
        <w:numPr>
          <w:ilvl w:val="0"/>
          <w:numId w:val="19"/>
        </w:numPr>
      </w:pPr>
      <w:r>
        <w:t>Using s</w:t>
      </w:r>
      <w:r w:rsidR="002E1F86">
        <w:t>ub-national and national platf</w:t>
      </w:r>
      <w:r>
        <w:t>orm events or research</w:t>
      </w:r>
      <w:r w:rsidR="002E1F86">
        <w:t xml:space="preserve"> to promote GESI in disaster preparedness and risk reduction</w:t>
      </w:r>
    </w:p>
    <w:p w14:paraId="42CCCD4D" w14:textId="19BAB231" w:rsidR="00B56E4C" w:rsidRDefault="00B56E4C" w:rsidP="00E50F22">
      <w:pPr>
        <w:pStyle w:val="ListParagraph"/>
        <w:numPr>
          <w:ilvl w:val="0"/>
          <w:numId w:val="19"/>
        </w:numPr>
      </w:pPr>
      <w:r>
        <w:t xml:space="preserve">Inclusion of </w:t>
      </w:r>
      <w:r w:rsidR="005A364A">
        <w:t xml:space="preserve">gender </w:t>
      </w:r>
      <w:r>
        <w:t>data</w:t>
      </w:r>
      <w:r w:rsidR="00720F7C">
        <w:t xml:space="preserve"> into the </w:t>
      </w:r>
      <w:r w:rsidR="005A364A">
        <w:t xml:space="preserve">vulnerability and capacity parts of the Indonesian disaster risk index. </w:t>
      </w:r>
    </w:p>
    <w:p w14:paraId="2A52B773" w14:textId="17A848D8" w:rsidR="005A364A" w:rsidRDefault="005A364A" w:rsidP="00E50F22">
      <w:pPr>
        <w:pStyle w:val="ListParagraph"/>
        <w:numPr>
          <w:ilvl w:val="0"/>
          <w:numId w:val="19"/>
        </w:numPr>
      </w:pPr>
      <w:r>
        <w:t xml:space="preserve">Supporting use of gender and vulnerability data in DRM planning and review processes such as contingency planning. </w:t>
      </w:r>
    </w:p>
    <w:p w14:paraId="7D11C11A" w14:textId="77777777" w:rsidR="00A877CF" w:rsidRPr="0072601F" w:rsidRDefault="00A877CF" w:rsidP="00C61524">
      <w:pPr>
        <w:pStyle w:val="Heading3"/>
      </w:pPr>
      <w:bookmarkStart w:id="52" w:name="_Toc525550783"/>
      <w:r w:rsidRPr="00D7552F">
        <w:t>Disability Inclusiveness</w:t>
      </w:r>
      <w:bookmarkEnd w:id="52"/>
    </w:p>
    <w:p w14:paraId="7DE98A2F" w14:textId="1992C738" w:rsidR="00966442" w:rsidRDefault="00966442" w:rsidP="00686CE6">
      <w:r>
        <w:t xml:space="preserve">The Sendai Framework has </w:t>
      </w:r>
      <w:r w:rsidR="00686CE6">
        <w:t xml:space="preserve">only </w:t>
      </w:r>
      <w:r>
        <w:t xml:space="preserve">recently brought global </w:t>
      </w:r>
      <w:r w:rsidR="00686CE6">
        <w:t>attention to</w:t>
      </w:r>
      <w:r>
        <w:t xml:space="preserve"> the experience of people with disabilities during, before and after disasters. </w:t>
      </w:r>
      <w:r w:rsidR="00686CE6">
        <w:t>People with disability are at higher risk of injury and death than the general population and experience barriers to a</w:t>
      </w:r>
      <w:r w:rsidR="00824C6A">
        <w:t xml:space="preserve">ccessing early warning systems and </w:t>
      </w:r>
      <w:r w:rsidR="007644EB">
        <w:t>emergency support. They also are less likely to receive aid and recovery support</w:t>
      </w:r>
      <w:r w:rsidR="007644EB">
        <w:rPr>
          <w:rStyle w:val="FootnoteReference"/>
        </w:rPr>
        <w:footnoteReference w:id="40"/>
      </w:r>
      <w:r w:rsidR="007644EB">
        <w:t>.</w:t>
      </w:r>
      <w:r w:rsidR="003914E3">
        <w:t xml:space="preserve"> </w:t>
      </w:r>
      <w:r>
        <w:t xml:space="preserve">Disabled people’s organisations (DPOs) play a critical role in building understanding of the experience of people with disability and advocating for disability inclusion </w:t>
      </w:r>
      <w:r w:rsidR="003D2E2E">
        <w:t>before, during and after disasters</w:t>
      </w:r>
      <w:r>
        <w:t xml:space="preserve">. </w:t>
      </w:r>
    </w:p>
    <w:p w14:paraId="331BE5AC" w14:textId="0044E833" w:rsidR="003914E3" w:rsidRPr="005C2CAD" w:rsidRDefault="003914E3" w:rsidP="003914E3">
      <w:r>
        <w:t xml:space="preserve">As noted in the gender section above this program will integrate gender and disability inclusion across all activities, in line with the </w:t>
      </w:r>
      <w:r w:rsidR="0094476B">
        <w:t>GoI</w:t>
      </w:r>
      <w:r>
        <w:t xml:space="preserve"> commitment to gender mainstreaming and inclusion of vulnerable groups in government plans, policies and programs</w:t>
      </w:r>
      <w:r>
        <w:rPr>
          <w:rStyle w:val="FootnoteReference"/>
          <w:rFonts w:asciiTheme="majorHAnsi" w:hAnsiTheme="majorHAnsi"/>
        </w:rPr>
        <w:footnoteReference w:id="41"/>
      </w:r>
      <w:r>
        <w:t xml:space="preserve">. Key questions for all program staff will be “Whose risk is being reduced? Who will be more resilient?”. </w:t>
      </w:r>
      <w:r w:rsidR="0071054E">
        <w:t xml:space="preserve">“Who makes decisions about resources and priorities before, during and after disaster?”. </w:t>
      </w:r>
      <w:r w:rsidR="002D68FE">
        <w:t>This work will be supported by the</w:t>
      </w:r>
      <w:r>
        <w:t xml:space="preserve"> </w:t>
      </w:r>
      <w:r w:rsidR="00824C6A">
        <w:t>GESI</w:t>
      </w:r>
      <w:r>
        <w:t xml:space="preserve"> specialist and </w:t>
      </w:r>
      <w:r w:rsidR="00D9697B">
        <w:t xml:space="preserve">KPL </w:t>
      </w:r>
      <w:r w:rsidR="0071054E">
        <w:t xml:space="preserve">advisor </w:t>
      </w:r>
      <w:r>
        <w:t xml:space="preserve">with funding available to support DPOs to work across the range of program implementing partners. </w:t>
      </w:r>
      <w:r w:rsidR="005C2CAD" w:rsidRPr="005C2CAD">
        <w:t>Indonesia has good examples of DPOs advocating and collaborating with DRR actors to reduce and prevent risks</w:t>
      </w:r>
      <w:r w:rsidR="005C2CAD" w:rsidRPr="005C2CAD">
        <w:rPr>
          <w:vertAlign w:val="superscript"/>
        </w:rPr>
        <w:footnoteReference w:id="42"/>
      </w:r>
      <w:r w:rsidR="005C2CAD">
        <w:t xml:space="preserve"> and the program will build relationships with these DPOs</w:t>
      </w:r>
      <w:r w:rsidR="002858E2">
        <w:t xml:space="preserve"> as a source of guidance and technical expertise</w:t>
      </w:r>
      <w:r w:rsidR="005C2CAD" w:rsidRPr="005C2CAD">
        <w:t>.</w:t>
      </w:r>
    </w:p>
    <w:p w14:paraId="5046C077" w14:textId="5613EF52" w:rsidR="003914E3" w:rsidRDefault="003914E3" w:rsidP="003914E3">
      <w:r>
        <w:t>Each partnership or grant agreement will produce and be guided by analysis and a gender and disability inclusion strategy</w:t>
      </w:r>
      <w:r w:rsidR="00367FC7">
        <w:t>, which should be developed in consultation with the relevant DPOs at national or sub-national locations</w:t>
      </w:r>
      <w:r>
        <w:t xml:space="preserve">. This will be specific to the context of the partnership or agreement. Gender </w:t>
      </w:r>
      <w:r w:rsidR="002D68FE">
        <w:t xml:space="preserve">equality </w:t>
      </w:r>
      <w:r>
        <w:t>and disability inclusion will be mainst</w:t>
      </w:r>
      <w:r w:rsidR="002D68FE">
        <w:t xml:space="preserve">reamed in the </w:t>
      </w:r>
      <w:r w:rsidR="00D9697B">
        <w:t>KPL Framework</w:t>
      </w:r>
      <w:r w:rsidR="002D68FE">
        <w:t xml:space="preserve"> and a focus for the Mid-Term R</w:t>
      </w:r>
      <w:r>
        <w:t xml:space="preserve">eview will be to assess implementation of gender and disability strategies. </w:t>
      </w:r>
      <w:r w:rsidR="008E2CF1">
        <w:t>The Managing C</w:t>
      </w:r>
      <w:r w:rsidR="009C0E9E">
        <w:t xml:space="preserve">ontractor will </w:t>
      </w:r>
      <w:r w:rsidR="00FE4D6B">
        <w:t>“walk the w</w:t>
      </w:r>
      <w:r w:rsidR="008E2CF1">
        <w:t xml:space="preserve">alk” and </w:t>
      </w:r>
      <w:r w:rsidR="009C0E9E">
        <w:t>have a gender equality and disability inclusion strategy for it</w:t>
      </w:r>
      <w:r w:rsidR="008E2CF1">
        <w:t xml:space="preserve">s own operations. This </w:t>
      </w:r>
      <w:r w:rsidR="009C0E9E">
        <w:t xml:space="preserve">will include commitments </w:t>
      </w:r>
      <w:r w:rsidR="002D68FE">
        <w:t>for example:</w:t>
      </w:r>
      <w:r w:rsidR="009C0E9E">
        <w:t xml:space="preserve"> </w:t>
      </w:r>
      <w:r w:rsidR="008E2CF1">
        <w:t>access</w:t>
      </w:r>
      <w:r w:rsidR="002D68FE">
        <w:t>ible</w:t>
      </w:r>
      <w:r w:rsidR="008E2CF1">
        <w:t xml:space="preserve"> premises</w:t>
      </w:r>
      <w:r w:rsidR="002D68FE">
        <w:t>; inclusive communications</w:t>
      </w:r>
      <w:r w:rsidR="008E2CF1">
        <w:t xml:space="preserve">; </w:t>
      </w:r>
      <w:r w:rsidR="009C0E9E">
        <w:t xml:space="preserve">measures to support employment of people with disabilities; staff </w:t>
      </w:r>
      <w:r w:rsidR="00473690">
        <w:t>development;</w:t>
      </w:r>
      <w:r w:rsidR="009C0E9E">
        <w:t xml:space="preserve"> and safety</w:t>
      </w:r>
      <w:r w:rsidR="008E2CF1">
        <w:t xml:space="preserve"> measures</w:t>
      </w:r>
      <w:r w:rsidR="009C0E9E">
        <w:t>.</w:t>
      </w:r>
    </w:p>
    <w:p w14:paraId="45526BEC" w14:textId="0455B0DA" w:rsidR="003914E3" w:rsidRDefault="003914E3" w:rsidP="003914E3">
      <w:r>
        <w:t>Some of the themes that would be relevant for disability analysis and strategies include:</w:t>
      </w:r>
    </w:p>
    <w:p w14:paraId="06031CA5" w14:textId="0EAA4884" w:rsidR="003914E3" w:rsidRDefault="003914E3" w:rsidP="00E50F22">
      <w:pPr>
        <w:pStyle w:val="ListParagraph"/>
        <w:numPr>
          <w:ilvl w:val="0"/>
          <w:numId w:val="19"/>
        </w:numPr>
      </w:pPr>
      <w:r>
        <w:t xml:space="preserve">Representation of </w:t>
      </w:r>
      <w:r w:rsidR="003C1721">
        <w:t xml:space="preserve">people with disabilities in DRM planning </w:t>
      </w:r>
      <w:r w:rsidR="0026459A">
        <w:t xml:space="preserve">and decision making </w:t>
      </w:r>
      <w:r w:rsidR="003C1721">
        <w:t xml:space="preserve">such as </w:t>
      </w:r>
      <w:r>
        <w:t xml:space="preserve">contingency/emergency preparedness and risk reduction planning from village to sub-national levels. </w:t>
      </w:r>
    </w:p>
    <w:p w14:paraId="160FD9C2" w14:textId="6A30C6AE" w:rsidR="00367FC7" w:rsidRDefault="00367FC7" w:rsidP="00E50F22">
      <w:pPr>
        <w:pStyle w:val="ListParagraph"/>
        <w:numPr>
          <w:ilvl w:val="0"/>
          <w:numId w:val="19"/>
        </w:numPr>
      </w:pPr>
      <w:r>
        <w:t>Supporting use of disability data in DRM planning and review processes such as contingency planning. This can build on the work of K</w:t>
      </w:r>
      <w:r w:rsidR="00670107">
        <w:t>OMPAK</w:t>
      </w:r>
      <w:r>
        <w:t xml:space="preserve"> in supporting data and information about people with </w:t>
      </w:r>
      <w:r w:rsidR="000155E7">
        <w:t>disabilities at the local level.</w:t>
      </w:r>
    </w:p>
    <w:p w14:paraId="7F72FCF9" w14:textId="77777777" w:rsidR="003914E3" w:rsidRDefault="003914E3" w:rsidP="00E50F22">
      <w:pPr>
        <w:pStyle w:val="ListParagraph"/>
        <w:numPr>
          <w:ilvl w:val="0"/>
          <w:numId w:val="19"/>
        </w:numPr>
      </w:pPr>
      <w:r>
        <w:t>Disability inclusive policy and practice in BNPB and BPBDs including accessibility and data on employment of people with disabilities.</w:t>
      </w:r>
    </w:p>
    <w:p w14:paraId="70E04E6F" w14:textId="071A011F" w:rsidR="003914E3" w:rsidRDefault="003914E3" w:rsidP="00E50F22">
      <w:pPr>
        <w:pStyle w:val="ListParagraph"/>
        <w:numPr>
          <w:ilvl w:val="0"/>
          <w:numId w:val="19"/>
        </w:numPr>
      </w:pPr>
      <w:r>
        <w:t xml:space="preserve">Increased skills and knowledge amongst responders (including volunteers) of </w:t>
      </w:r>
      <w:r w:rsidR="00367FC7">
        <w:t>disability inclusive disaster response issues</w:t>
      </w:r>
      <w:r w:rsidR="002D68FE">
        <w:t>, key barriers and inclusion strategies</w:t>
      </w:r>
      <w:r w:rsidR="00367FC7">
        <w:t xml:space="preserve">. This could be delivered through and build on the draft curriculum at the BNPB training centre on disability inclusive risk reduction. </w:t>
      </w:r>
    </w:p>
    <w:p w14:paraId="2676F1F5" w14:textId="620EB6CB" w:rsidR="00313D2F" w:rsidRDefault="00313D2F" w:rsidP="00E50F22">
      <w:pPr>
        <w:pStyle w:val="ListParagraph"/>
        <w:numPr>
          <w:ilvl w:val="0"/>
          <w:numId w:val="21"/>
        </w:numPr>
      </w:pPr>
      <w:r>
        <w:t xml:space="preserve">Early warning systems that reach all members of the community through appropriate communications that accounts </w:t>
      </w:r>
      <w:r w:rsidR="0048621B">
        <w:t xml:space="preserve">for </w:t>
      </w:r>
      <w:r>
        <w:t>disability. Currently early warnings from the national level go to provincial and district governments</w:t>
      </w:r>
      <w:r>
        <w:rPr>
          <w:rStyle w:val="FootnoteReference"/>
          <w:rFonts w:asciiTheme="majorHAnsi" w:hAnsiTheme="majorHAnsi"/>
        </w:rPr>
        <w:footnoteReference w:id="43"/>
      </w:r>
      <w:r>
        <w:t>.</w:t>
      </w:r>
    </w:p>
    <w:p w14:paraId="682DE4E5" w14:textId="3C4385E4" w:rsidR="003914E3" w:rsidRDefault="002D68FE" w:rsidP="00E50F22">
      <w:pPr>
        <w:pStyle w:val="ListParagraph"/>
        <w:numPr>
          <w:ilvl w:val="0"/>
          <w:numId w:val="19"/>
        </w:numPr>
      </w:pPr>
      <w:r>
        <w:t>After-Action R</w:t>
      </w:r>
      <w:r w:rsidR="003914E3">
        <w:t>eviews to include an assessment of how the specific needs of women, men, boys and girls (with and without disability) were identified and met</w:t>
      </w:r>
    </w:p>
    <w:p w14:paraId="43B306AC" w14:textId="01E52991" w:rsidR="003914E3" w:rsidRDefault="003914E3" w:rsidP="00E50F22">
      <w:pPr>
        <w:pStyle w:val="ListParagraph"/>
        <w:numPr>
          <w:ilvl w:val="0"/>
          <w:numId w:val="19"/>
        </w:numPr>
      </w:pPr>
      <w:r>
        <w:t xml:space="preserve">Using sub-national and national platform events or research to promote </w:t>
      </w:r>
      <w:r w:rsidR="00367FC7">
        <w:t>disability inclusion</w:t>
      </w:r>
      <w:r>
        <w:t xml:space="preserve"> in disaster preparedness and risk reduction</w:t>
      </w:r>
    </w:p>
    <w:p w14:paraId="54B8D8E9" w14:textId="6E083990" w:rsidR="003914E3" w:rsidRDefault="003914E3" w:rsidP="00E50F22">
      <w:pPr>
        <w:pStyle w:val="ListParagraph"/>
        <w:numPr>
          <w:ilvl w:val="0"/>
          <w:numId w:val="19"/>
        </w:numPr>
      </w:pPr>
      <w:r>
        <w:t xml:space="preserve">Inclusion of </w:t>
      </w:r>
      <w:r w:rsidR="00367FC7">
        <w:t xml:space="preserve">disability </w:t>
      </w:r>
      <w:r>
        <w:t xml:space="preserve">data into the vulnerability and capacity parts of the </w:t>
      </w:r>
      <w:r w:rsidR="00367FC7">
        <w:t xml:space="preserve">Indonesian disaster risk index. </w:t>
      </w:r>
    </w:p>
    <w:p w14:paraId="53B1A9F5" w14:textId="77777777" w:rsidR="00A877CF" w:rsidRPr="0072601F" w:rsidRDefault="00A877CF" w:rsidP="00C61524">
      <w:pPr>
        <w:pStyle w:val="Heading3"/>
      </w:pPr>
      <w:bookmarkStart w:id="53" w:name="_Toc525550784"/>
      <w:r w:rsidRPr="002B402E">
        <w:t>Private Sector</w:t>
      </w:r>
      <w:bookmarkEnd w:id="53"/>
    </w:p>
    <w:p w14:paraId="7E41E900" w14:textId="5B1B3E66" w:rsidR="00AC6BEA" w:rsidRDefault="000473C9" w:rsidP="002B402E">
      <w:r>
        <w:t xml:space="preserve">There is increasing global recognition of the important role the private sector can play in responding to disasters, supporting recovery and also reducing risk and preparing for disasters. Indonesia </w:t>
      </w:r>
      <w:r w:rsidR="00A50CE6">
        <w:t>has a growing private sector fuel</w:t>
      </w:r>
      <w:r w:rsidR="002D68FE">
        <w:t>l</w:t>
      </w:r>
      <w:r w:rsidR="00A50CE6">
        <w:t>ing economic development. T</w:t>
      </w:r>
      <w:r>
        <w:t xml:space="preserve">he private sector has </w:t>
      </w:r>
      <w:r w:rsidR="0067382B">
        <w:t xml:space="preserve">been an important responder to disasters, providing supplies, equipment, volunteers and logistics support. </w:t>
      </w:r>
      <w:r w:rsidR="003242A3">
        <w:t xml:space="preserve">This has been largely done in a voluntary capacity and there is limited strategic engagement by </w:t>
      </w:r>
      <w:r w:rsidR="0094476B">
        <w:t>GoI</w:t>
      </w:r>
      <w:r w:rsidR="003242A3">
        <w:t xml:space="preserve"> with the private sector for DRM. </w:t>
      </w:r>
      <w:r w:rsidR="00A50CE6">
        <w:t xml:space="preserve">There are also examples of businesses engaging in specific programs, including through agreements with NGOs. The private sector is </w:t>
      </w:r>
      <w:r w:rsidR="002D68FE">
        <w:t>a long-</w:t>
      </w:r>
      <w:r w:rsidR="00AC6BEA">
        <w:t>standing</w:t>
      </w:r>
      <w:r w:rsidR="00A50CE6">
        <w:t xml:space="preserve"> contractor providing logistics, goods and supplies to </w:t>
      </w:r>
      <w:r w:rsidR="0094476B">
        <w:t>GoI</w:t>
      </w:r>
      <w:r w:rsidR="00A50CE6">
        <w:t>, UN and other responders during a disaster</w:t>
      </w:r>
      <w:r w:rsidR="00AC6BEA">
        <w:rPr>
          <w:rStyle w:val="FootnoteReference"/>
        </w:rPr>
        <w:footnoteReference w:id="44"/>
      </w:r>
      <w:r w:rsidR="00A50CE6">
        <w:t xml:space="preserve">. </w:t>
      </w:r>
      <w:r w:rsidR="003242A3">
        <w:t xml:space="preserve">Some </w:t>
      </w:r>
      <w:r w:rsidR="00AC6BEA">
        <w:t>new forms of engagement are</w:t>
      </w:r>
      <w:r w:rsidR="003242A3">
        <w:t xml:space="preserve"> being explored by </w:t>
      </w:r>
      <w:r w:rsidR="0094476B">
        <w:t>GoI</w:t>
      </w:r>
      <w:r w:rsidR="003242A3">
        <w:t xml:space="preserve"> inclu</w:t>
      </w:r>
      <w:r w:rsidR="001341F6">
        <w:t xml:space="preserve">ding risk insurance and </w:t>
      </w:r>
      <w:r w:rsidR="00AC6BEA">
        <w:t>cash transfer mechanisms</w:t>
      </w:r>
      <w:r w:rsidR="00F12A10">
        <w:rPr>
          <w:rStyle w:val="FootnoteReference"/>
        </w:rPr>
        <w:footnoteReference w:id="45"/>
      </w:r>
      <w:r w:rsidR="003242A3">
        <w:t xml:space="preserve">. </w:t>
      </w:r>
    </w:p>
    <w:p w14:paraId="61D2031A" w14:textId="6DD43AC3" w:rsidR="00A877CF" w:rsidRDefault="003242A3" w:rsidP="002B402E">
      <w:r>
        <w:t xml:space="preserve">The program will </w:t>
      </w:r>
      <w:r w:rsidR="00F12A10">
        <w:t>support engagement</w:t>
      </w:r>
      <w:r>
        <w:t xml:space="preserve"> with the private sector </w:t>
      </w:r>
      <w:r w:rsidR="0071054E">
        <w:t xml:space="preserve">amongst other ways </w:t>
      </w:r>
      <w:r>
        <w:t xml:space="preserve">through sub-national implementation of SOPs on contingency planning, which should include local private sector representation. </w:t>
      </w:r>
      <w:r w:rsidR="00AC6BEA">
        <w:t xml:space="preserve">Building business resilience and supporting business continuity are important for reducing risks and preparing for response. </w:t>
      </w:r>
      <w:r w:rsidR="00F12A10">
        <w:t>The p</w:t>
      </w:r>
      <w:r w:rsidR="001341F6">
        <w:t xml:space="preserve">rogram </w:t>
      </w:r>
      <w:r w:rsidR="00F12A10">
        <w:t xml:space="preserve">will </w:t>
      </w:r>
      <w:r w:rsidR="001341F6">
        <w:t xml:space="preserve">support sub-national and national platforms </w:t>
      </w:r>
      <w:r w:rsidR="00F12A10">
        <w:t xml:space="preserve">which will </w:t>
      </w:r>
      <w:r w:rsidR="001341F6">
        <w:t>include private sector representatives</w:t>
      </w:r>
      <w:r w:rsidR="00F12A10">
        <w:t xml:space="preserve">, media, think tanks and universities. These platforms </w:t>
      </w:r>
      <w:r w:rsidR="001341F6">
        <w:t>can be an opportunity to build dialogue</w:t>
      </w:r>
      <w:r w:rsidR="009209B4">
        <w:t>, understanding</w:t>
      </w:r>
      <w:r w:rsidR="001341F6">
        <w:t xml:space="preserve"> and awareness </w:t>
      </w:r>
      <w:r w:rsidR="00B07AC2">
        <w:t>between non-</w:t>
      </w:r>
      <w:r w:rsidR="009209B4">
        <w:t xml:space="preserve">state actors </w:t>
      </w:r>
      <w:r w:rsidR="001341F6">
        <w:t>about the role</w:t>
      </w:r>
      <w:r w:rsidR="00F12A10">
        <w:t xml:space="preserve"> and potential</w:t>
      </w:r>
      <w:r w:rsidR="001341F6">
        <w:t xml:space="preserve"> of the private secto</w:t>
      </w:r>
      <w:r w:rsidR="00F12A10">
        <w:t>r in DRM</w:t>
      </w:r>
      <w:r w:rsidR="002D68FE">
        <w:t>, beyond that of</w:t>
      </w:r>
      <w:r w:rsidR="009209B4">
        <w:t xml:space="preserve"> philanthropic responders or contractors</w:t>
      </w:r>
      <w:r w:rsidR="001341F6">
        <w:t xml:space="preserve">. Program advisers will encourage </w:t>
      </w:r>
      <w:r w:rsidR="0094476B">
        <w:t>GoI</w:t>
      </w:r>
      <w:r w:rsidR="001341F6">
        <w:t xml:space="preserve"> agencies to consider how to engage with the private sector for better coordination and as a source of expertise (</w:t>
      </w:r>
      <w:r w:rsidR="00412E88">
        <w:t>e.g.</w:t>
      </w:r>
      <w:r w:rsidR="001341F6">
        <w:t xml:space="preserve"> resilient infrastructure) and resources. </w:t>
      </w:r>
    </w:p>
    <w:p w14:paraId="0C00F7DD" w14:textId="77777777" w:rsidR="00644540" w:rsidRDefault="00644540" w:rsidP="00644540">
      <w:pPr>
        <w:pStyle w:val="Heading3"/>
      </w:pPr>
      <w:bookmarkStart w:id="54" w:name="_Toc525550785"/>
      <w:r w:rsidRPr="002575FA">
        <w:t>Safeguards</w:t>
      </w:r>
      <w:bookmarkEnd w:id="54"/>
    </w:p>
    <w:p w14:paraId="1C31989A" w14:textId="77777777" w:rsidR="00644540" w:rsidRDefault="00644540" w:rsidP="00644540">
      <w:pPr>
        <w:rPr>
          <w:szCs w:val="20"/>
        </w:rPr>
      </w:pPr>
      <w:r>
        <w:rPr>
          <w:lang w:val="en-AU"/>
        </w:rPr>
        <w:t xml:space="preserve">PMI, NU and Muhammadiyah </w:t>
      </w:r>
      <w:r w:rsidRPr="00394C86">
        <w:rPr>
          <w:lang w:val="en-AU"/>
        </w:rPr>
        <w:t xml:space="preserve">will work at </w:t>
      </w:r>
      <w:r>
        <w:rPr>
          <w:lang w:val="en-AU"/>
        </w:rPr>
        <w:t>village level to improve resilience</w:t>
      </w:r>
      <w:r w:rsidRPr="00394C86">
        <w:rPr>
          <w:lang w:val="en-AU"/>
        </w:rPr>
        <w:t>. The</w:t>
      </w:r>
      <w:r>
        <w:rPr>
          <w:lang w:val="en-AU"/>
        </w:rPr>
        <w:t xml:space="preserve"> Managing Contractor</w:t>
      </w:r>
      <w:r w:rsidRPr="00394C86">
        <w:rPr>
          <w:lang w:val="en-AU"/>
        </w:rPr>
        <w:t xml:space="preserve"> will ensure </w:t>
      </w:r>
      <w:r>
        <w:rPr>
          <w:lang w:val="en-AU"/>
        </w:rPr>
        <w:t xml:space="preserve">DFAT </w:t>
      </w:r>
      <w:r w:rsidRPr="00394C86">
        <w:rPr>
          <w:lang w:val="en-AU"/>
        </w:rPr>
        <w:t xml:space="preserve">child protection policies are operationalized for humanitarian preparedness and response work </w:t>
      </w:r>
      <w:r>
        <w:rPr>
          <w:lang w:val="en-AU"/>
        </w:rPr>
        <w:t>by these organisations, including providing specialist training and advice where required</w:t>
      </w:r>
      <w:r w:rsidRPr="00394C86">
        <w:rPr>
          <w:lang w:val="en-AU"/>
        </w:rPr>
        <w:t xml:space="preserve">. </w:t>
      </w:r>
      <w:r w:rsidRPr="00AE30F0">
        <w:rPr>
          <w:lang w:eastAsia="en-GB"/>
        </w:rPr>
        <w:t>During implementation, checks o</w:t>
      </w:r>
      <w:r w:rsidRPr="00A048D6">
        <w:rPr>
          <w:lang w:eastAsia="en-GB"/>
        </w:rPr>
        <w:t>f</w:t>
      </w:r>
      <w:r w:rsidRPr="00AE30F0">
        <w:rPr>
          <w:lang w:eastAsia="en-GB"/>
        </w:rPr>
        <w:t xml:space="preserve"> compliance with DFAT's child protection and environmental protection policies and </w:t>
      </w:r>
      <w:r w:rsidRPr="00A048D6">
        <w:rPr>
          <w:lang w:eastAsia="en-GB"/>
        </w:rPr>
        <w:t xml:space="preserve">of </w:t>
      </w:r>
      <w:r w:rsidRPr="00AE30F0">
        <w:rPr>
          <w:lang w:eastAsia="en-GB"/>
        </w:rPr>
        <w:t xml:space="preserve">the presence of appropriate safeguards will be carried out as part of monitoring, evaluation and learning activities. </w:t>
      </w:r>
      <w:r>
        <w:rPr>
          <w:lang w:val="en-AU"/>
        </w:rPr>
        <w:br/>
      </w:r>
      <w:r>
        <w:rPr>
          <w:lang w:val="en-AU"/>
        </w:rPr>
        <w:br/>
      </w:r>
      <w:r w:rsidRPr="00394C86">
        <w:rPr>
          <w:lang w:val="en-AU"/>
        </w:rPr>
        <w:t xml:space="preserve">Environmental protection and resettlement risks have not been identified in the program. As there is flexibility in the program there is potential for environmental risks to emerge.  The emergence of environmental risks will be </w:t>
      </w:r>
      <w:r>
        <w:rPr>
          <w:lang w:val="en-AU"/>
        </w:rPr>
        <w:t>monitored when annual activity</w:t>
      </w:r>
      <w:r w:rsidRPr="00394C86">
        <w:rPr>
          <w:lang w:val="en-AU"/>
        </w:rPr>
        <w:t xml:space="preserve"> plans are reviewed, and activities will be required to comply with DFAT’s Environmental Protection </w:t>
      </w:r>
      <w:r>
        <w:rPr>
          <w:lang w:val="en-AU"/>
        </w:rPr>
        <w:t>and Resettlements Policies.</w:t>
      </w:r>
      <w:r w:rsidRPr="0072601F">
        <w:rPr>
          <w:szCs w:val="20"/>
        </w:rPr>
        <w:t xml:space="preserve"> </w:t>
      </w:r>
    </w:p>
    <w:p w14:paraId="0906421E" w14:textId="328E65BB" w:rsidR="00A877CF" w:rsidRPr="0072601F" w:rsidRDefault="00A877CF" w:rsidP="00C61524">
      <w:pPr>
        <w:pStyle w:val="Heading3"/>
      </w:pPr>
      <w:bookmarkStart w:id="55" w:name="_Toc525550786"/>
      <w:r w:rsidRPr="002B402E">
        <w:t>Risk Management Plan</w:t>
      </w:r>
      <w:bookmarkEnd w:id="55"/>
      <w:r w:rsidRPr="0072601F">
        <w:t xml:space="preserve"> </w:t>
      </w:r>
    </w:p>
    <w:p w14:paraId="54310FA6" w14:textId="6256121F" w:rsidR="00777662" w:rsidRDefault="002348C1" w:rsidP="00F12A10">
      <w:r>
        <w:t xml:space="preserve">The key risks of the investment are associated with the </w:t>
      </w:r>
      <w:r w:rsidR="002B402E">
        <w:t>interest and incentives in BNP</w:t>
      </w:r>
      <w:r w:rsidR="002B5C7E">
        <w:t>B</w:t>
      </w:r>
      <w:r w:rsidR="002B402E">
        <w:t xml:space="preserve"> for organisational reform. While the organisat</w:t>
      </w:r>
      <w:r w:rsidR="00580CE7">
        <w:t xml:space="preserve">ion is under pressure to change and deliver on its coordination mandate, there is a risk that this pressure will not be catalysed into the right action. </w:t>
      </w:r>
      <w:r w:rsidR="002B402E">
        <w:t xml:space="preserve"> </w:t>
      </w:r>
      <w:r w:rsidR="00580CE7">
        <w:t>This process</w:t>
      </w:r>
      <w:r w:rsidR="002B402E">
        <w:t xml:space="preserve"> will depend on a range of </w:t>
      </w:r>
      <w:r w:rsidR="00F12A10">
        <w:t>factors</w:t>
      </w:r>
      <w:r w:rsidR="00F9520A">
        <w:t xml:space="preserve"> </w:t>
      </w:r>
      <w:r w:rsidR="002B402E">
        <w:t>some of which are within the control of the program</w:t>
      </w:r>
      <w:r w:rsidR="00070C54">
        <w:t>, and the Managing Contractor will have to closely monitor and adapt to the political environment</w:t>
      </w:r>
      <w:r w:rsidR="002B402E">
        <w:t xml:space="preserve">. </w:t>
      </w:r>
      <w:r w:rsidR="00F9520A">
        <w:t xml:space="preserve">Another major risk to the program will be if a major disaster event occurs, </w:t>
      </w:r>
      <w:r w:rsidR="006E2D21">
        <w:t xml:space="preserve">or </w:t>
      </w:r>
      <w:r w:rsidR="00924149">
        <w:t xml:space="preserve">there are </w:t>
      </w:r>
      <w:r w:rsidR="006E2D21">
        <w:t xml:space="preserve">a </w:t>
      </w:r>
      <w:r w:rsidR="00924149">
        <w:t xml:space="preserve">number of small-medium scale disasters in a short period, </w:t>
      </w:r>
      <w:r w:rsidR="00F9520A">
        <w:t xml:space="preserve">which will </w:t>
      </w:r>
      <w:r w:rsidR="00070C54">
        <w:t xml:space="preserve">create an immediate demand for program partners to respond, and also potentially change the longer-term objectives of the program.  </w:t>
      </w:r>
      <w:r w:rsidR="003B12FC">
        <w:rPr>
          <w:rFonts w:eastAsiaTheme="minorEastAsia"/>
          <w:szCs w:val="20"/>
        </w:rPr>
        <w:t>It required</w:t>
      </w:r>
      <w:r w:rsidR="0002220B">
        <w:rPr>
          <w:rFonts w:eastAsiaTheme="minorEastAsia"/>
          <w:szCs w:val="20"/>
        </w:rPr>
        <w:t xml:space="preserve">, the DRM </w:t>
      </w:r>
      <w:r w:rsidR="0002220B" w:rsidRPr="00C00A2A">
        <w:rPr>
          <w:rFonts w:eastAsiaTheme="minorEastAsia"/>
          <w:szCs w:val="20"/>
        </w:rPr>
        <w:t xml:space="preserve">ecosystems approach allows </w:t>
      </w:r>
      <w:r w:rsidR="0002220B">
        <w:rPr>
          <w:rFonts w:eastAsiaTheme="minorEastAsia"/>
          <w:szCs w:val="20"/>
        </w:rPr>
        <w:t>the MC to readjust its approach by focusing on the other DRM sub-systems including working with MoHA</w:t>
      </w:r>
      <w:r w:rsidR="002B5C7E">
        <w:rPr>
          <w:rFonts w:eastAsiaTheme="minorEastAsia"/>
          <w:szCs w:val="20"/>
        </w:rPr>
        <w:t xml:space="preserve"> and Bappenas</w:t>
      </w:r>
      <w:r w:rsidR="0002220B">
        <w:rPr>
          <w:rFonts w:eastAsiaTheme="minorEastAsia"/>
          <w:szCs w:val="20"/>
        </w:rPr>
        <w:t xml:space="preserve"> for local DRM reform</w:t>
      </w:r>
      <w:r w:rsidR="002B5C7E">
        <w:rPr>
          <w:rFonts w:eastAsiaTheme="minorEastAsia"/>
          <w:szCs w:val="20"/>
        </w:rPr>
        <w:t xml:space="preserve"> and</w:t>
      </w:r>
      <w:r w:rsidR="0002220B">
        <w:rPr>
          <w:rFonts w:eastAsiaTheme="minorEastAsia"/>
          <w:szCs w:val="20"/>
        </w:rPr>
        <w:t xml:space="preserve"> MoFA for Indonesia regional response portfolio. </w:t>
      </w:r>
      <w:r w:rsidR="00924149">
        <w:rPr>
          <w:rFonts w:eastAsiaTheme="minorEastAsia"/>
          <w:szCs w:val="20"/>
        </w:rPr>
        <w:t>Adaptive management will allow for resetting program plans and outcomes in the event of a major, or multiple small-medium scale disasters. These will also be opportunities for learning that the program can build on.</w:t>
      </w:r>
    </w:p>
    <w:p w14:paraId="048533C8" w14:textId="6A337764" w:rsidR="004F10CB" w:rsidRDefault="00580CE7" w:rsidP="00F12A10">
      <w:r>
        <w:t>Partnership agreements</w:t>
      </w:r>
      <w:r w:rsidR="00777662">
        <w:t xml:space="preserve"> with </w:t>
      </w:r>
      <w:r w:rsidR="0094476B">
        <w:t>GoI</w:t>
      </w:r>
      <w:r w:rsidR="00777662">
        <w:t xml:space="preserve"> at national and sub-national level </w:t>
      </w:r>
      <w:r>
        <w:t>will provide opportunity for</w:t>
      </w:r>
      <w:r w:rsidR="00777662">
        <w:t xml:space="preserve"> joint identification of risks to the specific program of work agreed by partners. This will</w:t>
      </w:r>
      <w:r w:rsidR="00D31E6F">
        <w:t xml:space="preserve"> be reviewed and updated at</w:t>
      </w:r>
      <w:r w:rsidR="001C2AC5">
        <w:t xml:space="preserve"> a</w:t>
      </w:r>
      <w:r w:rsidR="00777662">
        <w:t>nnual partners</w:t>
      </w:r>
      <w:r w:rsidR="004F10CB">
        <w:t xml:space="preserve">hip </w:t>
      </w:r>
      <w:r w:rsidR="001C2AC5">
        <w:t>health checks</w:t>
      </w:r>
      <w:r w:rsidR="004F10CB">
        <w:t xml:space="preserve">. Each grantee will also be required to </w:t>
      </w:r>
      <w:r w:rsidR="00AF26AB">
        <w:t xml:space="preserve">identify, </w:t>
      </w:r>
      <w:r w:rsidR="004F10CB">
        <w:t xml:space="preserve">manage </w:t>
      </w:r>
      <w:r w:rsidR="00AF26AB">
        <w:t xml:space="preserve">and report on </w:t>
      </w:r>
      <w:r w:rsidR="004F10CB">
        <w:t>risks</w:t>
      </w:r>
      <w:r w:rsidR="00AF26AB">
        <w:t xml:space="preserve"> in their activities</w:t>
      </w:r>
      <w:r w:rsidR="004F10CB">
        <w:t>. As PMI, Muhammadiyah and NU will be working at village level child safety risks are substantial. Grantees must comply with DFAT’s Child Protection Standards and regular training on these standards will be provided by the Managing Contractor.</w:t>
      </w:r>
    </w:p>
    <w:p w14:paraId="76997A61" w14:textId="6FBBD8DD" w:rsidR="00777662" w:rsidRDefault="00FC6609" w:rsidP="00AE3AB0">
      <w:r>
        <w:t>Interna</w:t>
      </w:r>
      <w:r w:rsidR="00AE3AB0">
        <w:t>lly the Managin</w:t>
      </w:r>
      <w:r w:rsidR="001C2AC5">
        <w:t>g Contractor will have regular Strategy T</w:t>
      </w:r>
      <w:r w:rsidR="00AE3AB0">
        <w:t>esting processes which can include an assessment and updating of relevant risks.  Other risks should be monitored by the Program Director with the risk register updated</w:t>
      </w:r>
      <w:r w:rsidR="0071054E">
        <w:t xml:space="preserve"> and discussed with DFAT</w:t>
      </w:r>
      <w:r w:rsidR="00AE3AB0">
        <w:t xml:space="preserve"> at least </w:t>
      </w:r>
      <w:r w:rsidR="0071054E">
        <w:t>twice year</w:t>
      </w:r>
      <w:r w:rsidR="00AE3AB0">
        <w:t xml:space="preserve">. </w:t>
      </w:r>
    </w:p>
    <w:tbl>
      <w:tblPr>
        <w:tblW w:w="952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525"/>
      </w:tblGrid>
      <w:tr w:rsidR="00A877CF" w:rsidRPr="003144BF" w14:paraId="47C26B4D" w14:textId="77777777" w:rsidTr="00CC67BD">
        <w:trPr>
          <w:trHeight w:val="360"/>
          <w:tblHeader/>
        </w:trPr>
        <w:tc>
          <w:tcPr>
            <w:tcW w:w="9525" w:type="dxa"/>
            <w:shd w:val="clear" w:color="auto" w:fill="B4C6E7" w:themeFill="accent1" w:themeFillTint="66"/>
          </w:tcPr>
          <w:p w14:paraId="167CAB40" w14:textId="76B28957" w:rsidR="00A877CF" w:rsidRPr="003144BF" w:rsidRDefault="00A877CF" w:rsidP="00CC67BD">
            <w:pPr>
              <w:pStyle w:val="Heading2"/>
            </w:pPr>
            <w:bookmarkStart w:id="56" w:name="_Toc514853179"/>
            <w:bookmarkStart w:id="57" w:name="_Toc525550787"/>
            <w:r w:rsidRPr="003144BF">
              <w:t xml:space="preserve">F: </w:t>
            </w:r>
            <w:r w:rsidR="006E3D3D" w:rsidRPr="003144BF">
              <w:t xml:space="preserve"> </w:t>
            </w:r>
            <w:r w:rsidRPr="003144BF">
              <w:t>Annexes</w:t>
            </w:r>
            <w:bookmarkEnd w:id="56"/>
            <w:bookmarkEnd w:id="57"/>
          </w:p>
        </w:tc>
      </w:tr>
    </w:tbl>
    <w:p w14:paraId="0F71FF33" w14:textId="12538D7B" w:rsidR="005C3CB1" w:rsidRDefault="005C3CB1" w:rsidP="00762E2A">
      <w:pPr>
        <w:pStyle w:val="Heading4"/>
        <w:rPr>
          <w:color w:val="000000" w:themeColor="text1"/>
        </w:rPr>
      </w:pPr>
      <w:bookmarkStart w:id="58" w:name="_Toc515138510"/>
      <w:r>
        <w:rPr>
          <w:color w:val="000000" w:themeColor="text1"/>
        </w:rPr>
        <w:t xml:space="preserve">Annex </w:t>
      </w:r>
      <w:r w:rsidR="00E811EC">
        <w:rPr>
          <w:color w:val="000000" w:themeColor="text1"/>
        </w:rPr>
        <w:t>1</w:t>
      </w:r>
      <w:r>
        <w:rPr>
          <w:color w:val="000000" w:themeColor="text1"/>
        </w:rPr>
        <w:t xml:space="preserve"> Indicative activities</w:t>
      </w:r>
    </w:p>
    <w:p w14:paraId="18CBEB3D" w14:textId="1E823680" w:rsidR="00A877CF" w:rsidRPr="003144BF" w:rsidRDefault="00CC67BD" w:rsidP="00762E2A">
      <w:pPr>
        <w:pStyle w:val="Heading4"/>
        <w:rPr>
          <w:color w:val="000000" w:themeColor="text1"/>
        </w:rPr>
      </w:pPr>
      <w:r w:rsidRPr="003144BF">
        <w:rPr>
          <w:color w:val="000000" w:themeColor="text1"/>
        </w:rPr>
        <w:t xml:space="preserve">Annex </w:t>
      </w:r>
      <w:r w:rsidR="00E811EC">
        <w:rPr>
          <w:color w:val="000000" w:themeColor="text1"/>
        </w:rPr>
        <w:t>2</w:t>
      </w:r>
      <w:r w:rsidRPr="003144BF">
        <w:rPr>
          <w:color w:val="000000" w:themeColor="text1"/>
        </w:rPr>
        <w:t xml:space="preserve"> </w:t>
      </w:r>
      <w:r w:rsidR="00A877CF" w:rsidRPr="003144BF">
        <w:rPr>
          <w:color w:val="000000" w:themeColor="text1"/>
        </w:rPr>
        <w:t>M</w:t>
      </w:r>
      <w:r w:rsidR="00DD1697" w:rsidRPr="003144BF">
        <w:rPr>
          <w:color w:val="000000" w:themeColor="text1"/>
        </w:rPr>
        <w:t>EL</w:t>
      </w:r>
      <w:r w:rsidR="00A877CF" w:rsidRPr="003144BF">
        <w:rPr>
          <w:color w:val="000000" w:themeColor="text1"/>
        </w:rPr>
        <w:t xml:space="preserve"> Framework</w:t>
      </w:r>
      <w:bookmarkEnd w:id="58"/>
    </w:p>
    <w:p w14:paraId="1D68C50D" w14:textId="3B3DA362" w:rsidR="003C723B" w:rsidRDefault="003C723B">
      <w:pPr>
        <w:suppressAutoHyphens w:val="0"/>
        <w:spacing w:before="0" w:after="0" w:line="240" w:lineRule="auto"/>
      </w:pPr>
    </w:p>
    <w:sectPr w:rsidR="003C723B" w:rsidSect="00E811EC">
      <w:footerReference w:type="default" r:id="rId26"/>
      <w:headerReference w:type="first" r:id="rId27"/>
      <w:footerReference w:type="first" r:id="rId28"/>
      <w:pgSz w:w="11906" w:h="16838" w:code="9"/>
      <w:pgMar w:top="1701" w:right="1134" w:bottom="1418" w:left="1134" w:header="425" w:footer="493" w:gutter="0"/>
      <w:cols w:space="39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16C8E" w16cid:durableId="1EE09E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2244" w14:textId="77777777" w:rsidR="00B01D1C" w:rsidRDefault="00B01D1C" w:rsidP="00A877CF">
      <w:pPr>
        <w:spacing w:before="0" w:after="0" w:line="240" w:lineRule="auto"/>
      </w:pPr>
      <w:r>
        <w:separator/>
      </w:r>
    </w:p>
  </w:endnote>
  <w:endnote w:type="continuationSeparator" w:id="0">
    <w:p w14:paraId="29B7E34C" w14:textId="77777777" w:rsidR="00B01D1C" w:rsidRDefault="00B01D1C" w:rsidP="00A877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dvOT8cb2ddb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3035244"/>
      <w:docPartObj>
        <w:docPartGallery w:val="Page Numbers (Bottom of Page)"/>
        <w:docPartUnique/>
      </w:docPartObj>
    </w:sdtPr>
    <w:sdtEndPr>
      <w:rPr>
        <w:rStyle w:val="PageNumber"/>
      </w:rPr>
    </w:sdtEndPr>
    <w:sdtContent>
      <w:p w14:paraId="58844ECB" w14:textId="77777777" w:rsidR="00B01D1C" w:rsidRDefault="00B01D1C" w:rsidP="002F5A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CFAD6A" w14:textId="77777777" w:rsidR="00B01D1C" w:rsidRDefault="00B01D1C" w:rsidP="000967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6957312"/>
      <w:docPartObj>
        <w:docPartGallery w:val="Page Numbers (Bottom of Page)"/>
        <w:docPartUnique/>
      </w:docPartObj>
    </w:sdtPr>
    <w:sdtEndPr>
      <w:rPr>
        <w:rStyle w:val="PageNumber"/>
        <w:i/>
        <w:sz w:val="16"/>
        <w:szCs w:val="16"/>
      </w:rPr>
    </w:sdtEndPr>
    <w:sdtContent>
      <w:p w14:paraId="41A16AFE" w14:textId="4D9AB669" w:rsidR="00B01D1C" w:rsidRPr="002F5AC3" w:rsidRDefault="00B01D1C" w:rsidP="002F5AC3">
        <w:pPr>
          <w:pStyle w:val="Footer"/>
          <w:framePr w:wrap="none" w:vAnchor="text" w:hAnchor="margin" w:xAlign="right" w:y="1"/>
          <w:rPr>
            <w:rStyle w:val="PageNumber"/>
            <w:i/>
            <w:sz w:val="16"/>
            <w:szCs w:val="16"/>
          </w:rPr>
        </w:pPr>
        <w:r w:rsidRPr="002F5AC3">
          <w:rPr>
            <w:rStyle w:val="PageNumber"/>
            <w:i/>
            <w:sz w:val="16"/>
            <w:szCs w:val="16"/>
          </w:rPr>
          <w:fldChar w:fldCharType="begin"/>
        </w:r>
        <w:r w:rsidRPr="002F5AC3">
          <w:rPr>
            <w:rStyle w:val="PageNumber"/>
            <w:i/>
            <w:sz w:val="16"/>
            <w:szCs w:val="16"/>
          </w:rPr>
          <w:instrText xml:space="preserve"> PAGE </w:instrText>
        </w:r>
        <w:r w:rsidRPr="002F5AC3">
          <w:rPr>
            <w:rStyle w:val="PageNumber"/>
            <w:i/>
            <w:sz w:val="16"/>
            <w:szCs w:val="16"/>
          </w:rPr>
          <w:fldChar w:fldCharType="separate"/>
        </w:r>
        <w:r w:rsidR="00C439A5">
          <w:rPr>
            <w:rStyle w:val="PageNumber"/>
            <w:i/>
            <w:noProof/>
            <w:sz w:val="16"/>
            <w:szCs w:val="16"/>
          </w:rPr>
          <w:t>2</w:t>
        </w:r>
        <w:r w:rsidRPr="002F5AC3">
          <w:rPr>
            <w:rStyle w:val="PageNumber"/>
            <w:i/>
            <w:sz w:val="16"/>
            <w:szCs w:val="16"/>
          </w:rPr>
          <w:fldChar w:fldCharType="end"/>
        </w:r>
      </w:p>
    </w:sdtContent>
  </w:sdt>
  <w:p w14:paraId="7F12C404" w14:textId="25966C51" w:rsidR="00B01D1C" w:rsidRPr="002F5AC3" w:rsidRDefault="00B01D1C" w:rsidP="002F5AC3">
    <w:pPr>
      <w:pStyle w:val="Footer"/>
      <w:ind w:left="0" w:right="360"/>
      <w:rPr>
        <w:i/>
        <w:color w:val="000000" w:themeColor="text1"/>
        <w:sz w:val="16"/>
        <w:szCs w:val="16"/>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4BC7" w14:textId="61A74F33" w:rsidR="00B01D1C" w:rsidRDefault="00B01D1C" w:rsidP="007C7BBD">
    <w:pPr>
      <w:pStyle w:val="Head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8577638"/>
      <w:docPartObj>
        <w:docPartGallery w:val="Page Numbers (Bottom of Page)"/>
        <w:docPartUnique/>
      </w:docPartObj>
    </w:sdtPr>
    <w:sdtEndPr>
      <w:rPr>
        <w:rStyle w:val="PageNumber"/>
      </w:rPr>
    </w:sdtEndPr>
    <w:sdtContent>
      <w:p w14:paraId="5FAB1B1C" w14:textId="77777777" w:rsidR="00B01D1C" w:rsidRDefault="00B01D1C" w:rsidP="005002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BF337" w14:textId="77777777" w:rsidR="00B01D1C" w:rsidRDefault="00B01D1C" w:rsidP="000967A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86054854"/>
      <w:docPartObj>
        <w:docPartGallery w:val="Page Numbers (Bottom of Page)"/>
        <w:docPartUnique/>
      </w:docPartObj>
    </w:sdtPr>
    <w:sdtEndPr>
      <w:rPr>
        <w:rStyle w:val="PageNumber"/>
        <w:i/>
        <w:sz w:val="16"/>
        <w:szCs w:val="16"/>
      </w:rPr>
    </w:sdtEndPr>
    <w:sdtContent>
      <w:p w14:paraId="370D2C2C" w14:textId="4DD5F0B6" w:rsidR="00B01D1C" w:rsidRPr="0050021E" w:rsidRDefault="00B01D1C" w:rsidP="00D312B2">
        <w:pPr>
          <w:pStyle w:val="Footer"/>
          <w:framePr w:wrap="none" w:vAnchor="text" w:hAnchor="margin" w:xAlign="right" w:y="1"/>
          <w:rPr>
            <w:rStyle w:val="PageNumber"/>
            <w:i/>
            <w:sz w:val="16"/>
            <w:szCs w:val="16"/>
          </w:rPr>
        </w:pPr>
        <w:r w:rsidRPr="0050021E">
          <w:rPr>
            <w:rStyle w:val="PageNumber"/>
            <w:i/>
            <w:sz w:val="16"/>
            <w:szCs w:val="16"/>
          </w:rPr>
          <w:fldChar w:fldCharType="begin"/>
        </w:r>
        <w:r w:rsidRPr="0050021E">
          <w:rPr>
            <w:rStyle w:val="PageNumber"/>
            <w:i/>
            <w:sz w:val="16"/>
            <w:szCs w:val="16"/>
          </w:rPr>
          <w:instrText xml:space="preserve"> PAGE </w:instrText>
        </w:r>
        <w:r w:rsidRPr="0050021E">
          <w:rPr>
            <w:rStyle w:val="PageNumber"/>
            <w:i/>
            <w:sz w:val="16"/>
            <w:szCs w:val="16"/>
          </w:rPr>
          <w:fldChar w:fldCharType="separate"/>
        </w:r>
        <w:r w:rsidR="00C439A5">
          <w:rPr>
            <w:rStyle w:val="PageNumber"/>
            <w:i/>
            <w:noProof/>
            <w:sz w:val="16"/>
            <w:szCs w:val="16"/>
          </w:rPr>
          <w:t>28</w:t>
        </w:r>
        <w:r w:rsidRPr="0050021E">
          <w:rPr>
            <w:rStyle w:val="PageNumber"/>
            <w:i/>
            <w:sz w:val="16"/>
            <w:szCs w:val="16"/>
          </w:rPr>
          <w:fldChar w:fldCharType="end"/>
        </w:r>
      </w:p>
    </w:sdtContent>
  </w:sdt>
  <w:sdt>
    <w:sdtPr>
      <w:id w:val="-817037931"/>
      <w:docPartObj>
        <w:docPartGallery w:val="Page Numbers (Bottom of Page)"/>
        <w:docPartUnique/>
      </w:docPartObj>
    </w:sdtPr>
    <w:sdtEndPr/>
    <w:sdtContent>
      <w:sdt>
        <w:sdtPr>
          <w:id w:val="-1483459829"/>
          <w:docPartObj>
            <w:docPartGallery w:val="Page Numbers (Top of Page)"/>
            <w:docPartUnique/>
          </w:docPartObj>
        </w:sdtPr>
        <w:sdtEndPr/>
        <w:sdtContent>
          <w:p w14:paraId="209953EA" w14:textId="0CECD727" w:rsidR="00B01D1C" w:rsidRDefault="00B01D1C" w:rsidP="0050021E">
            <w:pPr>
              <w:pStyle w:val="Footer"/>
              <w:ind w:right="360"/>
              <w:jc w:val="center"/>
            </w:pPr>
            <w:r>
              <w:rPr>
                <w:b/>
                <w:bCs/>
                <w:sz w:val="24"/>
                <w:szCs w:val="24"/>
              </w:rPr>
              <w:fldChar w:fldCharType="begin"/>
            </w:r>
            <w:r>
              <w:rPr>
                <w:b/>
                <w:bCs/>
              </w:rPr>
              <w:instrText xml:space="preserve"> NUMPAGES  </w:instrText>
            </w:r>
            <w:r>
              <w:rPr>
                <w:b/>
                <w:bCs/>
                <w:sz w:val="24"/>
                <w:szCs w:val="24"/>
              </w:rPr>
              <w:fldChar w:fldCharType="separate"/>
            </w:r>
            <w:r w:rsidR="00C439A5">
              <w:rPr>
                <w:b/>
                <w:bCs/>
                <w:noProof/>
              </w:rPr>
              <w:t>45</w:t>
            </w:r>
            <w:r>
              <w:rPr>
                <w:b/>
                <w:bCs/>
                <w:sz w:val="24"/>
                <w:szCs w:val="24"/>
              </w:rPr>
              <w:fldChar w:fldCharType="end"/>
            </w:r>
          </w:p>
        </w:sdtContent>
      </w:sdt>
    </w:sdtContent>
  </w:sdt>
  <w:p w14:paraId="35350C27" w14:textId="77777777" w:rsidR="00B01D1C" w:rsidRDefault="00B01D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1198211"/>
      <w:docPartObj>
        <w:docPartGallery w:val="Page Numbers (Bottom of Page)"/>
        <w:docPartUnique/>
      </w:docPartObj>
    </w:sdtPr>
    <w:sdtEndPr>
      <w:rPr>
        <w:rStyle w:val="PageNumber"/>
        <w:i/>
        <w:sz w:val="16"/>
        <w:szCs w:val="16"/>
      </w:rPr>
    </w:sdtEndPr>
    <w:sdtContent>
      <w:p w14:paraId="1BAC5591" w14:textId="6BEFAF9F" w:rsidR="00B01D1C" w:rsidRPr="0050021E" w:rsidRDefault="00B01D1C" w:rsidP="000967AC">
        <w:pPr>
          <w:pStyle w:val="Footer"/>
          <w:framePr w:wrap="none" w:vAnchor="text" w:hAnchor="margin" w:xAlign="right" w:y="1"/>
          <w:rPr>
            <w:rStyle w:val="PageNumber"/>
            <w:i/>
            <w:sz w:val="16"/>
            <w:szCs w:val="16"/>
          </w:rPr>
        </w:pPr>
        <w:r w:rsidRPr="0050021E">
          <w:rPr>
            <w:rStyle w:val="PageNumber"/>
            <w:i/>
            <w:sz w:val="16"/>
            <w:szCs w:val="16"/>
          </w:rPr>
          <w:fldChar w:fldCharType="begin"/>
        </w:r>
        <w:r w:rsidRPr="0050021E">
          <w:rPr>
            <w:rStyle w:val="PageNumber"/>
            <w:i/>
            <w:sz w:val="16"/>
            <w:szCs w:val="16"/>
          </w:rPr>
          <w:instrText xml:space="preserve"> PAGE </w:instrText>
        </w:r>
        <w:r w:rsidRPr="0050021E">
          <w:rPr>
            <w:rStyle w:val="PageNumber"/>
            <w:i/>
            <w:sz w:val="16"/>
            <w:szCs w:val="16"/>
          </w:rPr>
          <w:fldChar w:fldCharType="separate"/>
        </w:r>
        <w:r w:rsidR="00C439A5">
          <w:rPr>
            <w:rStyle w:val="PageNumber"/>
            <w:i/>
            <w:noProof/>
            <w:sz w:val="16"/>
            <w:szCs w:val="16"/>
          </w:rPr>
          <w:t>46</w:t>
        </w:r>
        <w:r w:rsidRPr="0050021E">
          <w:rPr>
            <w:rStyle w:val="PageNumber"/>
            <w:i/>
            <w:sz w:val="16"/>
            <w:szCs w:val="16"/>
          </w:rPr>
          <w:fldChar w:fldCharType="end"/>
        </w:r>
      </w:p>
    </w:sdtContent>
  </w:sdt>
  <w:p w14:paraId="3D5B4D6E" w14:textId="77777777" w:rsidR="00B01D1C" w:rsidRDefault="00B01D1C" w:rsidP="000967AC">
    <w:pPr>
      <w:pStyle w:val="Footer"/>
      <w:ind w:right="360"/>
      <w:jc w:val="right"/>
    </w:pPr>
  </w:p>
  <w:p w14:paraId="72B63FD0" w14:textId="77777777" w:rsidR="00B01D1C" w:rsidRPr="00FC322F" w:rsidRDefault="00B01D1C" w:rsidP="000967AC">
    <w:pPr>
      <w:pStyle w:val="Footer"/>
      <w:rPr>
        <w:b/>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i/>
        <w:sz w:val="16"/>
        <w:szCs w:val="16"/>
      </w:rPr>
      <w:id w:val="1712300306"/>
      <w:docPartObj>
        <w:docPartGallery w:val="Page Numbers (Bottom of Page)"/>
        <w:docPartUnique/>
      </w:docPartObj>
    </w:sdtPr>
    <w:sdtEndPr>
      <w:rPr>
        <w:rStyle w:val="PageNumber"/>
      </w:rPr>
    </w:sdtEndPr>
    <w:sdtContent>
      <w:p w14:paraId="0EB71C37" w14:textId="1C842A7C" w:rsidR="00B01D1C" w:rsidRPr="0050021E" w:rsidRDefault="00B01D1C" w:rsidP="00D312B2">
        <w:pPr>
          <w:pStyle w:val="Footer"/>
          <w:framePr w:wrap="none" w:vAnchor="text" w:hAnchor="margin" w:xAlign="right" w:y="1"/>
          <w:rPr>
            <w:rStyle w:val="PageNumber"/>
            <w:i/>
            <w:sz w:val="16"/>
            <w:szCs w:val="16"/>
          </w:rPr>
        </w:pPr>
        <w:r w:rsidRPr="0050021E">
          <w:rPr>
            <w:rStyle w:val="PageNumber"/>
            <w:i/>
            <w:sz w:val="16"/>
            <w:szCs w:val="16"/>
          </w:rPr>
          <w:fldChar w:fldCharType="begin"/>
        </w:r>
        <w:r w:rsidRPr="0050021E">
          <w:rPr>
            <w:rStyle w:val="PageNumber"/>
            <w:i/>
            <w:sz w:val="16"/>
            <w:szCs w:val="16"/>
          </w:rPr>
          <w:instrText xml:space="preserve"> PAGE </w:instrText>
        </w:r>
        <w:r w:rsidRPr="0050021E">
          <w:rPr>
            <w:rStyle w:val="PageNumber"/>
            <w:i/>
            <w:sz w:val="16"/>
            <w:szCs w:val="16"/>
          </w:rPr>
          <w:fldChar w:fldCharType="separate"/>
        </w:r>
        <w:r w:rsidR="00C439A5">
          <w:rPr>
            <w:rStyle w:val="PageNumber"/>
            <w:i/>
            <w:noProof/>
            <w:sz w:val="16"/>
            <w:szCs w:val="16"/>
          </w:rPr>
          <w:t>29</w:t>
        </w:r>
        <w:r w:rsidRPr="0050021E">
          <w:rPr>
            <w:rStyle w:val="PageNumber"/>
            <w:i/>
            <w:sz w:val="16"/>
            <w:szCs w:val="16"/>
          </w:rPr>
          <w:fldChar w:fldCharType="end"/>
        </w:r>
      </w:p>
    </w:sdtContent>
  </w:sdt>
  <w:p w14:paraId="47E3B10B" w14:textId="77777777" w:rsidR="00B01D1C" w:rsidRPr="00FC322F" w:rsidRDefault="00B01D1C" w:rsidP="0050021E">
    <w:pPr>
      <w:pStyle w:val="Footer"/>
      <w:ind w:right="360"/>
      <w:rPr>
        <w:b/>
      </w:rPr>
    </w:pPr>
    <w:r w:rsidRPr="00FC322F">
      <w:rPr>
        <w:b/>
        <w:noProof/>
        <w:lang w:val="en-AU" w:eastAsia="en-AU"/>
      </w:rPr>
      <w:drawing>
        <wp:inline distT="0" distB="0" distL="0" distR="0" wp14:anchorId="1B89BE4F" wp14:editId="0E56944D">
          <wp:extent cx="108000" cy="87480"/>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032A" w14:textId="77777777" w:rsidR="00B01D1C" w:rsidRDefault="00B01D1C" w:rsidP="00A877CF">
      <w:pPr>
        <w:spacing w:before="0" w:after="0" w:line="240" w:lineRule="auto"/>
      </w:pPr>
      <w:r>
        <w:separator/>
      </w:r>
    </w:p>
  </w:footnote>
  <w:footnote w:type="continuationSeparator" w:id="0">
    <w:p w14:paraId="42DFB9FB" w14:textId="77777777" w:rsidR="00B01D1C" w:rsidRDefault="00B01D1C" w:rsidP="00A877CF">
      <w:pPr>
        <w:spacing w:before="0" w:after="0" w:line="240" w:lineRule="auto"/>
      </w:pPr>
      <w:r>
        <w:continuationSeparator/>
      </w:r>
    </w:p>
  </w:footnote>
  <w:footnote w:id="1">
    <w:p w14:paraId="2017D95E" w14:textId="6409DAF6" w:rsidR="00B01D1C" w:rsidRPr="007C7BBD" w:rsidRDefault="00B01D1C">
      <w:pPr>
        <w:pStyle w:val="FootnoteText"/>
        <w:rPr>
          <w:lang w:val="en-AU"/>
        </w:rPr>
      </w:pPr>
      <w:r>
        <w:rPr>
          <w:rStyle w:val="FootnoteReference"/>
        </w:rPr>
        <w:footnoteRef/>
      </w:r>
      <w:r>
        <w:t xml:space="preserve"> </w:t>
      </w:r>
      <w:r>
        <w:rPr>
          <w:lang w:val="en-AU"/>
        </w:rPr>
        <w:t>Definitions used by UNISDR, as adopted by the UNGA 71</w:t>
      </w:r>
      <w:r w:rsidRPr="007C7BBD">
        <w:rPr>
          <w:vertAlign w:val="superscript"/>
          <w:lang w:val="en-AU"/>
        </w:rPr>
        <w:t>st</w:t>
      </w:r>
      <w:r>
        <w:rPr>
          <w:lang w:val="en-AU"/>
        </w:rPr>
        <w:t xml:space="preserve"> Session, 1 December 2016 “Report of the open-ended intergovernmental expert working group on indicators and terminology relating to disaster risk reduction”</w:t>
      </w:r>
    </w:p>
  </w:footnote>
  <w:footnote w:id="2">
    <w:p w14:paraId="0C3EDF12" w14:textId="77777777" w:rsidR="00B01D1C" w:rsidRPr="003D5569" w:rsidRDefault="00B01D1C" w:rsidP="00D41D0A">
      <w:pPr>
        <w:pStyle w:val="FootnoteText"/>
        <w:rPr>
          <w:lang w:val="en-AU"/>
        </w:rPr>
      </w:pPr>
      <w:r>
        <w:rPr>
          <w:rStyle w:val="FootnoteReference"/>
        </w:rPr>
        <w:footnoteRef/>
      </w:r>
      <w:r>
        <w:t xml:space="preserve"> </w:t>
      </w:r>
      <w:r>
        <w:rPr>
          <w:lang w:val="en-AU"/>
        </w:rPr>
        <w:t>Definitions adopted by the UNGA 71</w:t>
      </w:r>
      <w:r w:rsidRPr="003D5569">
        <w:rPr>
          <w:vertAlign w:val="superscript"/>
          <w:lang w:val="en-AU"/>
        </w:rPr>
        <w:t>st</w:t>
      </w:r>
      <w:r>
        <w:rPr>
          <w:lang w:val="en-AU"/>
        </w:rPr>
        <w:t xml:space="preserve"> Session, 1 December 2016 “Report of the open-ended intergovernmental expert working group on indicators and terminology relating to disaster risk reduction”</w:t>
      </w:r>
    </w:p>
    <w:p w14:paraId="63007826" w14:textId="77777777" w:rsidR="00B01D1C" w:rsidRPr="007C7BBD" w:rsidRDefault="00B01D1C" w:rsidP="00D41D0A">
      <w:pPr>
        <w:pStyle w:val="FootnoteText"/>
        <w:rPr>
          <w:lang w:val="en-AU"/>
        </w:rPr>
      </w:pPr>
    </w:p>
  </w:footnote>
  <w:footnote w:id="3">
    <w:p w14:paraId="0AFD8846" w14:textId="77777777" w:rsidR="00B01D1C" w:rsidRPr="00773D51" w:rsidRDefault="00B01D1C" w:rsidP="001B16A2">
      <w:pPr>
        <w:pStyle w:val="FootnoteText"/>
        <w:rPr>
          <w:lang w:val="en-AU"/>
        </w:rPr>
      </w:pPr>
      <w:r>
        <w:rPr>
          <w:rStyle w:val="FootnoteReference"/>
        </w:rPr>
        <w:footnoteRef/>
      </w:r>
      <w:r>
        <w:t xml:space="preserve"> 2017 Foreign Policy White Paper, Government of Australia at p90</w:t>
      </w:r>
    </w:p>
  </w:footnote>
  <w:footnote w:id="4">
    <w:p w14:paraId="5463BBDD" w14:textId="362BD1E5" w:rsidR="00B01D1C" w:rsidRPr="003D5569" w:rsidRDefault="00B01D1C" w:rsidP="008620EA">
      <w:pPr>
        <w:pStyle w:val="FootnoteText"/>
        <w:rPr>
          <w:lang w:val="en-AU"/>
        </w:rPr>
      </w:pPr>
      <w:r>
        <w:rPr>
          <w:rStyle w:val="FootnoteReference"/>
        </w:rPr>
        <w:footnoteRef/>
      </w:r>
      <w:r>
        <w:t xml:space="preserve"> </w:t>
      </w:r>
      <w:r>
        <w:rPr>
          <w:lang w:val="en-AU"/>
        </w:rPr>
        <w:t>Definitions adopted by the UNGA 71</w:t>
      </w:r>
      <w:r w:rsidRPr="003D5569">
        <w:rPr>
          <w:vertAlign w:val="superscript"/>
          <w:lang w:val="en-AU"/>
        </w:rPr>
        <w:t>st</w:t>
      </w:r>
      <w:r>
        <w:rPr>
          <w:lang w:val="en-AU"/>
        </w:rPr>
        <w:t xml:space="preserve"> Session, 1 December 2016 “Report of the open-ended intergovernmental expert working group on indicators and terminology relating to disaster risk reduction”</w:t>
      </w:r>
    </w:p>
  </w:footnote>
  <w:footnote w:id="5">
    <w:p w14:paraId="791461CC" w14:textId="356F5BF9" w:rsidR="00B01D1C" w:rsidRPr="00145C60" w:rsidRDefault="00B01D1C" w:rsidP="007D01B9">
      <w:pPr>
        <w:pStyle w:val="FootnoteText"/>
        <w:rPr>
          <w:lang w:val="en-AU"/>
        </w:rPr>
      </w:pPr>
      <w:r>
        <w:rPr>
          <w:rStyle w:val="FootnoteReference"/>
        </w:rPr>
        <w:footnoteRef/>
      </w:r>
      <w:r>
        <w:t xml:space="preserve"> BNPB, </w:t>
      </w:r>
      <w:r>
        <w:rPr>
          <w:lang w:val="en-AU"/>
        </w:rPr>
        <w:t xml:space="preserve">Indonesia’s Disaster Risk Management Baseline Status Report 2015 at p9; ADB (2012) Validation Report: Indonesia Earthquake and Tsunami Emergency Support Project </w:t>
      </w:r>
      <w:r w:rsidRPr="00B164E1">
        <w:rPr>
          <w:lang w:val="en-AU"/>
        </w:rPr>
        <w:t>https://www.adb.org/documents/indonesia-earthquake-and-tsunami-emergency-support-project</w:t>
      </w:r>
    </w:p>
  </w:footnote>
  <w:footnote w:id="6">
    <w:p w14:paraId="5C7DC301" w14:textId="77777777" w:rsidR="00B01D1C" w:rsidRPr="001D00AF" w:rsidRDefault="00B01D1C" w:rsidP="00475C9C">
      <w:pPr>
        <w:pStyle w:val="FootnoteText"/>
        <w:rPr>
          <w:lang w:val="en-AU"/>
        </w:rPr>
      </w:pPr>
      <w:r>
        <w:rPr>
          <w:rStyle w:val="FootnoteReference"/>
        </w:rPr>
        <w:footnoteRef/>
      </w:r>
      <w:r>
        <w:t xml:space="preserve"> Aceh Poverty Assessment 2008: The Impact of the Conflict, the Tsunami and Reconstruction on Poverty in Aceh. </w:t>
      </w:r>
      <w:r>
        <w:rPr>
          <w:lang w:val="en-AU"/>
        </w:rPr>
        <w:t>World Bank Jakarta 2008</w:t>
      </w:r>
    </w:p>
  </w:footnote>
  <w:footnote w:id="7">
    <w:p w14:paraId="5051CD2B" w14:textId="73BF73D9" w:rsidR="00B01D1C" w:rsidRPr="0099525B" w:rsidRDefault="00B01D1C">
      <w:pPr>
        <w:pStyle w:val="FootnoteText"/>
        <w:rPr>
          <w:lang w:val="en-AU"/>
        </w:rPr>
      </w:pPr>
      <w:r>
        <w:rPr>
          <w:rStyle w:val="FootnoteReference"/>
        </w:rPr>
        <w:footnoteRef/>
      </w:r>
      <w:r>
        <w:t xml:space="preserve"> </w:t>
      </w:r>
      <w:r w:rsidRPr="008D33FD">
        <w:t>Indonesian President recognized as “UNISDR Global Champion for Disaster Risk Reduction” at Global Platform opening ceremony</w:t>
      </w:r>
      <w:r>
        <w:t xml:space="preserve">. Available at </w:t>
      </w:r>
      <w:hyperlink r:id="rId1" w:history="1">
        <w:r w:rsidRPr="00E9596F">
          <w:rPr>
            <w:rStyle w:val="Hyperlink"/>
          </w:rPr>
          <w:t>https://www.unisdr.org/archive/19883</w:t>
        </w:r>
      </w:hyperlink>
    </w:p>
  </w:footnote>
  <w:footnote w:id="8">
    <w:p w14:paraId="71E6E164" w14:textId="77777777" w:rsidR="00B01D1C" w:rsidRPr="00D6713D" w:rsidRDefault="00B01D1C" w:rsidP="00CF5F11">
      <w:pPr>
        <w:pStyle w:val="FootnoteText"/>
        <w:rPr>
          <w:lang w:val="en-US"/>
        </w:rPr>
      </w:pPr>
      <w:r>
        <w:rPr>
          <w:rStyle w:val="FootnoteReference"/>
        </w:rPr>
        <w:footnoteRef/>
      </w:r>
      <w:r>
        <w:t xml:space="preserve"> </w:t>
      </w:r>
      <w:r w:rsidRPr="0058747D">
        <w:t>https://www.preventionweb.net/publications/view/50832</w:t>
      </w:r>
    </w:p>
  </w:footnote>
  <w:footnote w:id="9">
    <w:p w14:paraId="01B8966C" w14:textId="7F3A4B4C" w:rsidR="00B01D1C" w:rsidRPr="002354B7" w:rsidRDefault="00B01D1C" w:rsidP="007D01B9">
      <w:pPr>
        <w:pStyle w:val="FootnoteText"/>
        <w:rPr>
          <w:lang w:val="en-AU"/>
        </w:rPr>
      </w:pPr>
      <w:r>
        <w:rPr>
          <w:rStyle w:val="FootnoteReference"/>
        </w:rPr>
        <w:footnoteRef/>
      </w:r>
      <w:r>
        <w:t xml:space="preserve"> </w:t>
      </w:r>
      <w:r>
        <w:rPr>
          <w:lang w:val="en-AU"/>
        </w:rPr>
        <w:t>Law Number 24 of 2007 Concerning Disaster Management Part One</w:t>
      </w:r>
    </w:p>
  </w:footnote>
  <w:footnote w:id="10">
    <w:p w14:paraId="1F8BD1C0" w14:textId="6ED015FC" w:rsidR="00B01D1C" w:rsidRPr="00B53837" w:rsidRDefault="00B01D1C">
      <w:pPr>
        <w:pStyle w:val="FootnoteText"/>
        <w:rPr>
          <w:lang w:val="en-AU"/>
        </w:rPr>
      </w:pPr>
      <w:r>
        <w:rPr>
          <w:rStyle w:val="FootnoteReference"/>
        </w:rPr>
        <w:footnoteRef/>
      </w:r>
      <w:r>
        <w:t xml:space="preserve"> </w:t>
      </w:r>
      <w:r>
        <w:rPr>
          <w:lang w:val="en-AU"/>
        </w:rPr>
        <w:t>RJPMN 2015-2019 General Policies (4)</w:t>
      </w:r>
    </w:p>
  </w:footnote>
  <w:footnote w:id="11">
    <w:p w14:paraId="35A33559" w14:textId="77777777" w:rsidR="00B01D1C" w:rsidRPr="008B6E82" w:rsidRDefault="00B01D1C" w:rsidP="00CC1AB8">
      <w:pPr>
        <w:pStyle w:val="FootnoteText"/>
        <w:ind w:left="0" w:firstLine="0"/>
        <w:rPr>
          <w:lang w:val="en-AU"/>
        </w:rPr>
      </w:pPr>
      <w:r>
        <w:rPr>
          <w:rStyle w:val="FootnoteReference"/>
        </w:rPr>
        <w:footnoteRef/>
      </w:r>
      <w:r>
        <w:t xml:space="preserve"> Learning from </w:t>
      </w:r>
      <w:r>
        <w:rPr>
          <w:lang w:val="en-AU"/>
        </w:rPr>
        <w:t xml:space="preserve">Pidie Jaya Earthquake Response, Aceh Province (2017) IFRC, in support of the Indonesia Humanitarian Country Team </w:t>
      </w:r>
    </w:p>
  </w:footnote>
  <w:footnote w:id="12">
    <w:p w14:paraId="51426482" w14:textId="77777777" w:rsidR="00B01D1C" w:rsidRPr="00DA334C" w:rsidRDefault="00B01D1C" w:rsidP="007D01B9">
      <w:pPr>
        <w:pStyle w:val="FootnoteText"/>
        <w:rPr>
          <w:lang w:val="en-AU"/>
        </w:rPr>
      </w:pPr>
      <w:r>
        <w:rPr>
          <w:rStyle w:val="FootnoteReference"/>
        </w:rPr>
        <w:footnoteRef/>
      </w:r>
      <w:r>
        <w:t xml:space="preserve"> </w:t>
      </w:r>
      <w:r>
        <w:rPr>
          <w:lang w:val="en-AU"/>
        </w:rPr>
        <w:t>Ibid</w:t>
      </w:r>
    </w:p>
  </w:footnote>
  <w:footnote w:id="13">
    <w:p w14:paraId="0E0B34E7" w14:textId="2392523E" w:rsidR="00B01D1C" w:rsidRPr="007C7BBD" w:rsidRDefault="00B01D1C" w:rsidP="007C7BBD">
      <w:pPr>
        <w:pStyle w:val="FootnoteText"/>
        <w:rPr>
          <w:lang w:val="en-AU"/>
        </w:rPr>
      </w:pPr>
      <w:r w:rsidRPr="007C7BBD">
        <w:rPr>
          <w:lang w:val="en-AU"/>
        </w:rPr>
        <w:footnoteRef/>
      </w:r>
      <w:r w:rsidRPr="007C7BBD">
        <w:rPr>
          <w:vertAlign w:val="superscript"/>
          <w:lang w:val="en-AU"/>
        </w:rPr>
        <w:t xml:space="preserve"> </w:t>
      </w:r>
      <w:r w:rsidRPr="008620EA">
        <w:rPr>
          <w:lang w:val="en-AU"/>
        </w:rPr>
        <w:t>Dj</w:t>
      </w:r>
      <w:r>
        <w:rPr>
          <w:lang w:val="en-AU"/>
        </w:rPr>
        <w:t>a</w:t>
      </w:r>
      <w:r w:rsidRPr="007C7BBD">
        <w:rPr>
          <w:lang w:val="en-AU"/>
        </w:rPr>
        <w:t>lante, R. 2012. Adaptive governance and resilience: the role of multi-stakeholder platforms in disaster risk reduction” Nat. Hazards Earth Syst. Sci., 12, 2923–2942.</w:t>
      </w:r>
    </w:p>
  </w:footnote>
  <w:footnote w:id="14">
    <w:p w14:paraId="1CC30CC8" w14:textId="3828C1B7" w:rsidR="00B01D1C" w:rsidRPr="00DA334C" w:rsidRDefault="00B01D1C" w:rsidP="007D01B9">
      <w:pPr>
        <w:pStyle w:val="FootnoteText"/>
        <w:rPr>
          <w:lang w:val="en-AU"/>
        </w:rPr>
      </w:pPr>
      <w:r>
        <w:rPr>
          <w:rStyle w:val="FootnoteReference"/>
        </w:rPr>
        <w:footnoteRef/>
      </w:r>
      <w:r>
        <w:t xml:space="preserve"> </w:t>
      </w:r>
      <w:r>
        <w:rPr>
          <w:lang w:val="en-AU"/>
        </w:rPr>
        <w:t xml:space="preserve">Willem Rapangilei, Head of BNPB, meeting with design team Jakarta 9 April 2018 </w:t>
      </w:r>
    </w:p>
  </w:footnote>
  <w:footnote w:id="15">
    <w:p w14:paraId="01CE133A" w14:textId="77777777" w:rsidR="00B01D1C" w:rsidRPr="003B31A8" w:rsidRDefault="00B01D1C" w:rsidP="007D01B9">
      <w:pPr>
        <w:pStyle w:val="FootnoteText"/>
        <w:rPr>
          <w:rFonts w:ascii="Calibri" w:hAnsi="Calibri" w:cs="Calibri"/>
        </w:rPr>
      </w:pPr>
      <w:r>
        <w:rPr>
          <w:rStyle w:val="FootnoteReference"/>
        </w:rPr>
        <w:footnoteRef/>
      </w:r>
      <w:r>
        <w:t xml:space="preserve">www </w:t>
      </w:r>
      <w:r>
        <w:rPr>
          <w:rFonts w:ascii="Calibri" w:hAnsi="Calibri" w:cs="Calibri"/>
        </w:rPr>
        <w:t xml:space="preserve">InaSAFE.org and </w:t>
      </w:r>
      <w:r>
        <w:t>www.hotosm.org</w:t>
      </w:r>
    </w:p>
  </w:footnote>
  <w:footnote w:id="16">
    <w:p w14:paraId="7F8125C6" w14:textId="7F949164" w:rsidR="00B01D1C" w:rsidRPr="00AB1409" w:rsidRDefault="00B01D1C">
      <w:pPr>
        <w:pStyle w:val="FootnoteText"/>
        <w:rPr>
          <w:lang w:val="en-AU"/>
        </w:rPr>
      </w:pPr>
      <w:r>
        <w:rPr>
          <w:rStyle w:val="FootnoteReference"/>
        </w:rPr>
        <w:footnoteRef/>
      </w:r>
      <w:r>
        <w:t xml:space="preserve"> </w:t>
      </w:r>
      <w:r>
        <w:rPr>
          <w:lang w:val="en-AU"/>
        </w:rPr>
        <w:t>Mr Mohammad Syarif Alatas, Director of Technical Cooperation MoFA, as reported during a UN-NGO-Donor coordination meeting 24 May 2018 Jakarta.</w:t>
      </w:r>
    </w:p>
  </w:footnote>
  <w:footnote w:id="17">
    <w:p w14:paraId="7AD0A4FD" w14:textId="77777777" w:rsidR="00B01D1C" w:rsidRPr="001B4F8B" w:rsidRDefault="00B01D1C" w:rsidP="0011378A">
      <w:pPr>
        <w:pStyle w:val="FootnoteText"/>
        <w:rPr>
          <w:lang w:val="en-AU"/>
        </w:rPr>
      </w:pPr>
      <w:r>
        <w:rPr>
          <w:rStyle w:val="FootnoteReference"/>
        </w:rPr>
        <w:footnoteRef/>
      </w:r>
      <w:r>
        <w:t xml:space="preserve"> </w:t>
      </w:r>
      <w:r w:rsidRPr="0003162D">
        <w:t>McEntire, DA. 2007. Disciplines, disasters, and emergency management: the convergence and divergence of concepts, issues and trends from the research literature. Springfield, Ill. : Charles C Thomas, Pub. 344p.</w:t>
      </w:r>
    </w:p>
  </w:footnote>
  <w:footnote w:id="18">
    <w:p w14:paraId="78C5D5D6" w14:textId="77777777" w:rsidR="00B01D1C" w:rsidRDefault="00B01D1C" w:rsidP="00986C52">
      <w:pPr>
        <w:pStyle w:val="FootnoteText"/>
      </w:pPr>
      <w:r>
        <w:rPr>
          <w:rStyle w:val="FootnoteReference"/>
        </w:rPr>
        <w:footnoteRef/>
      </w:r>
      <w:r>
        <w:t xml:space="preserve"> Ibid</w:t>
      </w:r>
    </w:p>
  </w:footnote>
  <w:footnote w:id="19">
    <w:p w14:paraId="26E3C3E5" w14:textId="77777777" w:rsidR="00B01D1C" w:rsidRDefault="00B01D1C" w:rsidP="0011378A">
      <w:pPr>
        <w:pStyle w:val="FootnoteText"/>
      </w:pPr>
      <w:r>
        <w:rPr>
          <w:rStyle w:val="FootnoteReference"/>
        </w:rPr>
        <w:footnoteRef/>
      </w:r>
      <w:r>
        <w:t xml:space="preserve"> </w:t>
      </w:r>
      <w:r w:rsidRPr="00D7378C">
        <w:t>Universalia. Draft Organisational Assessments of BNPB and BPBD, commissioned by AIFDR in</w:t>
      </w:r>
      <w:r>
        <w:t xml:space="preserve"> 2014</w:t>
      </w:r>
    </w:p>
  </w:footnote>
  <w:footnote w:id="20">
    <w:p w14:paraId="41A3A82A" w14:textId="77777777" w:rsidR="00B01D1C" w:rsidRDefault="00B01D1C" w:rsidP="007D01B9">
      <w:pPr>
        <w:pStyle w:val="FootnoteText"/>
      </w:pPr>
      <w:r>
        <w:rPr>
          <w:rStyle w:val="FootnoteReference"/>
        </w:rPr>
        <w:footnoteRef/>
      </w:r>
      <w:r>
        <w:t xml:space="preserve"> </w:t>
      </w:r>
      <w:r w:rsidRPr="002D78E5">
        <w:t>Murdjijanto, T. Draft Indonesia Funding Disaster Risk Management Budget Planning and Implementation Review, commissioned by AIFDR, 2013</w:t>
      </w:r>
    </w:p>
  </w:footnote>
  <w:footnote w:id="21">
    <w:p w14:paraId="3E772335" w14:textId="77777777" w:rsidR="00B01D1C" w:rsidRPr="00CF39A9" w:rsidRDefault="00B01D1C" w:rsidP="007D01B9">
      <w:pPr>
        <w:pStyle w:val="FootnoteText"/>
        <w:rPr>
          <w:lang w:val="en-AU"/>
        </w:rPr>
      </w:pPr>
      <w:r>
        <w:rPr>
          <w:rStyle w:val="FootnoteReference"/>
        </w:rPr>
        <w:footnoteRef/>
      </w:r>
      <w:r>
        <w:t xml:space="preserve"> Roberts L., Sexton J. </w:t>
      </w:r>
      <w:r>
        <w:rPr>
          <w:lang w:val="en-AU"/>
        </w:rPr>
        <w:t>Completion Review of the Australia – Indonesia Facility for Disaster Reduction’s Risk and Vulnerability Program March 2016</w:t>
      </w:r>
    </w:p>
  </w:footnote>
  <w:footnote w:id="22">
    <w:p w14:paraId="7B8E7AD2" w14:textId="77777777" w:rsidR="00B01D1C" w:rsidRPr="002E51A0" w:rsidRDefault="00B01D1C" w:rsidP="007D01B9">
      <w:pPr>
        <w:pStyle w:val="FootnoteText"/>
        <w:rPr>
          <w:lang w:val="en-AU"/>
        </w:rPr>
      </w:pPr>
      <w:r>
        <w:rPr>
          <w:rStyle w:val="FootnoteReference"/>
        </w:rPr>
        <w:footnoteRef/>
      </w:r>
      <w:r>
        <w:t xml:space="preserve"> </w:t>
      </w:r>
      <w:r w:rsidRPr="00E65D87">
        <w:rPr>
          <w:rFonts w:cstheme="minorHAnsi"/>
          <w:color w:val="000000"/>
          <w:lang w:val="en-US"/>
        </w:rPr>
        <w:t xml:space="preserve">Yulian Wihantoro Alan Lowe, Stuart Cooper, Melina Manochin 2015. Bureaucratic reform in post-Asian Crisis Indonesia: The Directorate General of Tax. </w:t>
      </w:r>
      <w:r w:rsidRPr="00E65D87">
        <w:rPr>
          <w:rFonts w:cstheme="minorHAnsi"/>
          <w:i/>
          <w:iCs/>
          <w:color w:val="000000"/>
          <w:lang w:val="en-US"/>
        </w:rPr>
        <w:t>Critical Perspectives on Accounting</w:t>
      </w:r>
      <w:r w:rsidRPr="00E65D87">
        <w:rPr>
          <w:rFonts w:cstheme="minorHAnsi"/>
          <w:i/>
          <w:iCs/>
          <w:color w:val="0C5F86"/>
          <w:lang w:val="en-US"/>
        </w:rPr>
        <w:t xml:space="preserve"> </w:t>
      </w:r>
      <w:r w:rsidRPr="00E65D87">
        <w:rPr>
          <w:rFonts w:cstheme="minorHAnsi"/>
          <w:color w:val="0C5F86"/>
          <w:lang w:val="en-US"/>
        </w:rPr>
        <w:t xml:space="preserve">31: </w:t>
      </w:r>
      <w:r w:rsidRPr="00E65D87">
        <w:rPr>
          <w:rFonts w:cstheme="minorHAnsi"/>
          <w:color w:val="000000"/>
          <w:lang w:val="en-US"/>
        </w:rPr>
        <w:t>44-63</w:t>
      </w:r>
    </w:p>
  </w:footnote>
  <w:footnote w:id="23">
    <w:p w14:paraId="240AD0F0" w14:textId="77777777" w:rsidR="00B01D1C" w:rsidRPr="002E51A0" w:rsidRDefault="00B01D1C" w:rsidP="007D01B9">
      <w:pPr>
        <w:pStyle w:val="FootnoteText"/>
        <w:rPr>
          <w:lang w:val="en-AU"/>
        </w:rPr>
      </w:pPr>
      <w:r>
        <w:rPr>
          <w:rStyle w:val="FootnoteReference"/>
        </w:rPr>
        <w:footnoteRef/>
      </w:r>
      <w:r>
        <w:t xml:space="preserve"> </w:t>
      </w:r>
      <w:r w:rsidRPr="002E51A0">
        <w:rPr>
          <w:rFonts w:cstheme="minorHAnsi"/>
          <w:color w:val="000000"/>
          <w:lang w:val="en-US"/>
        </w:rPr>
        <w:t xml:space="preserve">See for example: The Federal Court of Australia and the Family Court of Australia have a tripartite agreement with the Indonesian Supreme Court governing cooperation on capacity building and sharing of experience. </w:t>
      </w:r>
      <w:hyperlink r:id="rId2" w:history="1">
        <w:r w:rsidRPr="002E51A0">
          <w:rPr>
            <w:rFonts w:cstheme="minorHAnsi"/>
            <w:color w:val="000000"/>
            <w:lang w:val="en-US"/>
          </w:rPr>
          <w:t>https://dfat.gov.au/aid/how-we-measure-performance/ode/Documents/lawjustice-indonesia-case-study.pdf</w:t>
        </w:r>
      </w:hyperlink>
    </w:p>
  </w:footnote>
  <w:footnote w:id="24">
    <w:p w14:paraId="4DFE4A66" w14:textId="77777777" w:rsidR="00B01D1C" w:rsidRPr="0050441B" w:rsidRDefault="00B01D1C" w:rsidP="007D01B9">
      <w:pPr>
        <w:pStyle w:val="FootnoteText"/>
        <w:rPr>
          <w:lang w:val="en-AU"/>
        </w:rPr>
      </w:pPr>
      <w:r>
        <w:rPr>
          <w:rStyle w:val="FootnoteReference"/>
        </w:rPr>
        <w:footnoteRef/>
      </w:r>
      <w:r>
        <w:t xml:space="preserve"> </w:t>
      </w:r>
      <w:r>
        <w:rPr>
          <w:rFonts w:cstheme="minorHAnsi"/>
        </w:rPr>
        <w:t xml:space="preserve">Australia’s Support to </w:t>
      </w:r>
      <w:r w:rsidRPr="00E65D87">
        <w:rPr>
          <w:rFonts w:cstheme="minorHAnsi"/>
        </w:rPr>
        <w:t>the Government of Indonesia, Gover</w:t>
      </w:r>
      <w:r>
        <w:rPr>
          <w:rFonts w:cstheme="minorHAnsi"/>
        </w:rPr>
        <w:t xml:space="preserve">nance Support Team to the Vice </w:t>
      </w:r>
      <w:r w:rsidRPr="00E65D87">
        <w:rPr>
          <w:rFonts w:cstheme="minorHAnsi"/>
        </w:rPr>
        <w:t>President’s Office. Independent Progress Review, January 2012. https://dfat.gov.au/about-us/publications/Documents/indonesia-bureaucratic-reform-independent-progress-review.pdf</w:t>
      </w:r>
    </w:p>
  </w:footnote>
  <w:footnote w:id="25">
    <w:p w14:paraId="2F790246" w14:textId="77777777" w:rsidR="00B01D1C" w:rsidRPr="0050441B" w:rsidRDefault="00B01D1C" w:rsidP="007D01B9">
      <w:pPr>
        <w:pStyle w:val="FootnoteText"/>
        <w:rPr>
          <w:rFonts w:cstheme="minorHAnsi"/>
          <w:color w:val="000000"/>
          <w:lang w:val="en-US"/>
        </w:rPr>
      </w:pPr>
      <w:r>
        <w:rPr>
          <w:rStyle w:val="FootnoteReference"/>
        </w:rPr>
        <w:footnoteRef/>
      </w:r>
      <w:r>
        <w:t xml:space="preserve"> </w:t>
      </w:r>
      <w:r w:rsidRPr="0050441B">
        <w:rPr>
          <w:rFonts w:cstheme="minorHAnsi"/>
          <w:color w:val="000000"/>
          <w:lang w:val="en-US"/>
        </w:rPr>
        <w:t>Australia Indonesia Government Partnerships Fund Phase II 2010-15, Design Document</w:t>
      </w:r>
    </w:p>
  </w:footnote>
  <w:footnote w:id="26">
    <w:p w14:paraId="5058FB64" w14:textId="77777777" w:rsidR="00B01D1C" w:rsidRPr="0051775D" w:rsidRDefault="00B01D1C" w:rsidP="007D01B9">
      <w:pPr>
        <w:pStyle w:val="FootnoteText"/>
        <w:rPr>
          <w:lang w:val="en-AU"/>
        </w:rPr>
      </w:pPr>
      <w:r>
        <w:rPr>
          <w:rStyle w:val="FootnoteReference"/>
        </w:rPr>
        <w:footnoteRef/>
      </w:r>
      <w:r>
        <w:t xml:space="preserve"> </w:t>
      </w:r>
      <w:r>
        <w:rPr>
          <w:rFonts w:cstheme="minorHAnsi"/>
        </w:rPr>
        <w:t xml:space="preserve">Australia’s Support to </w:t>
      </w:r>
      <w:r w:rsidRPr="00E65D87">
        <w:rPr>
          <w:rFonts w:cstheme="minorHAnsi"/>
        </w:rPr>
        <w:t>the Government of Indonesia, Gover</w:t>
      </w:r>
      <w:r>
        <w:rPr>
          <w:rFonts w:cstheme="minorHAnsi"/>
        </w:rPr>
        <w:t xml:space="preserve">nance Support Team to the Vice </w:t>
      </w:r>
      <w:r w:rsidRPr="00E65D87">
        <w:rPr>
          <w:rFonts w:cstheme="minorHAnsi"/>
        </w:rPr>
        <w:t>President’s Office. Independent Progress Review, January 2012. https://dfat.gov.au/about-us/publications/Documents/indonesia-bureaucratic-reform-independent-progress-review.pdf</w:t>
      </w:r>
    </w:p>
  </w:footnote>
  <w:footnote w:id="27">
    <w:p w14:paraId="00B0FB81" w14:textId="77777777" w:rsidR="00B01D1C" w:rsidRPr="00506001" w:rsidRDefault="00B01D1C" w:rsidP="007D01B9">
      <w:pPr>
        <w:pStyle w:val="FootnoteText"/>
        <w:rPr>
          <w:lang w:val="en-AU"/>
        </w:rPr>
      </w:pPr>
      <w:r>
        <w:rPr>
          <w:rStyle w:val="FootnoteReference"/>
        </w:rPr>
        <w:footnoteRef/>
      </w:r>
      <w:r>
        <w:t xml:space="preserve"> </w:t>
      </w:r>
      <w:r w:rsidRPr="00E65D87">
        <w:rPr>
          <w:rFonts w:cstheme="minorHAnsi"/>
          <w:lang w:val="en-US"/>
        </w:rPr>
        <w:t>Design team interview with the former UNISDR’s consultant at BNPB on 18 April 2018</w:t>
      </w:r>
    </w:p>
  </w:footnote>
  <w:footnote w:id="28">
    <w:p w14:paraId="20AD44FA" w14:textId="77777777" w:rsidR="00B01D1C" w:rsidRPr="00EC0652" w:rsidRDefault="00B01D1C" w:rsidP="007D01B9">
      <w:pPr>
        <w:pStyle w:val="FootnoteText"/>
        <w:rPr>
          <w:lang w:val="en-AU"/>
        </w:rPr>
      </w:pPr>
      <w:r>
        <w:rPr>
          <w:rStyle w:val="FootnoteReference"/>
        </w:rPr>
        <w:footnoteRef/>
      </w:r>
      <w:r>
        <w:t xml:space="preserve"> Freeman M., Muchtar H. </w:t>
      </w:r>
      <w:r>
        <w:rPr>
          <w:lang w:val="en-AU"/>
        </w:rPr>
        <w:t>AIFDR Capacity Development Support Program, Mid Term Review for BNPB and AIFDR, August 2013 at p10</w:t>
      </w:r>
    </w:p>
  </w:footnote>
  <w:footnote w:id="29">
    <w:p w14:paraId="323BFEBE" w14:textId="77777777" w:rsidR="00B01D1C" w:rsidRPr="00506001" w:rsidRDefault="00B01D1C" w:rsidP="007D01B9">
      <w:pPr>
        <w:pStyle w:val="FootnoteText"/>
        <w:rPr>
          <w:lang w:val="en-AU"/>
        </w:rPr>
      </w:pPr>
      <w:r>
        <w:rPr>
          <w:rStyle w:val="FootnoteReference"/>
        </w:rPr>
        <w:footnoteRef/>
      </w:r>
      <w:r>
        <w:t xml:space="preserve"> </w:t>
      </w:r>
      <w:r>
        <w:rPr>
          <w:rFonts w:cstheme="minorHAnsi"/>
          <w:lang w:val="en-US"/>
        </w:rPr>
        <w:t>Design team p</w:t>
      </w:r>
      <w:r w:rsidRPr="00E65D87">
        <w:rPr>
          <w:rFonts w:cstheme="minorHAnsi"/>
          <w:lang w:val="en-US"/>
        </w:rPr>
        <w:t>ersonal interview with TATTs’ consultant from Mercy Corps on 17 April 2018</w:t>
      </w:r>
    </w:p>
  </w:footnote>
  <w:footnote w:id="30">
    <w:p w14:paraId="413725CD" w14:textId="4112A467" w:rsidR="00B01D1C" w:rsidRPr="00FE23BA" w:rsidRDefault="00B01D1C" w:rsidP="00824C6A">
      <w:pPr>
        <w:pStyle w:val="FootnoteText"/>
        <w:rPr>
          <w:lang w:val="en-AU"/>
        </w:rPr>
      </w:pPr>
      <w:r>
        <w:rPr>
          <w:rStyle w:val="FootnoteReference"/>
        </w:rPr>
        <w:footnoteRef/>
      </w:r>
      <w:r>
        <w:t xml:space="preserve"> </w:t>
      </w:r>
      <w:r w:rsidRPr="00981B12">
        <w:t>Ha, KM, et. al. 2015. Emergency management training in Korea: combining and balancing supply- and demand-centred paradigms</w:t>
      </w:r>
      <w:r>
        <w:t xml:space="preserve">. Springerplus </w:t>
      </w:r>
      <w:r w:rsidRPr="00981B12">
        <w:t>4: 653</w:t>
      </w:r>
    </w:p>
  </w:footnote>
  <w:footnote w:id="31">
    <w:p w14:paraId="42A88EC9" w14:textId="77777777" w:rsidR="00B01D1C" w:rsidRPr="006F0434" w:rsidRDefault="00B01D1C" w:rsidP="007D01B9">
      <w:pPr>
        <w:pStyle w:val="FootnoteText"/>
        <w:rPr>
          <w:lang w:val="en-AU"/>
        </w:rPr>
      </w:pPr>
      <w:r>
        <w:rPr>
          <w:rStyle w:val="FootnoteReference"/>
        </w:rPr>
        <w:footnoteRef/>
      </w:r>
      <w:r>
        <w:t xml:space="preserve"> </w:t>
      </w:r>
      <w:r>
        <w:rPr>
          <w:lang w:val="en-AU"/>
        </w:rPr>
        <w:t>UNFPA Indonesia, Humanitarian Preparedness and Response presentation at meeting with DFAT and design team 17 April 2018</w:t>
      </w:r>
    </w:p>
  </w:footnote>
  <w:footnote w:id="32">
    <w:p w14:paraId="5B54CEE4" w14:textId="0B9E93F2" w:rsidR="00B01D1C" w:rsidRPr="007C7BBD" w:rsidRDefault="00B01D1C" w:rsidP="001B16A2">
      <w:pPr>
        <w:pStyle w:val="FootnoteText"/>
      </w:pPr>
      <w:r>
        <w:rPr>
          <w:rStyle w:val="FootnoteReference"/>
        </w:rPr>
        <w:footnoteRef/>
      </w:r>
      <w:r>
        <w:t xml:space="preserve"> 2017 Foreign Policy White Paper, Government of Australia at p40</w:t>
      </w:r>
    </w:p>
  </w:footnote>
  <w:footnote w:id="33">
    <w:p w14:paraId="42A2EFAA" w14:textId="3FB7D844" w:rsidR="00B01D1C" w:rsidRPr="007C7BBD" w:rsidRDefault="00B01D1C">
      <w:pPr>
        <w:pStyle w:val="FootnoteText"/>
        <w:rPr>
          <w:lang w:val="en-AU"/>
        </w:rPr>
      </w:pPr>
      <w:r>
        <w:rPr>
          <w:rStyle w:val="FootnoteReference"/>
        </w:rPr>
        <w:footnoteRef/>
      </w:r>
      <w:r>
        <w:t xml:space="preserve"> 2017 Foreign Policy White Paper, Government of Australia at p90</w:t>
      </w:r>
    </w:p>
  </w:footnote>
  <w:footnote w:id="34">
    <w:p w14:paraId="528070CE" w14:textId="77777777" w:rsidR="00B01D1C" w:rsidRPr="00AC6BEA" w:rsidRDefault="00B01D1C" w:rsidP="00F14F0B">
      <w:pPr>
        <w:pStyle w:val="FootnoteText"/>
        <w:rPr>
          <w:lang w:val="en-AU"/>
        </w:rPr>
      </w:pPr>
      <w:r>
        <w:rPr>
          <w:rStyle w:val="FootnoteReference"/>
        </w:rPr>
        <w:footnoteRef/>
      </w:r>
      <w:r>
        <w:t xml:space="preserve"> Burke, J and Lilianne Fan (2014) Humanitarian crisis, emergency preparedness and response: the role of business and the private sector Indonesia case study. ODI Humanitarian Policy Group</w:t>
      </w:r>
    </w:p>
  </w:footnote>
  <w:footnote w:id="35">
    <w:p w14:paraId="247460E2" w14:textId="77777777" w:rsidR="00B01D1C" w:rsidRPr="00F12A10" w:rsidRDefault="00B01D1C" w:rsidP="00F14F0B">
      <w:pPr>
        <w:pStyle w:val="FootnoteText"/>
        <w:rPr>
          <w:lang w:val="en-AU"/>
        </w:rPr>
      </w:pPr>
      <w:r>
        <w:rPr>
          <w:rStyle w:val="FootnoteReference"/>
        </w:rPr>
        <w:footnoteRef/>
      </w:r>
      <w:r>
        <w:t xml:space="preserve"> Indonesia’s Disaster Risk Management Baseline Status Report 2015 BNPB p39</w:t>
      </w:r>
    </w:p>
  </w:footnote>
  <w:footnote w:id="36">
    <w:p w14:paraId="12F41911" w14:textId="70006158" w:rsidR="00B01D1C" w:rsidRPr="00260EDD" w:rsidRDefault="00B01D1C" w:rsidP="007D01B9">
      <w:pPr>
        <w:pStyle w:val="FootnoteText"/>
        <w:rPr>
          <w:lang w:val="en-AU"/>
        </w:rPr>
      </w:pPr>
      <w:r>
        <w:rPr>
          <w:rStyle w:val="FootnoteReference"/>
        </w:rPr>
        <w:footnoteRef/>
      </w:r>
      <w:r>
        <w:t xml:space="preserve"> </w:t>
      </w:r>
      <w:r>
        <w:rPr>
          <w:lang w:val="en-AU"/>
        </w:rPr>
        <w:t xml:space="preserve">GoI policies prevent project funding to UN agencies hence these grants will be funded directly by DFAT. </w:t>
      </w:r>
    </w:p>
  </w:footnote>
  <w:footnote w:id="37">
    <w:p w14:paraId="02051ACF" w14:textId="77777777" w:rsidR="00B01D1C" w:rsidRDefault="00B01D1C" w:rsidP="00837AA5">
      <w:pPr>
        <w:pStyle w:val="FootnoteText"/>
      </w:pPr>
      <w:r>
        <w:rPr>
          <w:rStyle w:val="FootnoteReference"/>
        </w:rPr>
        <w:footnoteRef/>
      </w:r>
      <w:r>
        <w:t xml:space="preserve"> </w:t>
      </w:r>
      <w:r w:rsidRPr="008A6632">
        <w:rPr>
          <w:lang w:val="en-AU"/>
        </w:rPr>
        <w:t>Pillar 1 activities, and Pillar 2 BPBD/Pusdalop capacity building work streams.</w:t>
      </w:r>
      <w:r>
        <w:rPr>
          <w:rFonts w:cstheme="minorHAnsi"/>
          <w:sz w:val="22"/>
          <w:szCs w:val="22"/>
        </w:rPr>
        <w:t xml:space="preserve"> </w:t>
      </w:r>
    </w:p>
  </w:footnote>
  <w:footnote w:id="38">
    <w:p w14:paraId="2A44C49F" w14:textId="6D01353A" w:rsidR="00B01D1C" w:rsidRPr="007A0F02" w:rsidRDefault="00B01D1C" w:rsidP="000A3839">
      <w:pPr>
        <w:pStyle w:val="FootnoteText"/>
        <w:rPr>
          <w:lang w:val="en-AU"/>
        </w:rPr>
      </w:pPr>
      <w:r w:rsidRPr="008A6632">
        <w:rPr>
          <w:vertAlign w:val="superscript"/>
          <w:lang w:val="en-AU"/>
        </w:rPr>
        <w:footnoteRef/>
      </w:r>
      <w:r w:rsidRPr="008A6632">
        <w:rPr>
          <w:lang w:val="en-AU"/>
        </w:rPr>
        <w:t xml:space="preserve"> World Bank 2011. Indonesia </w:t>
      </w:r>
      <w:r>
        <w:rPr>
          <w:lang w:val="en-AU"/>
        </w:rPr>
        <w:t>Gender Equality in Disaster Management and Climate Adaptation. Indonesia Gender Policy Brief; Indonesia’s Disaster Risk Management Baseline Report 2015 BNPB pp24-25</w:t>
      </w:r>
    </w:p>
  </w:footnote>
  <w:footnote w:id="39">
    <w:p w14:paraId="32AD08ED" w14:textId="3CB97D8C" w:rsidR="00B01D1C" w:rsidRPr="00652469" w:rsidRDefault="00B01D1C" w:rsidP="007644EB">
      <w:pPr>
        <w:pStyle w:val="FootnoteText"/>
        <w:rPr>
          <w:lang w:val="en-AU"/>
        </w:rPr>
      </w:pPr>
      <w:r w:rsidRPr="008A6632">
        <w:rPr>
          <w:vertAlign w:val="superscript"/>
          <w:lang w:val="en-AU"/>
        </w:rPr>
        <w:footnoteRef/>
      </w:r>
      <w:r w:rsidRPr="008A6632">
        <w:rPr>
          <w:lang w:val="en-AU"/>
        </w:rPr>
        <w:t xml:space="preserve"> Indonesia’s Disaster Risk Management Baseline Status Report 2015 BNPB p64</w:t>
      </w:r>
    </w:p>
  </w:footnote>
  <w:footnote w:id="40">
    <w:p w14:paraId="2BFA4A94" w14:textId="3892CDAC" w:rsidR="00B01D1C" w:rsidRPr="007644EB" w:rsidRDefault="00B01D1C">
      <w:pPr>
        <w:pStyle w:val="FootnoteText"/>
        <w:rPr>
          <w:lang w:val="en-AU"/>
        </w:rPr>
      </w:pPr>
      <w:r w:rsidRPr="008A6632">
        <w:rPr>
          <w:vertAlign w:val="superscript"/>
          <w:lang w:val="en-AU"/>
        </w:rPr>
        <w:footnoteRef/>
      </w:r>
      <w:r>
        <w:rPr>
          <w:lang w:val="en-AU"/>
        </w:rPr>
        <w:t xml:space="preserve"> </w:t>
      </w:r>
      <w:r w:rsidRPr="008A6632">
        <w:rPr>
          <w:lang w:val="en-AU"/>
        </w:rPr>
        <w:t>Indonesia’s Disaster Risk Management</w:t>
      </w:r>
      <w:r>
        <w:t xml:space="preserve"> Baseline Status Report 2015 BNPB p28</w:t>
      </w:r>
    </w:p>
  </w:footnote>
  <w:footnote w:id="41">
    <w:p w14:paraId="33288BDF" w14:textId="77777777" w:rsidR="00B01D1C" w:rsidRPr="00652469" w:rsidRDefault="00B01D1C" w:rsidP="003914E3">
      <w:pPr>
        <w:pStyle w:val="FootnoteText"/>
        <w:rPr>
          <w:lang w:val="en-AU"/>
        </w:rPr>
      </w:pPr>
      <w:r>
        <w:rPr>
          <w:rStyle w:val="FootnoteReference"/>
        </w:rPr>
        <w:footnoteRef/>
      </w:r>
      <w:r>
        <w:t xml:space="preserve"> Indonesia’s Disaster Risk Management Baseline Status Report 2015 BNPB p64</w:t>
      </w:r>
    </w:p>
  </w:footnote>
  <w:footnote w:id="42">
    <w:p w14:paraId="17E412DB" w14:textId="2A7E30CA" w:rsidR="00B01D1C" w:rsidRPr="00966442" w:rsidRDefault="00B01D1C" w:rsidP="005C2CAD">
      <w:pPr>
        <w:pStyle w:val="FootnoteText"/>
        <w:rPr>
          <w:lang w:val="en-AU"/>
        </w:rPr>
      </w:pPr>
      <w:r>
        <w:rPr>
          <w:rStyle w:val="FootnoteReference"/>
        </w:rPr>
        <w:footnoteRef/>
      </w:r>
      <w:r>
        <w:t xml:space="preserve"> “The Role and Capacity of Disabled People’s Organisations (DPOs) as Policy Advocates for Disability Inclusive DRR in Indonesia” Alex Robinson, Pradytia Putri Pertiwi, Sarina Kilham, Gwynnyth Llewellyn, book Chapter in </w:t>
      </w:r>
      <w:r>
        <w:rPr>
          <w:lang w:val="en-AU"/>
        </w:rPr>
        <w:t>Disaster Risk Reduction in Indonesia (2018) Springer</w:t>
      </w:r>
    </w:p>
  </w:footnote>
  <w:footnote w:id="43">
    <w:p w14:paraId="266960FA" w14:textId="77777777" w:rsidR="00B01D1C" w:rsidRPr="001B37AB" w:rsidRDefault="00B01D1C" w:rsidP="00313D2F">
      <w:pPr>
        <w:pStyle w:val="FootnoteText"/>
        <w:rPr>
          <w:lang w:val="en-AU"/>
        </w:rPr>
      </w:pPr>
      <w:r>
        <w:rPr>
          <w:rStyle w:val="FootnoteReference"/>
        </w:rPr>
        <w:footnoteRef/>
      </w:r>
      <w:r>
        <w:t xml:space="preserve"> Indonesia’s Disaster Risk Management Baseline Status Report 2015 BNPB p62-63</w:t>
      </w:r>
    </w:p>
  </w:footnote>
  <w:footnote w:id="44">
    <w:p w14:paraId="1D8EAA19" w14:textId="0DAB659A" w:rsidR="00B01D1C" w:rsidRPr="00AC6BEA" w:rsidRDefault="00B01D1C">
      <w:pPr>
        <w:pStyle w:val="FootnoteText"/>
        <w:rPr>
          <w:lang w:val="en-AU"/>
        </w:rPr>
      </w:pPr>
      <w:r>
        <w:rPr>
          <w:rStyle w:val="FootnoteReference"/>
        </w:rPr>
        <w:footnoteRef/>
      </w:r>
      <w:r>
        <w:t xml:space="preserve"> Burke, J and Lilianne Fan (2014) Humanitarian crisis, emergency preparedness and response: the role of business and the private sector Indonesia case study. ODI Humanitarian Policy Group</w:t>
      </w:r>
    </w:p>
  </w:footnote>
  <w:footnote w:id="45">
    <w:p w14:paraId="303394B1" w14:textId="7FABC5E8" w:rsidR="00B01D1C" w:rsidRPr="00F12A10" w:rsidRDefault="00B01D1C">
      <w:pPr>
        <w:pStyle w:val="FootnoteText"/>
        <w:rPr>
          <w:lang w:val="en-AU"/>
        </w:rPr>
      </w:pPr>
      <w:r>
        <w:rPr>
          <w:rStyle w:val="FootnoteReference"/>
        </w:rPr>
        <w:footnoteRef/>
      </w:r>
      <w:r>
        <w:t xml:space="preserve"> Indonesia’s Disaster Risk Management Baseline Status Report 2015 BNPB p39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E3FB" w14:textId="77777777" w:rsidR="00C439A5" w:rsidRDefault="00C43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EB86" w14:textId="77777777" w:rsidR="00C439A5" w:rsidRDefault="00C43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4BB4" w14:textId="62A150D8" w:rsidR="00B01D1C" w:rsidRPr="007C7BBD" w:rsidRDefault="00B01D1C" w:rsidP="007C7BBD">
    <w:pPr>
      <w:pStyle w:val="Header"/>
      <w:jc w:val="center"/>
      <w:rPr>
        <w:color w:val="000000" w:themeColor="text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60ADA" w14:textId="7E7815A7" w:rsidR="00B01D1C" w:rsidRPr="00943730" w:rsidRDefault="00B01D1C" w:rsidP="000967AC">
    <w:pPr>
      <w:pStyle w:val="Header"/>
    </w:pPr>
    <w:r w:rsidRPr="00943730">
      <w:fldChar w:fldCharType="begin"/>
    </w:r>
    <w:r w:rsidRPr="00943730">
      <w:instrText xml:space="preserve"> DATE  \@ "MMMM yyyy"  \* MERGEFORMAT </w:instrText>
    </w:r>
    <w:r w:rsidRPr="00943730">
      <w:fldChar w:fldCharType="separate"/>
    </w:r>
    <w:r w:rsidR="00C439A5">
      <w:rPr>
        <w:noProof/>
      </w:rPr>
      <w:t>January 2019</w:t>
    </w:r>
    <w:r w:rsidRPr="0094373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F0B"/>
    <w:multiLevelType w:val="hybridMultilevel"/>
    <w:tmpl w:val="C1C899C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10378"/>
    <w:multiLevelType w:val="hybridMultilevel"/>
    <w:tmpl w:val="8A2A0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946AF"/>
    <w:multiLevelType w:val="hybridMultilevel"/>
    <w:tmpl w:val="F5F699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C1E0E"/>
    <w:multiLevelType w:val="hybridMultilevel"/>
    <w:tmpl w:val="63EA8E5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80C10"/>
    <w:multiLevelType w:val="hybridMultilevel"/>
    <w:tmpl w:val="22EC3728"/>
    <w:lvl w:ilvl="0" w:tplc="A6C8B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71E24"/>
    <w:multiLevelType w:val="hybridMultilevel"/>
    <w:tmpl w:val="EF320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D1590"/>
    <w:multiLevelType w:val="hybridMultilevel"/>
    <w:tmpl w:val="C86A1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1F53D8"/>
    <w:multiLevelType w:val="hybridMultilevel"/>
    <w:tmpl w:val="B588BD48"/>
    <w:lvl w:ilvl="0" w:tplc="0C090003">
      <w:start w:val="1"/>
      <w:numFmt w:val="bullet"/>
      <w:lvlText w:val="o"/>
      <w:lvlJc w:val="left"/>
      <w:pPr>
        <w:ind w:left="1777" w:hanging="360"/>
      </w:pPr>
      <w:rPr>
        <w:rFonts w:ascii="Courier New" w:hAnsi="Courier New" w:cs="Courier New" w:hint="default"/>
      </w:rPr>
    </w:lvl>
    <w:lvl w:ilvl="1" w:tplc="0C090003">
      <w:start w:val="1"/>
      <w:numFmt w:val="bullet"/>
      <w:lvlText w:val="o"/>
      <w:lvlJc w:val="left"/>
      <w:pPr>
        <w:ind w:left="2497" w:hanging="360"/>
      </w:pPr>
      <w:rPr>
        <w:rFonts w:ascii="Courier New" w:hAnsi="Courier New" w:cs="Courier New" w:hint="default"/>
      </w:rPr>
    </w:lvl>
    <w:lvl w:ilvl="2" w:tplc="0C090005">
      <w:start w:val="1"/>
      <w:numFmt w:val="bullet"/>
      <w:lvlText w:val=""/>
      <w:lvlJc w:val="left"/>
      <w:pPr>
        <w:ind w:left="3217" w:hanging="360"/>
      </w:pPr>
      <w:rPr>
        <w:rFonts w:ascii="Wingdings" w:hAnsi="Wingdings" w:hint="default"/>
      </w:rPr>
    </w:lvl>
    <w:lvl w:ilvl="3" w:tplc="0C090001">
      <w:start w:val="1"/>
      <w:numFmt w:val="bullet"/>
      <w:lvlText w:val=""/>
      <w:lvlJc w:val="left"/>
      <w:pPr>
        <w:ind w:left="3937" w:hanging="360"/>
      </w:pPr>
      <w:rPr>
        <w:rFonts w:ascii="Symbol" w:hAnsi="Symbol" w:hint="default"/>
      </w:rPr>
    </w:lvl>
    <w:lvl w:ilvl="4" w:tplc="0C090003">
      <w:start w:val="1"/>
      <w:numFmt w:val="bullet"/>
      <w:lvlText w:val="o"/>
      <w:lvlJc w:val="left"/>
      <w:pPr>
        <w:ind w:left="4657" w:hanging="360"/>
      </w:pPr>
      <w:rPr>
        <w:rFonts w:ascii="Courier New" w:hAnsi="Courier New" w:cs="Courier New" w:hint="default"/>
      </w:rPr>
    </w:lvl>
    <w:lvl w:ilvl="5" w:tplc="0C090005">
      <w:start w:val="1"/>
      <w:numFmt w:val="bullet"/>
      <w:lvlText w:val=""/>
      <w:lvlJc w:val="left"/>
      <w:pPr>
        <w:ind w:left="5377" w:hanging="360"/>
      </w:pPr>
      <w:rPr>
        <w:rFonts w:ascii="Wingdings" w:hAnsi="Wingdings" w:hint="default"/>
      </w:rPr>
    </w:lvl>
    <w:lvl w:ilvl="6" w:tplc="0C090001">
      <w:start w:val="1"/>
      <w:numFmt w:val="bullet"/>
      <w:lvlText w:val=""/>
      <w:lvlJc w:val="left"/>
      <w:pPr>
        <w:ind w:left="6097" w:hanging="360"/>
      </w:pPr>
      <w:rPr>
        <w:rFonts w:ascii="Symbol" w:hAnsi="Symbol" w:hint="default"/>
      </w:rPr>
    </w:lvl>
    <w:lvl w:ilvl="7" w:tplc="0C090003">
      <w:start w:val="1"/>
      <w:numFmt w:val="bullet"/>
      <w:lvlText w:val="o"/>
      <w:lvlJc w:val="left"/>
      <w:pPr>
        <w:ind w:left="6817" w:hanging="360"/>
      </w:pPr>
      <w:rPr>
        <w:rFonts w:ascii="Courier New" w:hAnsi="Courier New" w:cs="Courier New" w:hint="default"/>
      </w:rPr>
    </w:lvl>
    <w:lvl w:ilvl="8" w:tplc="0C090005">
      <w:start w:val="1"/>
      <w:numFmt w:val="bullet"/>
      <w:lvlText w:val=""/>
      <w:lvlJc w:val="left"/>
      <w:pPr>
        <w:ind w:left="7537" w:hanging="360"/>
      </w:pPr>
      <w:rPr>
        <w:rFonts w:ascii="Wingdings" w:hAnsi="Wingdings" w:hint="default"/>
      </w:rPr>
    </w:lvl>
  </w:abstractNum>
  <w:abstractNum w:abstractNumId="8" w15:restartNumberingAfterBreak="0">
    <w:nsid w:val="2273435E"/>
    <w:multiLevelType w:val="hybridMultilevel"/>
    <w:tmpl w:val="5250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3C1525"/>
    <w:multiLevelType w:val="hybridMultilevel"/>
    <w:tmpl w:val="A98E2BC2"/>
    <w:lvl w:ilvl="0" w:tplc="389412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A0D93"/>
    <w:multiLevelType w:val="hybridMultilevel"/>
    <w:tmpl w:val="C2164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410D5"/>
    <w:multiLevelType w:val="hybridMultilevel"/>
    <w:tmpl w:val="BFCC7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E2D07"/>
    <w:multiLevelType w:val="hybridMultilevel"/>
    <w:tmpl w:val="4F1C3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026705"/>
    <w:multiLevelType w:val="hybridMultilevel"/>
    <w:tmpl w:val="0C68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2C0"/>
    <w:multiLevelType w:val="hybridMultilevel"/>
    <w:tmpl w:val="1002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7231F"/>
    <w:multiLevelType w:val="hybridMultilevel"/>
    <w:tmpl w:val="D00E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74BA6"/>
    <w:multiLevelType w:val="hybridMultilevel"/>
    <w:tmpl w:val="C800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5122A"/>
    <w:multiLevelType w:val="hybridMultilevel"/>
    <w:tmpl w:val="23BA08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9A2E24"/>
    <w:multiLevelType w:val="hybridMultilevel"/>
    <w:tmpl w:val="8A54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E415E"/>
    <w:multiLevelType w:val="hybridMultilevel"/>
    <w:tmpl w:val="D4D0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A6AFC"/>
    <w:multiLevelType w:val="hybridMultilevel"/>
    <w:tmpl w:val="1FD8EF66"/>
    <w:lvl w:ilvl="0" w:tplc="A6C8B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E5045"/>
    <w:multiLevelType w:val="hybridMultilevel"/>
    <w:tmpl w:val="6CA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86DA4"/>
    <w:multiLevelType w:val="hybridMultilevel"/>
    <w:tmpl w:val="F48E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A43B1"/>
    <w:multiLevelType w:val="hybridMultilevel"/>
    <w:tmpl w:val="4B7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566CF"/>
    <w:multiLevelType w:val="hybridMultilevel"/>
    <w:tmpl w:val="D40EA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7E66C7"/>
    <w:multiLevelType w:val="hybridMultilevel"/>
    <w:tmpl w:val="407C20E0"/>
    <w:lvl w:ilvl="0" w:tplc="0C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74271"/>
    <w:multiLevelType w:val="hybridMultilevel"/>
    <w:tmpl w:val="52B084FE"/>
    <w:lvl w:ilvl="0" w:tplc="A6C8B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D5CA5"/>
    <w:multiLevelType w:val="hybridMultilevel"/>
    <w:tmpl w:val="E430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837EA"/>
    <w:multiLevelType w:val="hybridMultilevel"/>
    <w:tmpl w:val="8820CBD6"/>
    <w:lvl w:ilvl="0" w:tplc="389412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F40FFE"/>
    <w:multiLevelType w:val="hybridMultilevel"/>
    <w:tmpl w:val="5B4A9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91068"/>
    <w:multiLevelType w:val="hybridMultilevel"/>
    <w:tmpl w:val="2FC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92AAE"/>
    <w:multiLevelType w:val="hybridMultilevel"/>
    <w:tmpl w:val="2EFA9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B95D05"/>
    <w:multiLevelType w:val="hybridMultilevel"/>
    <w:tmpl w:val="783CFC68"/>
    <w:lvl w:ilvl="0" w:tplc="A6C8B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332C8"/>
    <w:multiLevelType w:val="hybridMultilevel"/>
    <w:tmpl w:val="C2F6D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005F02"/>
    <w:multiLevelType w:val="multilevel"/>
    <w:tmpl w:val="6074D386"/>
    <w:lvl w:ilvl="0">
      <w:start w:val="1"/>
      <w:numFmt w:val="decimal"/>
      <w:lvlText w:val="%1."/>
      <w:lvlJc w:val="left"/>
      <w:pPr>
        <w:tabs>
          <w:tab w:val="num" w:pos="720"/>
        </w:tabs>
        <w:ind w:left="720" w:hanging="720"/>
      </w:pPr>
      <w:rPr>
        <w:rFonts w:asciiTheme="minorHAnsi" w:eastAsia="Times New Roman" w:hAnsiTheme="minorHAnsi" w:cs="Times New Roman" w:hint="default"/>
        <w:b w:val="0"/>
        <w:i w:val="0"/>
        <w:sz w:val="22"/>
        <w:szCs w:val="22"/>
      </w:rPr>
    </w:lvl>
    <w:lvl w:ilvl="1">
      <w:start w:val="1"/>
      <w:numFmt w:val="decimal"/>
      <w:pStyle w:val="Style1"/>
      <w:lvlText w:val="2.%2"/>
      <w:lvlJc w:val="left"/>
      <w:pPr>
        <w:ind w:left="720" w:hanging="706"/>
      </w:pPr>
      <w:rPr>
        <w:rFonts w:asciiTheme="minorHAnsi" w:hAnsiTheme="minorHAnsi" w:hint="default"/>
        <w:b w:val="0"/>
        <w:i w:val="0"/>
        <w:sz w:val="22"/>
        <w:szCs w:val="22"/>
      </w:rPr>
    </w:lvl>
    <w:lvl w:ilvl="2">
      <w:start w:val="1"/>
      <w:numFmt w:val="lowerLetter"/>
      <w:lvlText w:val="(%3)"/>
      <w:lvlJc w:val="left"/>
      <w:pPr>
        <w:tabs>
          <w:tab w:val="num" w:pos="1855"/>
        </w:tabs>
        <w:ind w:left="1855" w:hanging="720"/>
      </w:pPr>
      <w:rPr>
        <w:rFonts w:asciiTheme="minorHAnsi" w:hAnsiTheme="minorHAnsi" w:hint="default"/>
        <w:b w:val="0"/>
        <w:i w:val="0"/>
        <w:sz w:val="22"/>
        <w:szCs w:val="22"/>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8443DE3"/>
    <w:multiLevelType w:val="hybridMultilevel"/>
    <w:tmpl w:val="EBE414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166144"/>
    <w:multiLevelType w:val="hybridMultilevel"/>
    <w:tmpl w:val="7B10A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432145"/>
    <w:multiLevelType w:val="hybridMultilevel"/>
    <w:tmpl w:val="33F472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B52960"/>
    <w:multiLevelType w:val="hybridMultilevel"/>
    <w:tmpl w:val="E7C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3220F"/>
    <w:multiLevelType w:val="hybridMultilevel"/>
    <w:tmpl w:val="0700FC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3227C5"/>
    <w:multiLevelType w:val="hybridMultilevel"/>
    <w:tmpl w:val="C152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22161"/>
    <w:multiLevelType w:val="hybridMultilevel"/>
    <w:tmpl w:val="68AE73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373EF3"/>
    <w:multiLevelType w:val="hybridMultilevel"/>
    <w:tmpl w:val="46B89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43"/>
  </w:num>
  <w:num w:numId="2">
    <w:abstractNumId w:val="17"/>
  </w:num>
  <w:num w:numId="3">
    <w:abstractNumId w:val="18"/>
  </w:num>
  <w:num w:numId="4">
    <w:abstractNumId w:val="14"/>
  </w:num>
  <w:num w:numId="5">
    <w:abstractNumId w:val="40"/>
  </w:num>
  <w:num w:numId="6">
    <w:abstractNumId w:val="38"/>
  </w:num>
  <w:num w:numId="7">
    <w:abstractNumId w:val="22"/>
  </w:num>
  <w:num w:numId="8">
    <w:abstractNumId w:val="1"/>
  </w:num>
  <w:num w:numId="9">
    <w:abstractNumId w:val="29"/>
  </w:num>
  <w:num w:numId="10">
    <w:abstractNumId w:val="0"/>
  </w:num>
  <w:num w:numId="11">
    <w:abstractNumId w:val="5"/>
  </w:num>
  <w:num w:numId="12">
    <w:abstractNumId w:val="27"/>
  </w:num>
  <w:num w:numId="13">
    <w:abstractNumId w:val="30"/>
  </w:num>
  <w:num w:numId="14">
    <w:abstractNumId w:val="25"/>
  </w:num>
  <w:num w:numId="15">
    <w:abstractNumId w:val="3"/>
  </w:num>
  <w:num w:numId="16">
    <w:abstractNumId w:val="23"/>
  </w:num>
  <w:num w:numId="17">
    <w:abstractNumId w:val="21"/>
  </w:num>
  <w:num w:numId="18">
    <w:abstractNumId w:val="4"/>
  </w:num>
  <w:num w:numId="19">
    <w:abstractNumId w:val="32"/>
  </w:num>
  <w:num w:numId="20">
    <w:abstractNumId w:val="26"/>
  </w:num>
  <w:num w:numId="21">
    <w:abstractNumId w:val="20"/>
  </w:num>
  <w:num w:numId="22">
    <w:abstractNumId w:val="19"/>
  </w:num>
  <w:num w:numId="23">
    <w:abstractNumId w:val="10"/>
  </w:num>
  <w:num w:numId="24">
    <w:abstractNumId w:val="37"/>
  </w:num>
  <w:num w:numId="25">
    <w:abstractNumId w:val="15"/>
  </w:num>
  <w:num w:numId="26">
    <w:abstractNumId w:val="31"/>
  </w:num>
  <w:num w:numId="27">
    <w:abstractNumId w:val="17"/>
  </w:num>
  <w:num w:numId="28">
    <w:abstractNumId w:val="36"/>
  </w:num>
  <w:num w:numId="29">
    <w:abstractNumId w:val="7"/>
  </w:num>
  <w:num w:numId="30">
    <w:abstractNumId w:val="41"/>
  </w:num>
  <w:num w:numId="31">
    <w:abstractNumId w:val="9"/>
  </w:num>
  <w:num w:numId="32">
    <w:abstractNumId w:val="28"/>
  </w:num>
  <w:num w:numId="33">
    <w:abstractNumId w:val="11"/>
  </w:num>
  <w:num w:numId="34">
    <w:abstractNumId w:val="34"/>
  </w:num>
  <w:num w:numId="35">
    <w:abstractNumId w:val="13"/>
  </w:num>
  <w:num w:numId="36">
    <w:abstractNumId w:val="35"/>
  </w:num>
  <w:num w:numId="37">
    <w:abstractNumId w:val="8"/>
  </w:num>
  <w:num w:numId="38">
    <w:abstractNumId w:val="39"/>
  </w:num>
  <w:num w:numId="39">
    <w:abstractNumId w:val="2"/>
  </w:num>
  <w:num w:numId="40">
    <w:abstractNumId w:val="33"/>
  </w:num>
  <w:num w:numId="41">
    <w:abstractNumId w:val="16"/>
  </w:num>
  <w:num w:numId="42">
    <w:abstractNumId w:val="42"/>
  </w:num>
  <w:num w:numId="43">
    <w:abstractNumId w:val="6"/>
  </w:num>
  <w:num w:numId="44">
    <w:abstractNumId w:val="24"/>
  </w:num>
  <w:num w:numId="4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CF"/>
    <w:rsid w:val="00000597"/>
    <w:rsid w:val="00001239"/>
    <w:rsid w:val="0000150A"/>
    <w:rsid w:val="000031F8"/>
    <w:rsid w:val="0000656E"/>
    <w:rsid w:val="00006736"/>
    <w:rsid w:val="00006A79"/>
    <w:rsid w:val="00007806"/>
    <w:rsid w:val="000108A9"/>
    <w:rsid w:val="0001090F"/>
    <w:rsid w:val="00010922"/>
    <w:rsid w:val="00010B21"/>
    <w:rsid w:val="00011E2F"/>
    <w:rsid w:val="000146C0"/>
    <w:rsid w:val="000155E7"/>
    <w:rsid w:val="00017B6B"/>
    <w:rsid w:val="00017E19"/>
    <w:rsid w:val="00020276"/>
    <w:rsid w:val="00021E64"/>
    <w:rsid w:val="0002220B"/>
    <w:rsid w:val="0002224C"/>
    <w:rsid w:val="0002297B"/>
    <w:rsid w:val="00022BD4"/>
    <w:rsid w:val="000251BC"/>
    <w:rsid w:val="0003209D"/>
    <w:rsid w:val="0003386B"/>
    <w:rsid w:val="00033DFD"/>
    <w:rsid w:val="000347BD"/>
    <w:rsid w:val="00035C72"/>
    <w:rsid w:val="000368C4"/>
    <w:rsid w:val="0003695A"/>
    <w:rsid w:val="0003771D"/>
    <w:rsid w:val="00040039"/>
    <w:rsid w:val="000400BC"/>
    <w:rsid w:val="000412D3"/>
    <w:rsid w:val="00042A34"/>
    <w:rsid w:val="000473C9"/>
    <w:rsid w:val="00047B05"/>
    <w:rsid w:val="000506F4"/>
    <w:rsid w:val="00050B67"/>
    <w:rsid w:val="00051461"/>
    <w:rsid w:val="00052269"/>
    <w:rsid w:val="00053E48"/>
    <w:rsid w:val="00054AD5"/>
    <w:rsid w:val="000558FC"/>
    <w:rsid w:val="00055A5B"/>
    <w:rsid w:val="0005671C"/>
    <w:rsid w:val="00057C33"/>
    <w:rsid w:val="00060A23"/>
    <w:rsid w:val="00060E9F"/>
    <w:rsid w:val="00061283"/>
    <w:rsid w:val="000621C1"/>
    <w:rsid w:val="00062555"/>
    <w:rsid w:val="0006400D"/>
    <w:rsid w:val="00064589"/>
    <w:rsid w:val="00064DEA"/>
    <w:rsid w:val="00065952"/>
    <w:rsid w:val="000667BC"/>
    <w:rsid w:val="00067A51"/>
    <w:rsid w:val="00070C54"/>
    <w:rsid w:val="00070F13"/>
    <w:rsid w:val="00073278"/>
    <w:rsid w:val="0007418F"/>
    <w:rsid w:val="00074766"/>
    <w:rsid w:val="00077EC2"/>
    <w:rsid w:val="00080388"/>
    <w:rsid w:val="0008057D"/>
    <w:rsid w:val="00080ADC"/>
    <w:rsid w:val="00081947"/>
    <w:rsid w:val="00082236"/>
    <w:rsid w:val="00084D40"/>
    <w:rsid w:val="000851F5"/>
    <w:rsid w:val="000855B5"/>
    <w:rsid w:val="00085A65"/>
    <w:rsid w:val="00093B68"/>
    <w:rsid w:val="00093F71"/>
    <w:rsid w:val="00093FDE"/>
    <w:rsid w:val="0009618B"/>
    <w:rsid w:val="000967AC"/>
    <w:rsid w:val="00096A42"/>
    <w:rsid w:val="000A167A"/>
    <w:rsid w:val="000A1EE4"/>
    <w:rsid w:val="000A2153"/>
    <w:rsid w:val="000A2253"/>
    <w:rsid w:val="000A3839"/>
    <w:rsid w:val="000A3EE9"/>
    <w:rsid w:val="000A519D"/>
    <w:rsid w:val="000A558D"/>
    <w:rsid w:val="000B24E1"/>
    <w:rsid w:val="000B30A1"/>
    <w:rsid w:val="000B336D"/>
    <w:rsid w:val="000B54DD"/>
    <w:rsid w:val="000B5CEB"/>
    <w:rsid w:val="000B6D08"/>
    <w:rsid w:val="000B7D09"/>
    <w:rsid w:val="000C157A"/>
    <w:rsid w:val="000C181B"/>
    <w:rsid w:val="000C22A0"/>
    <w:rsid w:val="000C57BF"/>
    <w:rsid w:val="000C5AC5"/>
    <w:rsid w:val="000C6836"/>
    <w:rsid w:val="000C726C"/>
    <w:rsid w:val="000C74BF"/>
    <w:rsid w:val="000C7DCB"/>
    <w:rsid w:val="000D03ED"/>
    <w:rsid w:val="000D0F3B"/>
    <w:rsid w:val="000D14D6"/>
    <w:rsid w:val="000D642B"/>
    <w:rsid w:val="000D79B9"/>
    <w:rsid w:val="000E0DE8"/>
    <w:rsid w:val="000E22C1"/>
    <w:rsid w:val="000E24FD"/>
    <w:rsid w:val="000E646C"/>
    <w:rsid w:val="000E72CD"/>
    <w:rsid w:val="000E7DF6"/>
    <w:rsid w:val="000F0305"/>
    <w:rsid w:val="000F371C"/>
    <w:rsid w:val="000F4681"/>
    <w:rsid w:val="000F56CF"/>
    <w:rsid w:val="000F72A4"/>
    <w:rsid w:val="000F7798"/>
    <w:rsid w:val="001005A6"/>
    <w:rsid w:val="001005B6"/>
    <w:rsid w:val="00100D38"/>
    <w:rsid w:val="0010178E"/>
    <w:rsid w:val="001018CC"/>
    <w:rsid w:val="00101AAF"/>
    <w:rsid w:val="00102F45"/>
    <w:rsid w:val="00103D0D"/>
    <w:rsid w:val="00103E8D"/>
    <w:rsid w:val="001044BD"/>
    <w:rsid w:val="00104FAF"/>
    <w:rsid w:val="001054B9"/>
    <w:rsid w:val="00105A2B"/>
    <w:rsid w:val="001065C5"/>
    <w:rsid w:val="00106F33"/>
    <w:rsid w:val="001115DB"/>
    <w:rsid w:val="0011244F"/>
    <w:rsid w:val="001135D2"/>
    <w:rsid w:val="0011378A"/>
    <w:rsid w:val="001148CA"/>
    <w:rsid w:val="00115AF7"/>
    <w:rsid w:val="00116516"/>
    <w:rsid w:val="001174BD"/>
    <w:rsid w:val="0011775C"/>
    <w:rsid w:val="00117BE1"/>
    <w:rsid w:val="00120B22"/>
    <w:rsid w:val="00126B39"/>
    <w:rsid w:val="00127013"/>
    <w:rsid w:val="00127C8F"/>
    <w:rsid w:val="0013011D"/>
    <w:rsid w:val="001303B2"/>
    <w:rsid w:val="00131670"/>
    <w:rsid w:val="001341F6"/>
    <w:rsid w:val="00134218"/>
    <w:rsid w:val="0013687A"/>
    <w:rsid w:val="00136F27"/>
    <w:rsid w:val="00137113"/>
    <w:rsid w:val="001373FE"/>
    <w:rsid w:val="00137C4E"/>
    <w:rsid w:val="001426BB"/>
    <w:rsid w:val="00142D77"/>
    <w:rsid w:val="0014345E"/>
    <w:rsid w:val="00143BD0"/>
    <w:rsid w:val="00143E7C"/>
    <w:rsid w:val="001449C3"/>
    <w:rsid w:val="00145F1F"/>
    <w:rsid w:val="001477A9"/>
    <w:rsid w:val="00147ED1"/>
    <w:rsid w:val="00152884"/>
    <w:rsid w:val="00153EF2"/>
    <w:rsid w:val="001563F2"/>
    <w:rsid w:val="001566F7"/>
    <w:rsid w:val="00156B5B"/>
    <w:rsid w:val="00157DAD"/>
    <w:rsid w:val="0016054E"/>
    <w:rsid w:val="0016075F"/>
    <w:rsid w:val="001617FA"/>
    <w:rsid w:val="00161BAF"/>
    <w:rsid w:val="0016292D"/>
    <w:rsid w:val="00164471"/>
    <w:rsid w:val="0016516F"/>
    <w:rsid w:val="00167DC0"/>
    <w:rsid w:val="00170065"/>
    <w:rsid w:val="00172269"/>
    <w:rsid w:val="00172A91"/>
    <w:rsid w:val="00175524"/>
    <w:rsid w:val="001768AB"/>
    <w:rsid w:val="001770F9"/>
    <w:rsid w:val="0018065A"/>
    <w:rsid w:val="001816B0"/>
    <w:rsid w:val="00181AD8"/>
    <w:rsid w:val="00182329"/>
    <w:rsid w:val="00183941"/>
    <w:rsid w:val="00184445"/>
    <w:rsid w:val="00184DDD"/>
    <w:rsid w:val="0018542B"/>
    <w:rsid w:val="00185A4F"/>
    <w:rsid w:val="00187B86"/>
    <w:rsid w:val="00187D4F"/>
    <w:rsid w:val="00190B6F"/>
    <w:rsid w:val="001911E1"/>
    <w:rsid w:val="001919E8"/>
    <w:rsid w:val="00191C31"/>
    <w:rsid w:val="00191F21"/>
    <w:rsid w:val="00195EB2"/>
    <w:rsid w:val="00196DEA"/>
    <w:rsid w:val="00196E7A"/>
    <w:rsid w:val="001978D4"/>
    <w:rsid w:val="001A2D17"/>
    <w:rsid w:val="001A4329"/>
    <w:rsid w:val="001A4E62"/>
    <w:rsid w:val="001B16A2"/>
    <w:rsid w:val="001B37AB"/>
    <w:rsid w:val="001B3EDB"/>
    <w:rsid w:val="001B4F8B"/>
    <w:rsid w:val="001B5DA9"/>
    <w:rsid w:val="001B6B98"/>
    <w:rsid w:val="001B7796"/>
    <w:rsid w:val="001C1CCF"/>
    <w:rsid w:val="001C2AC5"/>
    <w:rsid w:val="001C3EDE"/>
    <w:rsid w:val="001C5219"/>
    <w:rsid w:val="001C56C8"/>
    <w:rsid w:val="001C659F"/>
    <w:rsid w:val="001C67E9"/>
    <w:rsid w:val="001C70E3"/>
    <w:rsid w:val="001C73F3"/>
    <w:rsid w:val="001C75E9"/>
    <w:rsid w:val="001D00AF"/>
    <w:rsid w:val="001D0A7A"/>
    <w:rsid w:val="001D2031"/>
    <w:rsid w:val="001D21A3"/>
    <w:rsid w:val="001D29FD"/>
    <w:rsid w:val="001D311E"/>
    <w:rsid w:val="001D5E76"/>
    <w:rsid w:val="001D7377"/>
    <w:rsid w:val="001E0F78"/>
    <w:rsid w:val="001E176F"/>
    <w:rsid w:val="001E27C4"/>
    <w:rsid w:val="001E37CB"/>
    <w:rsid w:val="001E3D33"/>
    <w:rsid w:val="001E4164"/>
    <w:rsid w:val="001E4EC1"/>
    <w:rsid w:val="001E562F"/>
    <w:rsid w:val="001E64A9"/>
    <w:rsid w:val="001E68C6"/>
    <w:rsid w:val="001E6E2C"/>
    <w:rsid w:val="001E7990"/>
    <w:rsid w:val="001F1E71"/>
    <w:rsid w:val="001F1EA6"/>
    <w:rsid w:val="001F3618"/>
    <w:rsid w:val="001F5179"/>
    <w:rsid w:val="001F5881"/>
    <w:rsid w:val="001F6C97"/>
    <w:rsid w:val="00200A78"/>
    <w:rsid w:val="002011AB"/>
    <w:rsid w:val="002025B5"/>
    <w:rsid w:val="00203B71"/>
    <w:rsid w:val="00204393"/>
    <w:rsid w:val="002044B4"/>
    <w:rsid w:val="00204D00"/>
    <w:rsid w:val="00205243"/>
    <w:rsid w:val="0020581F"/>
    <w:rsid w:val="00206824"/>
    <w:rsid w:val="00207A63"/>
    <w:rsid w:val="002124AF"/>
    <w:rsid w:val="0021250F"/>
    <w:rsid w:val="002144C1"/>
    <w:rsid w:val="00214B6D"/>
    <w:rsid w:val="002166F7"/>
    <w:rsid w:val="00217CD2"/>
    <w:rsid w:val="00223062"/>
    <w:rsid w:val="00224007"/>
    <w:rsid w:val="00224204"/>
    <w:rsid w:val="00225D8F"/>
    <w:rsid w:val="00226B40"/>
    <w:rsid w:val="00227EBF"/>
    <w:rsid w:val="00231ECD"/>
    <w:rsid w:val="002348C1"/>
    <w:rsid w:val="00236265"/>
    <w:rsid w:val="0023711E"/>
    <w:rsid w:val="00237BD5"/>
    <w:rsid w:val="00240B11"/>
    <w:rsid w:val="00242020"/>
    <w:rsid w:val="00242528"/>
    <w:rsid w:val="00242D69"/>
    <w:rsid w:val="00242E3E"/>
    <w:rsid w:val="00242F88"/>
    <w:rsid w:val="002434A4"/>
    <w:rsid w:val="00243779"/>
    <w:rsid w:val="0024562F"/>
    <w:rsid w:val="00246B0B"/>
    <w:rsid w:val="00246E2F"/>
    <w:rsid w:val="00251476"/>
    <w:rsid w:val="00251A23"/>
    <w:rsid w:val="002544EC"/>
    <w:rsid w:val="00255C01"/>
    <w:rsid w:val="00256ED9"/>
    <w:rsid w:val="002575FA"/>
    <w:rsid w:val="00260EDD"/>
    <w:rsid w:val="0026294A"/>
    <w:rsid w:val="00263D1C"/>
    <w:rsid w:val="0026459A"/>
    <w:rsid w:val="00266C51"/>
    <w:rsid w:val="00266E29"/>
    <w:rsid w:val="00270A0C"/>
    <w:rsid w:val="00270FEA"/>
    <w:rsid w:val="002711EF"/>
    <w:rsid w:val="00271A63"/>
    <w:rsid w:val="00272746"/>
    <w:rsid w:val="00273902"/>
    <w:rsid w:val="00273BF2"/>
    <w:rsid w:val="00274E08"/>
    <w:rsid w:val="002750F5"/>
    <w:rsid w:val="00275991"/>
    <w:rsid w:val="002763F8"/>
    <w:rsid w:val="00276C2E"/>
    <w:rsid w:val="00276D3E"/>
    <w:rsid w:val="00277837"/>
    <w:rsid w:val="00282B92"/>
    <w:rsid w:val="00282C8C"/>
    <w:rsid w:val="002848CB"/>
    <w:rsid w:val="0028558B"/>
    <w:rsid w:val="002858E2"/>
    <w:rsid w:val="002868F2"/>
    <w:rsid w:val="002869B5"/>
    <w:rsid w:val="00293488"/>
    <w:rsid w:val="0029382B"/>
    <w:rsid w:val="00293E60"/>
    <w:rsid w:val="00294369"/>
    <w:rsid w:val="00294837"/>
    <w:rsid w:val="00294B07"/>
    <w:rsid w:val="00297754"/>
    <w:rsid w:val="0029798E"/>
    <w:rsid w:val="002A27ED"/>
    <w:rsid w:val="002A5136"/>
    <w:rsid w:val="002A520B"/>
    <w:rsid w:val="002A58B4"/>
    <w:rsid w:val="002A5E2A"/>
    <w:rsid w:val="002A6E56"/>
    <w:rsid w:val="002B1B84"/>
    <w:rsid w:val="002B2C3D"/>
    <w:rsid w:val="002B402E"/>
    <w:rsid w:val="002B4E15"/>
    <w:rsid w:val="002B5C7E"/>
    <w:rsid w:val="002B6C50"/>
    <w:rsid w:val="002C07D2"/>
    <w:rsid w:val="002C0A7E"/>
    <w:rsid w:val="002C2A2F"/>
    <w:rsid w:val="002C4AA1"/>
    <w:rsid w:val="002D0CF7"/>
    <w:rsid w:val="002D244B"/>
    <w:rsid w:val="002D2D99"/>
    <w:rsid w:val="002D2DDC"/>
    <w:rsid w:val="002D42C2"/>
    <w:rsid w:val="002D445C"/>
    <w:rsid w:val="002D539E"/>
    <w:rsid w:val="002D5932"/>
    <w:rsid w:val="002D5BC8"/>
    <w:rsid w:val="002D5CFD"/>
    <w:rsid w:val="002D68FE"/>
    <w:rsid w:val="002D6DCB"/>
    <w:rsid w:val="002D7522"/>
    <w:rsid w:val="002E1D5C"/>
    <w:rsid w:val="002E1F86"/>
    <w:rsid w:val="002E2348"/>
    <w:rsid w:val="002E31D6"/>
    <w:rsid w:val="002E37BA"/>
    <w:rsid w:val="002E3C5E"/>
    <w:rsid w:val="002E3E4D"/>
    <w:rsid w:val="002E460E"/>
    <w:rsid w:val="002E501F"/>
    <w:rsid w:val="002E51A0"/>
    <w:rsid w:val="002E5606"/>
    <w:rsid w:val="002F20DC"/>
    <w:rsid w:val="002F2604"/>
    <w:rsid w:val="002F321C"/>
    <w:rsid w:val="002F3E0C"/>
    <w:rsid w:val="002F518A"/>
    <w:rsid w:val="002F565D"/>
    <w:rsid w:val="002F5AC3"/>
    <w:rsid w:val="002F5EFF"/>
    <w:rsid w:val="002F7388"/>
    <w:rsid w:val="00302427"/>
    <w:rsid w:val="00303A9A"/>
    <w:rsid w:val="0030631D"/>
    <w:rsid w:val="00307352"/>
    <w:rsid w:val="00307C87"/>
    <w:rsid w:val="00310124"/>
    <w:rsid w:val="00310E69"/>
    <w:rsid w:val="00311479"/>
    <w:rsid w:val="00312B6F"/>
    <w:rsid w:val="0031308A"/>
    <w:rsid w:val="00313D2F"/>
    <w:rsid w:val="003144BF"/>
    <w:rsid w:val="00314B51"/>
    <w:rsid w:val="0031702D"/>
    <w:rsid w:val="00317C93"/>
    <w:rsid w:val="00321DEF"/>
    <w:rsid w:val="00321F2D"/>
    <w:rsid w:val="00322391"/>
    <w:rsid w:val="0032250D"/>
    <w:rsid w:val="00323E78"/>
    <w:rsid w:val="00323EE6"/>
    <w:rsid w:val="003242A3"/>
    <w:rsid w:val="003253B1"/>
    <w:rsid w:val="00326257"/>
    <w:rsid w:val="00327580"/>
    <w:rsid w:val="003331C5"/>
    <w:rsid w:val="003332B5"/>
    <w:rsid w:val="003343A8"/>
    <w:rsid w:val="0033493A"/>
    <w:rsid w:val="003358C6"/>
    <w:rsid w:val="0033725D"/>
    <w:rsid w:val="003372CE"/>
    <w:rsid w:val="003425B6"/>
    <w:rsid w:val="003425E8"/>
    <w:rsid w:val="0034509E"/>
    <w:rsid w:val="00345C0B"/>
    <w:rsid w:val="00346F08"/>
    <w:rsid w:val="0034715D"/>
    <w:rsid w:val="00347AF1"/>
    <w:rsid w:val="003500E8"/>
    <w:rsid w:val="00350D63"/>
    <w:rsid w:val="00351A70"/>
    <w:rsid w:val="003539A2"/>
    <w:rsid w:val="00353D61"/>
    <w:rsid w:val="003565CA"/>
    <w:rsid w:val="00356A70"/>
    <w:rsid w:val="00364F26"/>
    <w:rsid w:val="00365594"/>
    <w:rsid w:val="00365C9A"/>
    <w:rsid w:val="00367FC7"/>
    <w:rsid w:val="0037305B"/>
    <w:rsid w:val="00374290"/>
    <w:rsid w:val="00374B96"/>
    <w:rsid w:val="00375BEA"/>
    <w:rsid w:val="00375BF6"/>
    <w:rsid w:val="00376B89"/>
    <w:rsid w:val="00380482"/>
    <w:rsid w:val="00381412"/>
    <w:rsid w:val="003822A1"/>
    <w:rsid w:val="00383A56"/>
    <w:rsid w:val="00383AEA"/>
    <w:rsid w:val="00384F09"/>
    <w:rsid w:val="00386639"/>
    <w:rsid w:val="00390E87"/>
    <w:rsid w:val="003914E3"/>
    <w:rsid w:val="0039306E"/>
    <w:rsid w:val="003947C5"/>
    <w:rsid w:val="00395382"/>
    <w:rsid w:val="0039555C"/>
    <w:rsid w:val="00396D67"/>
    <w:rsid w:val="00397926"/>
    <w:rsid w:val="003A013E"/>
    <w:rsid w:val="003A076E"/>
    <w:rsid w:val="003A0839"/>
    <w:rsid w:val="003A1B4B"/>
    <w:rsid w:val="003A23A5"/>
    <w:rsid w:val="003A3773"/>
    <w:rsid w:val="003A4ABF"/>
    <w:rsid w:val="003A5672"/>
    <w:rsid w:val="003B12FC"/>
    <w:rsid w:val="003B2662"/>
    <w:rsid w:val="003B31A8"/>
    <w:rsid w:val="003B34A5"/>
    <w:rsid w:val="003B4076"/>
    <w:rsid w:val="003B476B"/>
    <w:rsid w:val="003B55A9"/>
    <w:rsid w:val="003B6AAB"/>
    <w:rsid w:val="003C0237"/>
    <w:rsid w:val="003C0C1B"/>
    <w:rsid w:val="003C0D42"/>
    <w:rsid w:val="003C1721"/>
    <w:rsid w:val="003C3D50"/>
    <w:rsid w:val="003C43E9"/>
    <w:rsid w:val="003C4C09"/>
    <w:rsid w:val="003C58F7"/>
    <w:rsid w:val="003C5BDA"/>
    <w:rsid w:val="003C6E4E"/>
    <w:rsid w:val="003C723B"/>
    <w:rsid w:val="003C7598"/>
    <w:rsid w:val="003D019C"/>
    <w:rsid w:val="003D0B95"/>
    <w:rsid w:val="003D279E"/>
    <w:rsid w:val="003D2BEC"/>
    <w:rsid w:val="003D2E2E"/>
    <w:rsid w:val="003D3358"/>
    <w:rsid w:val="003D531D"/>
    <w:rsid w:val="003D5851"/>
    <w:rsid w:val="003D63D2"/>
    <w:rsid w:val="003D6698"/>
    <w:rsid w:val="003D7766"/>
    <w:rsid w:val="003D7B29"/>
    <w:rsid w:val="003D7CDE"/>
    <w:rsid w:val="003E079B"/>
    <w:rsid w:val="003E0D0C"/>
    <w:rsid w:val="003E555A"/>
    <w:rsid w:val="003E642B"/>
    <w:rsid w:val="003E68AF"/>
    <w:rsid w:val="003E76EF"/>
    <w:rsid w:val="003E7B2A"/>
    <w:rsid w:val="003F0B5F"/>
    <w:rsid w:val="003F29F1"/>
    <w:rsid w:val="003F2E01"/>
    <w:rsid w:val="003F5B90"/>
    <w:rsid w:val="0040093F"/>
    <w:rsid w:val="00401646"/>
    <w:rsid w:val="00402DB0"/>
    <w:rsid w:val="00410D3C"/>
    <w:rsid w:val="004124D9"/>
    <w:rsid w:val="00412E88"/>
    <w:rsid w:val="00413191"/>
    <w:rsid w:val="0041398C"/>
    <w:rsid w:val="00413DA1"/>
    <w:rsid w:val="004142B4"/>
    <w:rsid w:val="0041620D"/>
    <w:rsid w:val="00416E91"/>
    <w:rsid w:val="004178F6"/>
    <w:rsid w:val="00417949"/>
    <w:rsid w:val="004213EA"/>
    <w:rsid w:val="00423FCF"/>
    <w:rsid w:val="00424CD6"/>
    <w:rsid w:val="004265E7"/>
    <w:rsid w:val="004272AD"/>
    <w:rsid w:val="00427859"/>
    <w:rsid w:val="004308B1"/>
    <w:rsid w:val="00431F42"/>
    <w:rsid w:val="004323D0"/>
    <w:rsid w:val="00432460"/>
    <w:rsid w:val="00433581"/>
    <w:rsid w:val="00434A45"/>
    <w:rsid w:val="00434EAD"/>
    <w:rsid w:val="00435087"/>
    <w:rsid w:val="00436A09"/>
    <w:rsid w:val="00437EB2"/>
    <w:rsid w:val="00440CDD"/>
    <w:rsid w:val="00443430"/>
    <w:rsid w:val="00443F3C"/>
    <w:rsid w:val="00444C35"/>
    <w:rsid w:val="00446D98"/>
    <w:rsid w:val="00451B17"/>
    <w:rsid w:val="00451CA8"/>
    <w:rsid w:val="00452C7F"/>
    <w:rsid w:val="00453009"/>
    <w:rsid w:val="00453779"/>
    <w:rsid w:val="004556B3"/>
    <w:rsid w:val="00455C61"/>
    <w:rsid w:val="00457085"/>
    <w:rsid w:val="0046048F"/>
    <w:rsid w:val="00461DA7"/>
    <w:rsid w:val="00462248"/>
    <w:rsid w:val="00465160"/>
    <w:rsid w:val="004725CA"/>
    <w:rsid w:val="00472DB0"/>
    <w:rsid w:val="00473633"/>
    <w:rsid w:val="00473690"/>
    <w:rsid w:val="004750E9"/>
    <w:rsid w:val="00475C9C"/>
    <w:rsid w:val="00481B94"/>
    <w:rsid w:val="004846E5"/>
    <w:rsid w:val="0048560B"/>
    <w:rsid w:val="00485DBA"/>
    <w:rsid w:val="0048621B"/>
    <w:rsid w:val="00486F82"/>
    <w:rsid w:val="00490C3A"/>
    <w:rsid w:val="004916FB"/>
    <w:rsid w:val="004918D3"/>
    <w:rsid w:val="004922FE"/>
    <w:rsid w:val="00492675"/>
    <w:rsid w:val="00493258"/>
    <w:rsid w:val="00493B67"/>
    <w:rsid w:val="0049492E"/>
    <w:rsid w:val="00495056"/>
    <w:rsid w:val="00495FA7"/>
    <w:rsid w:val="00496011"/>
    <w:rsid w:val="004965D3"/>
    <w:rsid w:val="0049701E"/>
    <w:rsid w:val="004972A3"/>
    <w:rsid w:val="004972A5"/>
    <w:rsid w:val="004A0AFC"/>
    <w:rsid w:val="004A0EC4"/>
    <w:rsid w:val="004A1B74"/>
    <w:rsid w:val="004A27E2"/>
    <w:rsid w:val="004A32FE"/>
    <w:rsid w:val="004A3956"/>
    <w:rsid w:val="004A404C"/>
    <w:rsid w:val="004A548D"/>
    <w:rsid w:val="004A557C"/>
    <w:rsid w:val="004A594E"/>
    <w:rsid w:val="004A73E8"/>
    <w:rsid w:val="004B1061"/>
    <w:rsid w:val="004B18E7"/>
    <w:rsid w:val="004B2915"/>
    <w:rsid w:val="004B2DEF"/>
    <w:rsid w:val="004B5582"/>
    <w:rsid w:val="004B5F07"/>
    <w:rsid w:val="004B783A"/>
    <w:rsid w:val="004C076F"/>
    <w:rsid w:val="004C10C3"/>
    <w:rsid w:val="004C1D0A"/>
    <w:rsid w:val="004C2097"/>
    <w:rsid w:val="004C6158"/>
    <w:rsid w:val="004C77C9"/>
    <w:rsid w:val="004D09AF"/>
    <w:rsid w:val="004D0BC7"/>
    <w:rsid w:val="004D26AB"/>
    <w:rsid w:val="004D3315"/>
    <w:rsid w:val="004D58A5"/>
    <w:rsid w:val="004E041C"/>
    <w:rsid w:val="004E1E54"/>
    <w:rsid w:val="004E1EA5"/>
    <w:rsid w:val="004E2EBC"/>
    <w:rsid w:val="004E2F97"/>
    <w:rsid w:val="004E33ED"/>
    <w:rsid w:val="004E4007"/>
    <w:rsid w:val="004E4756"/>
    <w:rsid w:val="004E4CD7"/>
    <w:rsid w:val="004E5A63"/>
    <w:rsid w:val="004E6E53"/>
    <w:rsid w:val="004E701B"/>
    <w:rsid w:val="004F10CB"/>
    <w:rsid w:val="004F171E"/>
    <w:rsid w:val="004F2649"/>
    <w:rsid w:val="004F2AD5"/>
    <w:rsid w:val="004F2E8B"/>
    <w:rsid w:val="004F3495"/>
    <w:rsid w:val="004F63AF"/>
    <w:rsid w:val="004F694F"/>
    <w:rsid w:val="004F6BF7"/>
    <w:rsid w:val="004F701B"/>
    <w:rsid w:val="004F7117"/>
    <w:rsid w:val="0050021E"/>
    <w:rsid w:val="005002FF"/>
    <w:rsid w:val="005008E1"/>
    <w:rsid w:val="005033E8"/>
    <w:rsid w:val="00503BDC"/>
    <w:rsid w:val="0050441B"/>
    <w:rsid w:val="00506001"/>
    <w:rsid w:val="005065EC"/>
    <w:rsid w:val="005079F2"/>
    <w:rsid w:val="005109A9"/>
    <w:rsid w:val="00512C63"/>
    <w:rsid w:val="00514CE6"/>
    <w:rsid w:val="00515A7C"/>
    <w:rsid w:val="005170F6"/>
    <w:rsid w:val="0051775D"/>
    <w:rsid w:val="00521C4C"/>
    <w:rsid w:val="005273AC"/>
    <w:rsid w:val="00527674"/>
    <w:rsid w:val="005320B7"/>
    <w:rsid w:val="00533BD6"/>
    <w:rsid w:val="00534355"/>
    <w:rsid w:val="005349D9"/>
    <w:rsid w:val="00534B05"/>
    <w:rsid w:val="0053604E"/>
    <w:rsid w:val="00536EF7"/>
    <w:rsid w:val="00541A78"/>
    <w:rsid w:val="005422EB"/>
    <w:rsid w:val="00542423"/>
    <w:rsid w:val="005429F9"/>
    <w:rsid w:val="00545AC3"/>
    <w:rsid w:val="0054680F"/>
    <w:rsid w:val="00552536"/>
    <w:rsid w:val="00552A7A"/>
    <w:rsid w:val="005535FC"/>
    <w:rsid w:val="00553A36"/>
    <w:rsid w:val="005550F0"/>
    <w:rsid w:val="00557604"/>
    <w:rsid w:val="0056253C"/>
    <w:rsid w:val="00563AD3"/>
    <w:rsid w:val="00563F53"/>
    <w:rsid w:val="00565B57"/>
    <w:rsid w:val="0056619D"/>
    <w:rsid w:val="0056786A"/>
    <w:rsid w:val="00567946"/>
    <w:rsid w:val="0057022B"/>
    <w:rsid w:val="0057042B"/>
    <w:rsid w:val="00570D14"/>
    <w:rsid w:val="005713F5"/>
    <w:rsid w:val="00571663"/>
    <w:rsid w:val="0057201D"/>
    <w:rsid w:val="005720D7"/>
    <w:rsid w:val="005728D9"/>
    <w:rsid w:val="00573BA9"/>
    <w:rsid w:val="00573E91"/>
    <w:rsid w:val="005754BE"/>
    <w:rsid w:val="00576D4B"/>
    <w:rsid w:val="005777CE"/>
    <w:rsid w:val="00580CE7"/>
    <w:rsid w:val="005815F7"/>
    <w:rsid w:val="0058188E"/>
    <w:rsid w:val="0058331B"/>
    <w:rsid w:val="005858CC"/>
    <w:rsid w:val="00587348"/>
    <w:rsid w:val="00587BC8"/>
    <w:rsid w:val="00587C83"/>
    <w:rsid w:val="00590ADB"/>
    <w:rsid w:val="00593168"/>
    <w:rsid w:val="0059348E"/>
    <w:rsid w:val="005A20EA"/>
    <w:rsid w:val="005A222F"/>
    <w:rsid w:val="005A2B15"/>
    <w:rsid w:val="005A364A"/>
    <w:rsid w:val="005A7581"/>
    <w:rsid w:val="005B0682"/>
    <w:rsid w:val="005B1AB0"/>
    <w:rsid w:val="005B2051"/>
    <w:rsid w:val="005B2BFE"/>
    <w:rsid w:val="005B4585"/>
    <w:rsid w:val="005B592B"/>
    <w:rsid w:val="005B5EAE"/>
    <w:rsid w:val="005B679E"/>
    <w:rsid w:val="005B7457"/>
    <w:rsid w:val="005B79AB"/>
    <w:rsid w:val="005C0B1E"/>
    <w:rsid w:val="005C1195"/>
    <w:rsid w:val="005C2B99"/>
    <w:rsid w:val="005C2CAD"/>
    <w:rsid w:val="005C37B0"/>
    <w:rsid w:val="005C3CA7"/>
    <w:rsid w:val="005C3CB1"/>
    <w:rsid w:val="005C52C2"/>
    <w:rsid w:val="005C5FC8"/>
    <w:rsid w:val="005C7DF0"/>
    <w:rsid w:val="005D3170"/>
    <w:rsid w:val="005D3E72"/>
    <w:rsid w:val="005D48FE"/>
    <w:rsid w:val="005D6150"/>
    <w:rsid w:val="005E188C"/>
    <w:rsid w:val="005E2E95"/>
    <w:rsid w:val="005E3D27"/>
    <w:rsid w:val="005E4347"/>
    <w:rsid w:val="005E52D8"/>
    <w:rsid w:val="005E5363"/>
    <w:rsid w:val="005E6933"/>
    <w:rsid w:val="005F0733"/>
    <w:rsid w:val="005F19DC"/>
    <w:rsid w:val="005F1F75"/>
    <w:rsid w:val="005F2DB2"/>
    <w:rsid w:val="005F4894"/>
    <w:rsid w:val="005F4A35"/>
    <w:rsid w:val="005F68BF"/>
    <w:rsid w:val="005F74C7"/>
    <w:rsid w:val="005F7995"/>
    <w:rsid w:val="00600CCA"/>
    <w:rsid w:val="00602339"/>
    <w:rsid w:val="006068A4"/>
    <w:rsid w:val="00606E0A"/>
    <w:rsid w:val="006073E8"/>
    <w:rsid w:val="00607FC8"/>
    <w:rsid w:val="00613115"/>
    <w:rsid w:val="00613F4C"/>
    <w:rsid w:val="00614795"/>
    <w:rsid w:val="006147D9"/>
    <w:rsid w:val="0061573B"/>
    <w:rsid w:val="0061716B"/>
    <w:rsid w:val="00620CDB"/>
    <w:rsid w:val="00620DBA"/>
    <w:rsid w:val="00621568"/>
    <w:rsid w:val="00621E03"/>
    <w:rsid w:val="00622CD7"/>
    <w:rsid w:val="006254EE"/>
    <w:rsid w:val="00625A9D"/>
    <w:rsid w:val="00626A29"/>
    <w:rsid w:val="00627503"/>
    <w:rsid w:val="006313E2"/>
    <w:rsid w:val="006314A0"/>
    <w:rsid w:val="00632DB0"/>
    <w:rsid w:val="00635D4F"/>
    <w:rsid w:val="006417D6"/>
    <w:rsid w:val="006419E5"/>
    <w:rsid w:val="00642D13"/>
    <w:rsid w:val="00644540"/>
    <w:rsid w:val="00644D36"/>
    <w:rsid w:val="00646021"/>
    <w:rsid w:val="006472AD"/>
    <w:rsid w:val="00650415"/>
    <w:rsid w:val="006523FD"/>
    <w:rsid w:val="00652469"/>
    <w:rsid w:val="00653220"/>
    <w:rsid w:val="0065399E"/>
    <w:rsid w:val="006549CF"/>
    <w:rsid w:val="0065557A"/>
    <w:rsid w:val="00655E14"/>
    <w:rsid w:val="006602D6"/>
    <w:rsid w:val="006617C8"/>
    <w:rsid w:val="00664613"/>
    <w:rsid w:val="006661A6"/>
    <w:rsid w:val="00666586"/>
    <w:rsid w:val="006671A1"/>
    <w:rsid w:val="00667AFA"/>
    <w:rsid w:val="00670107"/>
    <w:rsid w:val="006703AD"/>
    <w:rsid w:val="00670E88"/>
    <w:rsid w:val="00671961"/>
    <w:rsid w:val="00671F67"/>
    <w:rsid w:val="00673458"/>
    <w:rsid w:val="0067382B"/>
    <w:rsid w:val="0067398D"/>
    <w:rsid w:val="0067580D"/>
    <w:rsid w:val="00677F2B"/>
    <w:rsid w:val="00683269"/>
    <w:rsid w:val="00686CE6"/>
    <w:rsid w:val="00687BFF"/>
    <w:rsid w:val="00690221"/>
    <w:rsid w:val="00691123"/>
    <w:rsid w:val="00694294"/>
    <w:rsid w:val="00694EFC"/>
    <w:rsid w:val="00695A96"/>
    <w:rsid w:val="006A00E2"/>
    <w:rsid w:val="006A0AEA"/>
    <w:rsid w:val="006A0C5D"/>
    <w:rsid w:val="006A10F3"/>
    <w:rsid w:val="006A19D4"/>
    <w:rsid w:val="006A1B01"/>
    <w:rsid w:val="006A397E"/>
    <w:rsid w:val="006A5450"/>
    <w:rsid w:val="006A57F8"/>
    <w:rsid w:val="006A6888"/>
    <w:rsid w:val="006A6E7A"/>
    <w:rsid w:val="006A7400"/>
    <w:rsid w:val="006B0ECB"/>
    <w:rsid w:val="006B1318"/>
    <w:rsid w:val="006B144C"/>
    <w:rsid w:val="006B19C3"/>
    <w:rsid w:val="006B28F9"/>
    <w:rsid w:val="006B2D39"/>
    <w:rsid w:val="006B64AD"/>
    <w:rsid w:val="006C1373"/>
    <w:rsid w:val="006C1868"/>
    <w:rsid w:val="006C1E7A"/>
    <w:rsid w:val="006C24D4"/>
    <w:rsid w:val="006C2E61"/>
    <w:rsid w:val="006C3392"/>
    <w:rsid w:val="006C33FE"/>
    <w:rsid w:val="006C43BA"/>
    <w:rsid w:val="006C5570"/>
    <w:rsid w:val="006C60FC"/>
    <w:rsid w:val="006C69B0"/>
    <w:rsid w:val="006C7764"/>
    <w:rsid w:val="006D0048"/>
    <w:rsid w:val="006D0752"/>
    <w:rsid w:val="006D0F66"/>
    <w:rsid w:val="006D1495"/>
    <w:rsid w:val="006D1E04"/>
    <w:rsid w:val="006D241B"/>
    <w:rsid w:val="006D38FB"/>
    <w:rsid w:val="006D3CBD"/>
    <w:rsid w:val="006D4267"/>
    <w:rsid w:val="006D478E"/>
    <w:rsid w:val="006D4F83"/>
    <w:rsid w:val="006D77DA"/>
    <w:rsid w:val="006D77F6"/>
    <w:rsid w:val="006E0376"/>
    <w:rsid w:val="006E0B78"/>
    <w:rsid w:val="006E12F9"/>
    <w:rsid w:val="006E173B"/>
    <w:rsid w:val="006E2D21"/>
    <w:rsid w:val="006E3D3D"/>
    <w:rsid w:val="006E42E1"/>
    <w:rsid w:val="006E478D"/>
    <w:rsid w:val="006E6C43"/>
    <w:rsid w:val="006E6DA5"/>
    <w:rsid w:val="006F0434"/>
    <w:rsid w:val="006F0A22"/>
    <w:rsid w:val="006F0F84"/>
    <w:rsid w:val="006F1DDF"/>
    <w:rsid w:val="006F2D06"/>
    <w:rsid w:val="006F3215"/>
    <w:rsid w:val="006F398C"/>
    <w:rsid w:val="006F3EAC"/>
    <w:rsid w:val="006F775C"/>
    <w:rsid w:val="006F79A7"/>
    <w:rsid w:val="00700B07"/>
    <w:rsid w:val="00701AF1"/>
    <w:rsid w:val="00703189"/>
    <w:rsid w:val="007036E7"/>
    <w:rsid w:val="00703EEC"/>
    <w:rsid w:val="007043E4"/>
    <w:rsid w:val="00705D99"/>
    <w:rsid w:val="00707C59"/>
    <w:rsid w:val="007101D1"/>
    <w:rsid w:val="0071054E"/>
    <w:rsid w:val="00711386"/>
    <w:rsid w:val="00711A9D"/>
    <w:rsid w:val="00712CCA"/>
    <w:rsid w:val="007162C4"/>
    <w:rsid w:val="00716F3F"/>
    <w:rsid w:val="00720D1C"/>
    <w:rsid w:val="00720F7C"/>
    <w:rsid w:val="0072283B"/>
    <w:rsid w:val="007231D9"/>
    <w:rsid w:val="007234D2"/>
    <w:rsid w:val="00732447"/>
    <w:rsid w:val="0073339D"/>
    <w:rsid w:val="00734E36"/>
    <w:rsid w:val="00735276"/>
    <w:rsid w:val="0073654D"/>
    <w:rsid w:val="007366EA"/>
    <w:rsid w:val="00737E6E"/>
    <w:rsid w:val="007403AA"/>
    <w:rsid w:val="0074356A"/>
    <w:rsid w:val="007435A7"/>
    <w:rsid w:val="00743FB9"/>
    <w:rsid w:val="00744CA6"/>
    <w:rsid w:val="007478A3"/>
    <w:rsid w:val="007537C4"/>
    <w:rsid w:val="007539A4"/>
    <w:rsid w:val="00755672"/>
    <w:rsid w:val="007573FB"/>
    <w:rsid w:val="00757476"/>
    <w:rsid w:val="00760F1E"/>
    <w:rsid w:val="00761D18"/>
    <w:rsid w:val="00762526"/>
    <w:rsid w:val="00762E2A"/>
    <w:rsid w:val="00763EE0"/>
    <w:rsid w:val="007644EB"/>
    <w:rsid w:val="00767184"/>
    <w:rsid w:val="00771684"/>
    <w:rsid w:val="00772B4D"/>
    <w:rsid w:val="007754E9"/>
    <w:rsid w:val="00776D29"/>
    <w:rsid w:val="00777426"/>
    <w:rsid w:val="00777662"/>
    <w:rsid w:val="00777FD9"/>
    <w:rsid w:val="00781AE8"/>
    <w:rsid w:val="007824B5"/>
    <w:rsid w:val="00783729"/>
    <w:rsid w:val="00784BF7"/>
    <w:rsid w:val="00785F1F"/>
    <w:rsid w:val="00787127"/>
    <w:rsid w:val="00787DDF"/>
    <w:rsid w:val="00791D2A"/>
    <w:rsid w:val="007941E7"/>
    <w:rsid w:val="007942C5"/>
    <w:rsid w:val="007942F4"/>
    <w:rsid w:val="00794CB4"/>
    <w:rsid w:val="0079544F"/>
    <w:rsid w:val="007A0F02"/>
    <w:rsid w:val="007A1D4C"/>
    <w:rsid w:val="007A2BFC"/>
    <w:rsid w:val="007A362C"/>
    <w:rsid w:val="007A44F7"/>
    <w:rsid w:val="007A529F"/>
    <w:rsid w:val="007A64CB"/>
    <w:rsid w:val="007A6A64"/>
    <w:rsid w:val="007A6D3C"/>
    <w:rsid w:val="007A7AEB"/>
    <w:rsid w:val="007B07C5"/>
    <w:rsid w:val="007B07E1"/>
    <w:rsid w:val="007B1767"/>
    <w:rsid w:val="007B34AF"/>
    <w:rsid w:val="007B34F2"/>
    <w:rsid w:val="007B35CF"/>
    <w:rsid w:val="007B37E8"/>
    <w:rsid w:val="007B46E6"/>
    <w:rsid w:val="007B51D1"/>
    <w:rsid w:val="007B523B"/>
    <w:rsid w:val="007B7F44"/>
    <w:rsid w:val="007C2464"/>
    <w:rsid w:val="007C2CBB"/>
    <w:rsid w:val="007C75CA"/>
    <w:rsid w:val="007C7BBD"/>
    <w:rsid w:val="007D01B9"/>
    <w:rsid w:val="007D03BF"/>
    <w:rsid w:val="007D1409"/>
    <w:rsid w:val="007D356C"/>
    <w:rsid w:val="007D3BA1"/>
    <w:rsid w:val="007D3D17"/>
    <w:rsid w:val="007D48DD"/>
    <w:rsid w:val="007D524C"/>
    <w:rsid w:val="007D6C05"/>
    <w:rsid w:val="007D7B00"/>
    <w:rsid w:val="007D7EA0"/>
    <w:rsid w:val="007E015A"/>
    <w:rsid w:val="007E0E35"/>
    <w:rsid w:val="007E2A78"/>
    <w:rsid w:val="007E3984"/>
    <w:rsid w:val="007E5355"/>
    <w:rsid w:val="007E53C8"/>
    <w:rsid w:val="007E691D"/>
    <w:rsid w:val="007E7160"/>
    <w:rsid w:val="007F192D"/>
    <w:rsid w:val="007F1ED8"/>
    <w:rsid w:val="007F512A"/>
    <w:rsid w:val="007F5D32"/>
    <w:rsid w:val="007F69DC"/>
    <w:rsid w:val="007F6F05"/>
    <w:rsid w:val="007F78A7"/>
    <w:rsid w:val="0080049A"/>
    <w:rsid w:val="0080153B"/>
    <w:rsid w:val="008020EE"/>
    <w:rsid w:val="00804F07"/>
    <w:rsid w:val="00806170"/>
    <w:rsid w:val="00806B24"/>
    <w:rsid w:val="00806CF7"/>
    <w:rsid w:val="00806F36"/>
    <w:rsid w:val="008106A2"/>
    <w:rsid w:val="00812471"/>
    <w:rsid w:val="008129D6"/>
    <w:rsid w:val="00812BA9"/>
    <w:rsid w:val="00813345"/>
    <w:rsid w:val="008156ED"/>
    <w:rsid w:val="00815BE0"/>
    <w:rsid w:val="00816DAA"/>
    <w:rsid w:val="008215CD"/>
    <w:rsid w:val="00821722"/>
    <w:rsid w:val="00824824"/>
    <w:rsid w:val="00824C6A"/>
    <w:rsid w:val="008269A2"/>
    <w:rsid w:val="00827006"/>
    <w:rsid w:val="0082732F"/>
    <w:rsid w:val="008274DC"/>
    <w:rsid w:val="008307A1"/>
    <w:rsid w:val="00831825"/>
    <w:rsid w:val="0083269E"/>
    <w:rsid w:val="008339DC"/>
    <w:rsid w:val="00834A1B"/>
    <w:rsid w:val="00834E5A"/>
    <w:rsid w:val="00835DB3"/>
    <w:rsid w:val="008360D0"/>
    <w:rsid w:val="008371B7"/>
    <w:rsid w:val="008375EF"/>
    <w:rsid w:val="00837AA5"/>
    <w:rsid w:val="008416F8"/>
    <w:rsid w:val="00842CAE"/>
    <w:rsid w:val="00842D47"/>
    <w:rsid w:val="00850479"/>
    <w:rsid w:val="008508AC"/>
    <w:rsid w:val="008508BA"/>
    <w:rsid w:val="008518FF"/>
    <w:rsid w:val="0085274A"/>
    <w:rsid w:val="00852894"/>
    <w:rsid w:val="00853D27"/>
    <w:rsid w:val="0085429A"/>
    <w:rsid w:val="008564E8"/>
    <w:rsid w:val="00856A3B"/>
    <w:rsid w:val="008571A5"/>
    <w:rsid w:val="008575CB"/>
    <w:rsid w:val="0086009E"/>
    <w:rsid w:val="00860793"/>
    <w:rsid w:val="00861961"/>
    <w:rsid w:val="008620EA"/>
    <w:rsid w:val="0086250A"/>
    <w:rsid w:val="008631EA"/>
    <w:rsid w:val="0086351B"/>
    <w:rsid w:val="008635E4"/>
    <w:rsid w:val="00863C67"/>
    <w:rsid w:val="00864786"/>
    <w:rsid w:val="008676C3"/>
    <w:rsid w:val="00867924"/>
    <w:rsid w:val="00870756"/>
    <w:rsid w:val="00873140"/>
    <w:rsid w:val="008738F9"/>
    <w:rsid w:val="00873F24"/>
    <w:rsid w:val="00874EE4"/>
    <w:rsid w:val="00876BD3"/>
    <w:rsid w:val="00880D0D"/>
    <w:rsid w:val="00881297"/>
    <w:rsid w:val="008830E8"/>
    <w:rsid w:val="00885EA6"/>
    <w:rsid w:val="00885FEC"/>
    <w:rsid w:val="00886B4C"/>
    <w:rsid w:val="008932B2"/>
    <w:rsid w:val="008937FB"/>
    <w:rsid w:val="00894B76"/>
    <w:rsid w:val="00895203"/>
    <w:rsid w:val="00896ACE"/>
    <w:rsid w:val="008A2AE4"/>
    <w:rsid w:val="008A4FEE"/>
    <w:rsid w:val="008A51E9"/>
    <w:rsid w:val="008A658B"/>
    <w:rsid w:val="008A6632"/>
    <w:rsid w:val="008B0DFC"/>
    <w:rsid w:val="008B1928"/>
    <w:rsid w:val="008B36AB"/>
    <w:rsid w:val="008B39CC"/>
    <w:rsid w:val="008B53BA"/>
    <w:rsid w:val="008B5424"/>
    <w:rsid w:val="008B7DFB"/>
    <w:rsid w:val="008C1213"/>
    <w:rsid w:val="008C1DF0"/>
    <w:rsid w:val="008C33CA"/>
    <w:rsid w:val="008C36B2"/>
    <w:rsid w:val="008C480D"/>
    <w:rsid w:val="008C6596"/>
    <w:rsid w:val="008C6DE1"/>
    <w:rsid w:val="008C75F4"/>
    <w:rsid w:val="008D1094"/>
    <w:rsid w:val="008D1773"/>
    <w:rsid w:val="008D1AD7"/>
    <w:rsid w:val="008D1F38"/>
    <w:rsid w:val="008D2909"/>
    <w:rsid w:val="008D2B06"/>
    <w:rsid w:val="008D4250"/>
    <w:rsid w:val="008D589C"/>
    <w:rsid w:val="008D74C2"/>
    <w:rsid w:val="008D7AB9"/>
    <w:rsid w:val="008E1AC9"/>
    <w:rsid w:val="008E1BDC"/>
    <w:rsid w:val="008E2CF1"/>
    <w:rsid w:val="008E39B0"/>
    <w:rsid w:val="008E5F21"/>
    <w:rsid w:val="008E6D38"/>
    <w:rsid w:val="008E7C74"/>
    <w:rsid w:val="008F01D8"/>
    <w:rsid w:val="008F2A0A"/>
    <w:rsid w:val="008F340A"/>
    <w:rsid w:val="008F36E4"/>
    <w:rsid w:val="008F620F"/>
    <w:rsid w:val="008F621E"/>
    <w:rsid w:val="008F72E4"/>
    <w:rsid w:val="009002B1"/>
    <w:rsid w:val="00901A24"/>
    <w:rsid w:val="00903242"/>
    <w:rsid w:val="00905A39"/>
    <w:rsid w:val="00906393"/>
    <w:rsid w:val="00910C3B"/>
    <w:rsid w:val="00911C8A"/>
    <w:rsid w:val="009121EB"/>
    <w:rsid w:val="00912B06"/>
    <w:rsid w:val="00912F51"/>
    <w:rsid w:val="009138D4"/>
    <w:rsid w:val="009154CB"/>
    <w:rsid w:val="009209B4"/>
    <w:rsid w:val="00921A06"/>
    <w:rsid w:val="00923918"/>
    <w:rsid w:val="00924149"/>
    <w:rsid w:val="009260AF"/>
    <w:rsid w:val="00927533"/>
    <w:rsid w:val="009279FB"/>
    <w:rsid w:val="0093085F"/>
    <w:rsid w:val="00930F96"/>
    <w:rsid w:val="00931B22"/>
    <w:rsid w:val="009323C7"/>
    <w:rsid w:val="009329E5"/>
    <w:rsid w:val="00932E3F"/>
    <w:rsid w:val="0093379B"/>
    <w:rsid w:val="0094126A"/>
    <w:rsid w:val="0094354F"/>
    <w:rsid w:val="0094460D"/>
    <w:rsid w:val="0094476B"/>
    <w:rsid w:val="009454E6"/>
    <w:rsid w:val="00946A81"/>
    <w:rsid w:val="00947599"/>
    <w:rsid w:val="00953571"/>
    <w:rsid w:val="00953B78"/>
    <w:rsid w:val="00955418"/>
    <w:rsid w:val="009573FB"/>
    <w:rsid w:val="00961A62"/>
    <w:rsid w:val="009629AE"/>
    <w:rsid w:val="00963D4B"/>
    <w:rsid w:val="009647A6"/>
    <w:rsid w:val="00965539"/>
    <w:rsid w:val="009663AC"/>
    <w:rsid w:val="00966442"/>
    <w:rsid w:val="009709A1"/>
    <w:rsid w:val="00970D4E"/>
    <w:rsid w:val="009717E7"/>
    <w:rsid w:val="00971E71"/>
    <w:rsid w:val="009728DE"/>
    <w:rsid w:val="009752F4"/>
    <w:rsid w:val="00975F98"/>
    <w:rsid w:val="009766E2"/>
    <w:rsid w:val="00976DDB"/>
    <w:rsid w:val="00976EB5"/>
    <w:rsid w:val="00980DCC"/>
    <w:rsid w:val="00984077"/>
    <w:rsid w:val="00984257"/>
    <w:rsid w:val="00985872"/>
    <w:rsid w:val="0098673D"/>
    <w:rsid w:val="00986C52"/>
    <w:rsid w:val="009905F2"/>
    <w:rsid w:val="00990AEB"/>
    <w:rsid w:val="009915E6"/>
    <w:rsid w:val="00991E73"/>
    <w:rsid w:val="0099476C"/>
    <w:rsid w:val="009950BD"/>
    <w:rsid w:val="0099525B"/>
    <w:rsid w:val="00995C7F"/>
    <w:rsid w:val="00997194"/>
    <w:rsid w:val="009A0037"/>
    <w:rsid w:val="009A0276"/>
    <w:rsid w:val="009A47DC"/>
    <w:rsid w:val="009A5528"/>
    <w:rsid w:val="009A7102"/>
    <w:rsid w:val="009A72EE"/>
    <w:rsid w:val="009A7604"/>
    <w:rsid w:val="009B07B4"/>
    <w:rsid w:val="009B0A9D"/>
    <w:rsid w:val="009B147B"/>
    <w:rsid w:val="009B21A5"/>
    <w:rsid w:val="009B412C"/>
    <w:rsid w:val="009B6AA4"/>
    <w:rsid w:val="009B7130"/>
    <w:rsid w:val="009C0589"/>
    <w:rsid w:val="009C0E9E"/>
    <w:rsid w:val="009C220F"/>
    <w:rsid w:val="009C2A16"/>
    <w:rsid w:val="009C3435"/>
    <w:rsid w:val="009C6488"/>
    <w:rsid w:val="009C6FF0"/>
    <w:rsid w:val="009C77A7"/>
    <w:rsid w:val="009C797A"/>
    <w:rsid w:val="009C7BF5"/>
    <w:rsid w:val="009D2C72"/>
    <w:rsid w:val="009D439C"/>
    <w:rsid w:val="009D6F76"/>
    <w:rsid w:val="009E173E"/>
    <w:rsid w:val="009E2971"/>
    <w:rsid w:val="009E726E"/>
    <w:rsid w:val="009F3B06"/>
    <w:rsid w:val="009F5E7F"/>
    <w:rsid w:val="009F76E3"/>
    <w:rsid w:val="009F79D1"/>
    <w:rsid w:val="00A028D0"/>
    <w:rsid w:val="00A031E1"/>
    <w:rsid w:val="00A04713"/>
    <w:rsid w:val="00A04814"/>
    <w:rsid w:val="00A05327"/>
    <w:rsid w:val="00A0558F"/>
    <w:rsid w:val="00A056FF"/>
    <w:rsid w:val="00A065DA"/>
    <w:rsid w:val="00A073E1"/>
    <w:rsid w:val="00A10254"/>
    <w:rsid w:val="00A107AC"/>
    <w:rsid w:val="00A11DD6"/>
    <w:rsid w:val="00A123D6"/>
    <w:rsid w:val="00A14062"/>
    <w:rsid w:val="00A143F3"/>
    <w:rsid w:val="00A16F42"/>
    <w:rsid w:val="00A205F1"/>
    <w:rsid w:val="00A224C9"/>
    <w:rsid w:val="00A23EAB"/>
    <w:rsid w:val="00A2435F"/>
    <w:rsid w:val="00A3002C"/>
    <w:rsid w:val="00A3374E"/>
    <w:rsid w:val="00A35BB3"/>
    <w:rsid w:val="00A3795A"/>
    <w:rsid w:val="00A40599"/>
    <w:rsid w:val="00A40FEA"/>
    <w:rsid w:val="00A42711"/>
    <w:rsid w:val="00A4295B"/>
    <w:rsid w:val="00A43F2C"/>
    <w:rsid w:val="00A44B56"/>
    <w:rsid w:val="00A45D01"/>
    <w:rsid w:val="00A46F6E"/>
    <w:rsid w:val="00A47CD5"/>
    <w:rsid w:val="00A50CE6"/>
    <w:rsid w:val="00A523CB"/>
    <w:rsid w:val="00A5631F"/>
    <w:rsid w:val="00A56DC4"/>
    <w:rsid w:val="00A5778E"/>
    <w:rsid w:val="00A624B2"/>
    <w:rsid w:val="00A62687"/>
    <w:rsid w:val="00A652E4"/>
    <w:rsid w:val="00A66BF4"/>
    <w:rsid w:val="00A70416"/>
    <w:rsid w:val="00A70D8C"/>
    <w:rsid w:val="00A73803"/>
    <w:rsid w:val="00A747AC"/>
    <w:rsid w:val="00A76EC8"/>
    <w:rsid w:val="00A8022D"/>
    <w:rsid w:val="00A81F50"/>
    <w:rsid w:val="00A83401"/>
    <w:rsid w:val="00A83B3E"/>
    <w:rsid w:val="00A83EAD"/>
    <w:rsid w:val="00A851C3"/>
    <w:rsid w:val="00A858C3"/>
    <w:rsid w:val="00A8711E"/>
    <w:rsid w:val="00A875B3"/>
    <w:rsid w:val="00A877CF"/>
    <w:rsid w:val="00A92E91"/>
    <w:rsid w:val="00A93FA2"/>
    <w:rsid w:val="00A9431C"/>
    <w:rsid w:val="00A9493F"/>
    <w:rsid w:val="00A97336"/>
    <w:rsid w:val="00AA1E3F"/>
    <w:rsid w:val="00AA2E79"/>
    <w:rsid w:val="00AA3EEB"/>
    <w:rsid w:val="00AA6ACD"/>
    <w:rsid w:val="00AA6E68"/>
    <w:rsid w:val="00AA735A"/>
    <w:rsid w:val="00AB1409"/>
    <w:rsid w:val="00AB1C28"/>
    <w:rsid w:val="00AB3941"/>
    <w:rsid w:val="00AB513C"/>
    <w:rsid w:val="00AB51C8"/>
    <w:rsid w:val="00AB54AE"/>
    <w:rsid w:val="00AB61C5"/>
    <w:rsid w:val="00AB635E"/>
    <w:rsid w:val="00AC376A"/>
    <w:rsid w:val="00AC5894"/>
    <w:rsid w:val="00AC5FD4"/>
    <w:rsid w:val="00AC6BEA"/>
    <w:rsid w:val="00AD10A2"/>
    <w:rsid w:val="00AD1385"/>
    <w:rsid w:val="00AD145F"/>
    <w:rsid w:val="00AD16AE"/>
    <w:rsid w:val="00AD42A3"/>
    <w:rsid w:val="00AD4E24"/>
    <w:rsid w:val="00AD71DE"/>
    <w:rsid w:val="00AD76B0"/>
    <w:rsid w:val="00AE2B08"/>
    <w:rsid w:val="00AE328D"/>
    <w:rsid w:val="00AE3AB0"/>
    <w:rsid w:val="00AE4175"/>
    <w:rsid w:val="00AE5205"/>
    <w:rsid w:val="00AE57D5"/>
    <w:rsid w:val="00AE7EE3"/>
    <w:rsid w:val="00AF027C"/>
    <w:rsid w:val="00AF0FAD"/>
    <w:rsid w:val="00AF0FEB"/>
    <w:rsid w:val="00AF1111"/>
    <w:rsid w:val="00AF11B1"/>
    <w:rsid w:val="00AF1547"/>
    <w:rsid w:val="00AF1608"/>
    <w:rsid w:val="00AF1625"/>
    <w:rsid w:val="00AF1D49"/>
    <w:rsid w:val="00AF26AB"/>
    <w:rsid w:val="00AF366D"/>
    <w:rsid w:val="00AF37C1"/>
    <w:rsid w:val="00AF46B4"/>
    <w:rsid w:val="00AF6134"/>
    <w:rsid w:val="00AF6A90"/>
    <w:rsid w:val="00AF79AE"/>
    <w:rsid w:val="00B01193"/>
    <w:rsid w:val="00B01508"/>
    <w:rsid w:val="00B01D1C"/>
    <w:rsid w:val="00B020A3"/>
    <w:rsid w:val="00B020CF"/>
    <w:rsid w:val="00B0248E"/>
    <w:rsid w:val="00B033F4"/>
    <w:rsid w:val="00B05342"/>
    <w:rsid w:val="00B06922"/>
    <w:rsid w:val="00B06B13"/>
    <w:rsid w:val="00B075BE"/>
    <w:rsid w:val="00B07AC2"/>
    <w:rsid w:val="00B102C5"/>
    <w:rsid w:val="00B10536"/>
    <w:rsid w:val="00B10E8F"/>
    <w:rsid w:val="00B1142D"/>
    <w:rsid w:val="00B118A5"/>
    <w:rsid w:val="00B11B66"/>
    <w:rsid w:val="00B11E98"/>
    <w:rsid w:val="00B12231"/>
    <w:rsid w:val="00B13708"/>
    <w:rsid w:val="00B13E08"/>
    <w:rsid w:val="00B14402"/>
    <w:rsid w:val="00B165ED"/>
    <w:rsid w:val="00B17F84"/>
    <w:rsid w:val="00B2191E"/>
    <w:rsid w:val="00B21A97"/>
    <w:rsid w:val="00B2259C"/>
    <w:rsid w:val="00B23E52"/>
    <w:rsid w:val="00B24530"/>
    <w:rsid w:val="00B24E94"/>
    <w:rsid w:val="00B34679"/>
    <w:rsid w:val="00B354F1"/>
    <w:rsid w:val="00B3606E"/>
    <w:rsid w:val="00B36191"/>
    <w:rsid w:val="00B402E9"/>
    <w:rsid w:val="00B41B75"/>
    <w:rsid w:val="00B429CA"/>
    <w:rsid w:val="00B439A2"/>
    <w:rsid w:val="00B46481"/>
    <w:rsid w:val="00B46E23"/>
    <w:rsid w:val="00B471FD"/>
    <w:rsid w:val="00B51C0F"/>
    <w:rsid w:val="00B52F79"/>
    <w:rsid w:val="00B53592"/>
    <w:rsid w:val="00B53837"/>
    <w:rsid w:val="00B55B7B"/>
    <w:rsid w:val="00B55F51"/>
    <w:rsid w:val="00B569F1"/>
    <w:rsid w:val="00B56E0F"/>
    <w:rsid w:val="00B56E4C"/>
    <w:rsid w:val="00B61425"/>
    <w:rsid w:val="00B61972"/>
    <w:rsid w:val="00B619F4"/>
    <w:rsid w:val="00B64704"/>
    <w:rsid w:val="00B6485D"/>
    <w:rsid w:val="00B6568C"/>
    <w:rsid w:val="00B67B06"/>
    <w:rsid w:val="00B71178"/>
    <w:rsid w:val="00B71CC1"/>
    <w:rsid w:val="00B72C02"/>
    <w:rsid w:val="00B73B28"/>
    <w:rsid w:val="00B752E0"/>
    <w:rsid w:val="00B7682E"/>
    <w:rsid w:val="00B76F5E"/>
    <w:rsid w:val="00B803AA"/>
    <w:rsid w:val="00B82518"/>
    <w:rsid w:val="00B856AB"/>
    <w:rsid w:val="00B85E7C"/>
    <w:rsid w:val="00B87BEB"/>
    <w:rsid w:val="00B87EEA"/>
    <w:rsid w:val="00B90269"/>
    <w:rsid w:val="00B919E4"/>
    <w:rsid w:val="00B91C3F"/>
    <w:rsid w:val="00B927F9"/>
    <w:rsid w:val="00B94D0F"/>
    <w:rsid w:val="00B95320"/>
    <w:rsid w:val="00B97AC3"/>
    <w:rsid w:val="00BA105B"/>
    <w:rsid w:val="00BA29E2"/>
    <w:rsid w:val="00BA3F16"/>
    <w:rsid w:val="00BA44FA"/>
    <w:rsid w:val="00BA59F7"/>
    <w:rsid w:val="00BA6B49"/>
    <w:rsid w:val="00BA6EE4"/>
    <w:rsid w:val="00BA717F"/>
    <w:rsid w:val="00BB014C"/>
    <w:rsid w:val="00BB0B57"/>
    <w:rsid w:val="00BB297E"/>
    <w:rsid w:val="00BB46A0"/>
    <w:rsid w:val="00BB4DD9"/>
    <w:rsid w:val="00BB7055"/>
    <w:rsid w:val="00BB7D07"/>
    <w:rsid w:val="00BC1B51"/>
    <w:rsid w:val="00BC56E2"/>
    <w:rsid w:val="00BC618F"/>
    <w:rsid w:val="00BC7E87"/>
    <w:rsid w:val="00BD2186"/>
    <w:rsid w:val="00BD24C6"/>
    <w:rsid w:val="00BD2A66"/>
    <w:rsid w:val="00BD2D33"/>
    <w:rsid w:val="00BD2F49"/>
    <w:rsid w:val="00BD40C8"/>
    <w:rsid w:val="00BD4900"/>
    <w:rsid w:val="00BD7E31"/>
    <w:rsid w:val="00BE130B"/>
    <w:rsid w:val="00BE3CE6"/>
    <w:rsid w:val="00BE7811"/>
    <w:rsid w:val="00BE7E82"/>
    <w:rsid w:val="00BF030F"/>
    <w:rsid w:val="00BF21F6"/>
    <w:rsid w:val="00BF293C"/>
    <w:rsid w:val="00BF58AF"/>
    <w:rsid w:val="00BF61D4"/>
    <w:rsid w:val="00BF6B68"/>
    <w:rsid w:val="00BF75F6"/>
    <w:rsid w:val="00C00814"/>
    <w:rsid w:val="00C00E15"/>
    <w:rsid w:val="00C01D83"/>
    <w:rsid w:val="00C02D63"/>
    <w:rsid w:val="00C03121"/>
    <w:rsid w:val="00C03A5C"/>
    <w:rsid w:val="00C04597"/>
    <w:rsid w:val="00C04D6E"/>
    <w:rsid w:val="00C120B5"/>
    <w:rsid w:val="00C13542"/>
    <w:rsid w:val="00C14C65"/>
    <w:rsid w:val="00C15D1A"/>
    <w:rsid w:val="00C1606C"/>
    <w:rsid w:val="00C22496"/>
    <w:rsid w:val="00C2264B"/>
    <w:rsid w:val="00C237B6"/>
    <w:rsid w:val="00C259BC"/>
    <w:rsid w:val="00C25D7A"/>
    <w:rsid w:val="00C25DDA"/>
    <w:rsid w:val="00C32FFC"/>
    <w:rsid w:val="00C33AFA"/>
    <w:rsid w:val="00C34607"/>
    <w:rsid w:val="00C34D97"/>
    <w:rsid w:val="00C357CB"/>
    <w:rsid w:val="00C35B20"/>
    <w:rsid w:val="00C36A77"/>
    <w:rsid w:val="00C40D0B"/>
    <w:rsid w:val="00C41A07"/>
    <w:rsid w:val="00C42B14"/>
    <w:rsid w:val="00C4333B"/>
    <w:rsid w:val="00C43455"/>
    <w:rsid w:val="00C439A5"/>
    <w:rsid w:val="00C450BA"/>
    <w:rsid w:val="00C464CC"/>
    <w:rsid w:val="00C47424"/>
    <w:rsid w:val="00C50736"/>
    <w:rsid w:val="00C50ACC"/>
    <w:rsid w:val="00C54234"/>
    <w:rsid w:val="00C55E77"/>
    <w:rsid w:val="00C5749A"/>
    <w:rsid w:val="00C610F8"/>
    <w:rsid w:val="00C61524"/>
    <w:rsid w:val="00C62012"/>
    <w:rsid w:val="00C62209"/>
    <w:rsid w:val="00C6253C"/>
    <w:rsid w:val="00C63FA3"/>
    <w:rsid w:val="00C64839"/>
    <w:rsid w:val="00C65667"/>
    <w:rsid w:val="00C6588C"/>
    <w:rsid w:val="00C67B79"/>
    <w:rsid w:val="00C72332"/>
    <w:rsid w:val="00C73080"/>
    <w:rsid w:val="00C73B73"/>
    <w:rsid w:val="00C74510"/>
    <w:rsid w:val="00C765F0"/>
    <w:rsid w:val="00C772DC"/>
    <w:rsid w:val="00C772E0"/>
    <w:rsid w:val="00C773D7"/>
    <w:rsid w:val="00C77AE6"/>
    <w:rsid w:val="00C80CE4"/>
    <w:rsid w:val="00C81B63"/>
    <w:rsid w:val="00C84CC5"/>
    <w:rsid w:val="00C8527C"/>
    <w:rsid w:val="00C8535C"/>
    <w:rsid w:val="00C8640E"/>
    <w:rsid w:val="00C86B61"/>
    <w:rsid w:val="00C91EB4"/>
    <w:rsid w:val="00C969A3"/>
    <w:rsid w:val="00C96CB2"/>
    <w:rsid w:val="00C96D0B"/>
    <w:rsid w:val="00CA0625"/>
    <w:rsid w:val="00CA1B8D"/>
    <w:rsid w:val="00CA1E0A"/>
    <w:rsid w:val="00CA7C2A"/>
    <w:rsid w:val="00CB0BD3"/>
    <w:rsid w:val="00CB13A4"/>
    <w:rsid w:val="00CB2055"/>
    <w:rsid w:val="00CB2F47"/>
    <w:rsid w:val="00CB5649"/>
    <w:rsid w:val="00CB6B6A"/>
    <w:rsid w:val="00CB7B1D"/>
    <w:rsid w:val="00CC1060"/>
    <w:rsid w:val="00CC109E"/>
    <w:rsid w:val="00CC1AB8"/>
    <w:rsid w:val="00CC1E25"/>
    <w:rsid w:val="00CC5589"/>
    <w:rsid w:val="00CC67BD"/>
    <w:rsid w:val="00CC6987"/>
    <w:rsid w:val="00CC7025"/>
    <w:rsid w:val="00CC70B6"/>
    <w:rsid w:val="00CC740D"/>
    <w:rsid w:val="00CD0266"/>
    <w:rsid w:val="00CD050B"/>
    <w:rsid w:val="00CD0F0D"/>
    <w:rsid w:val="00CD3852"/>
    <w:rsid w:val="00CD3EC2"/>
    <w:rsid w:val="00CD5568"/>
    <w:rsid w:val="00CD6401"/>
    <w:rsid w:val="00CD75B2"/>
    <w:rsid w:val="00CE081D"/>
    <w:rsid w:val="00CE20DF"/>
    <w:rsid w:val="00CE28EE"/>
    <w:rsid w:val="00CE3476"/>
    <w:rsid w:val="00CE459C"/>
    <w:rsid w:val="00CE598F"/>
    <w:rsid w:val="00CE5D24"/>
    <w:rsid w:val="00CE77D5"/>
    <w:rsid w:val="00CF00F9"/>
    <w:rsid w:val="00CF197F"/>
    <w:rsid w:val="00CF3152"/>
    <w:rsid w:val="00CF35E0"/>
    <w:rsid w:val="00CF39A9"/>
    <w:rsid w:val="00CF41D9"/>
    <w:rsid w:val="00CF4BAE"/>
    <w:rsid w:val="00CF5F11"/>
    <w:rsid w:val="00CF6594"/>
    <w:rsid w:val="00D0024C"/>
    <w:rsid w:val="00D00B5A"/>
    <w:rsid w:val="00D01DEA"/>
    <w:rsid w:val="00D021BB"/>
    <w:rsid w:val="00D039CD"/>
    <w:rsid w:val="00D03A28"/>
    <w:rsid w:val="00D03B04"/>
    <w:rsid w:val="00D051C6"/>
    <w:rsid w:val="00D05297"/>
    <w:rsid w:val="00D0763B"/>
    <w:rsid w:val="00D10933"/>
    <w:rsid w:val="00D10E14"/>
    <w:rsid w:val="00D11487"/>
    <w:rsid w:val="00D13752"/>
    <w:rsid w:val="00D13FE6"/>
    <w:rsid w:val="00D14B48"/>
    <w:rsid w:val="00D15BF3"/>
    <w:rsid w:val="00D15C8D"/>
    <w:rsid w:val="00D17742"/>
    <w:rsid w:val="00D2057A"/>
    <w:rsid w:val="00D20A5E"/>
    <w:rsid w:val="00D20BE2"/>
    <w:rsid w:val="00D21955"/>
    <w:rsid w:val="00D219FC"/>
    <w:rsid w:val="00D24444"/>
    <w:rsid w:val="00D24B54"/>
    <w:rsid w:val="00D25B7E"/>
    <w:rsid w:val="00D25C6A"/>
    <w:rsid w:val="00D2723F"/>
    <w:rsid w:val="00D27ECF"/>
    <w:rsid w:val="00D30277"/>
    <w:rsid w:val="00D31295"/>
    <w:rsid w:val="00D312B2"/>
    <w:rsid w:val="00D31CFB"/>
    <w:rsid w:val="00D31E6F"/>
    <w:rsid w:val="00D3204D"/>
    <w:rsid w:val="00D3230D"/>
    <w:rsid w:val="00D327C8"/>
    <w:rsid w:val="00D333C1"/>
    <w:rsid w:val="00D366C4"/>
    <w:rsid w:val="00D36C90"/>
    <w:rsid w:val="00D41D0A"/>
    <w:rsid w:val="00D42441"/>
    <w:rsid w:val="00D42A31"/>
    <w:rsid w:val="00D42C4B"/>
    <w:rsid w:val="00D43D56"/>
    <w:rsid w:val="00D43EE2"/>
    <w:rsid w:val="00D44924"/>
    <w:rsid w:val="00D46166"/>
    <w:rsid w:val="00D474B0"/>
    <w:rsid w:val="00D5007F"/>
    <w:rsid w:val="00D500F7"/>
    <w:rsid w:val="00D51BE9"/>
    <w:rsid w:val="00D5336C"/>
    <w:rsid w:val="00D54FEA"/>
    <w:rsid w:val="00D55178"/>
    <w:rsid w:val="00D558C4"/>
    <w:rsid w:val="00D562A8"/>
    <w:rsid w:val="00D619E6"/>
    <w:rsid w:val="00D62644"/>
    <w:rsid w:val="00D6368D"/>
    <w:rsid w:val="00D70CF4"/>
    <w:rsid w:val="00D73D06"/>
    <w:rsid w:val="00D7424F"/>
    <w:rsid w:val="00D7552F"/>
    <w:rsid w:val="00D75F76"/>
    <w:rsid w:val="00D80B78"/>
    <w:rsid w:val="00D82377"/>
    <w:rsid w:val="00D82A0A"/>
    <w:rsid w:val="00D85E44"/>
    <w:rsid w:val="00D8761B"/>
    <w:rsid w:val="00D90237"/>
    <w:rsid w:val="00D92041"/>
    <w:rsid w:val="00D93008"/>
    <w:rsid w:val="00D9697B"/>
    <w:rsid w:val="00D9742B"/>
    <w:rsid w:val="00DA0EA3"/>
    <w:rsid w:val="00DA224E"/>
    <w:rsid w:val="00DA24D6"/>
    <w:rsid w:val="00DA379D"/>
    <w:rsid w:val="00DA5343"/>
    <w:rsid w:val="00DA5356"/>
    <w:rsid w:val="00DA5FCE"/>
    <w:rsid w:val="00DB0070"/>
    <w:rsid w:val="00DB020F"/>
    <w:rsid w:val="00DB2455"/>
    <w:rsid w:val="00DB2FF3"/>
    <w:rsid w:val="00DB353D"/>
    <w:rsid w:val="00DB4AE9"/>
    <w:rsid w:val="00DB5221"/>
    <w:rsid w:val="00DB5DF7"/>
    <w:rsid w:val="00DB672C"/>
    <w:rsid w:val="00DB6C51"/>
    <w:rsid w:val="00DB6DEF"/>
    <w:rsid w:val="00DC03AB"/>
    <w:rsid w:val="00DC4E96"/>
    <w:rsid w:val="00DC562D"/>
    <w:rsid w:val="00DD0642"/>
    <w:rsid w:val="00DD1697"/>
    <w:rsid w:val="00DD2E7D"/>
    <w:rsid w:val="00DD3104"/>
    <w:rsid w:val="00DD320F"/>
    <w:rsid w:val="00DD3505"/>
    <w:rsid w:val="00DD4474"/>
    <w:rsid w:val="00DD530B"/>
    <w:rsid w:val="00DD5C0E"/>
    <w:rsid w:val="00DD5D9E"/>
    <w:rsid w:val="00DD634E"/>
    <w:rsid w:val="00DD6B02"/>
    <w:rsid w:val="00DD7190"/>
    <w:rsid w:val="00DD7389"/>
    <w:rsid w:val="00DE176F"/>
    <w:rsid w:val="00DE2E78"/>
    <w:rsid w:val="00DE452C"/>
    <w:rsid w:val="00DE45D8"/>
    <w:rsid w:val="00DE63B5"/>
    <w:rsid w:val="00DE70CD"/>
    <w:rsid w:val="00DE71A9"/>
    <w:rsid w:val="00DE7FEF"/>
    <w:rsid w:val="00DF15E9"/>
    <w:rsid w:val="00DF1A5B"/>
    <w:rsid w:val="00DF21CF"/>
    <w:rsid w:val="00DF3CCB"/>
    <w:rsid w:val="00DF4A1B"/>
    <w:rsid w:val="00DF5181"/>
    <w:rsid w:val="00DF7F1C"/>
    <w:rsid w:val="00E0100B"/>
    <w:rsid w:val="00E01F75"/>
    <w:rsid w:val="00E0289A"/>
    <w:rsid w:val="00E030BE"/>
    <w:rsid w:val="00E03170"/>
    <w:rsid w:val="00E0351B"/>
    <w:rsid w:val="00E038F1"/>
    <w:rsid w:val="00E045DC"/>
    <w:rsid w:val="00E05157"/>
    <w:rsid w:val="00E05F0C"/>
    <w:rsid w:val="00E0684D"/>
    <w:rsid w:val="00E06C6C"/>
    <w:rsid w:val="00E1017C"/>
    <w:rsid w:val="00E14D91"/>
    <w:rsid w:val="00E15CDB"/>
    <w:rsid w:val="00E16749"/>
    <w:rsid w:val="00E16D8C"/>
    <w:rsid w:val="00E17748"/>
    <w:rsid w:val="00E22F7E"/>
    <w:rsid w:val="00E2315F"/>
    <w:rsid w:val="00E241E3"/>
    <w:rsid w:val="00E24C1F"/>
    <w:rsid w:val="00E25631"/>
    <w:rsid w:val="00E31905"/>
    <w:rsid w:val="00E319CC"/>
    <w:rsid w:val="00E31A3D"/>
    <w:rsid w:val="00E33815"/>
    <w:rsid w:val="00E34EE3"/>
    <w:rsid w:val="00E35095"/>
    <w:rsid w:val="00E35C22"/>
    <w:rsid w:val="00E36A0E"/>
    <w:rsid w:val="00E4073A"/>
    <w:rsid w:val="00E40F9E"/>
    <w:rsid w:val="00E43C71"/>
    <w:rsid w:val="00E43CA1"/>
    <w:rsid w:val="00E45402"/>
    <w:rsid w:val="00E4687A"/>
    <w:rsid w:val="00E46B8F"/>
    <w:rsid w:val="00E475AB"/>
    <w:rsid w:val="00E50F22"/>
    <w:rsid w:val="00E5104C"/>
    <w:rsid w:val="00E5128D"/>
    <w:rsid w:val="00E524E3"/>
    <w:rsid w:val="00E52FBB"/>
    <w:rsid w:val="00E5326B"/>
    <w:rsid w:val="00E54914"/>
    <w:rsid w:val="00E55F8D"/>
    <w:rsid w:val="00E618D8"/>
    <w:rsid w:val="00E65468"/>
    <w:rsid w:val="00E664A5"/>
    <w:rsid w:val="00E66A09"/>
    <w:rsid w:val="00E730ED"/>
    <w:rsid w:val="00E775FC"/>
    <w:rsid w:val="00E811EC"/>
    <w:rsid w:val="00E81373"/>
    <w:rsid w:val="00E84E55"/>
    <w:rsid w:val="00E86326"/>
    <w:rsid w:val="00E87519"/>
    <w:rsid w:val="00E876FE"/>
    <w:rsid w:val="00E91AF1"/>
    <w:rsid w:val="00E920ED"/>
    <w:rsid w:val="00E926B6"/>
    <w:rsid w:val="00E93494"/>
    <w:rsid w:val="00E93935"/>
    <w:rsid w:val="00E939B7"/>
    <w:rsid w:val="00E95848"/>
    <w:rsid w:val="00E97AC4"/>
    <w:rsid w:val="00EA01F3"/>
    <w:rsid w:val="00EA135A"/>
    <w:rsid w:val="00EA18F5"/>
    <w:rsid w:val="00EA27F3"/>
    <w:rsid w:val="00EA3BC0"/>
    <w:rsid w:val="00EA75C5"/>
    <w:rsid w:val="00EA76E6"/>
    <w:rsid w:val="00EA78CF"/>
    <w:rsid w:val="00EB0DA6"/>
    <w:rsid w:val="00EB17B7"/>
    <w:rsid w:val="00EB4D27"/>
    <w:rsid w:val="00EB53BA"/>
    <w:rsid w:val="00EB5890"/>
    <w:rsid w:val="00EB6673"/>
    <w:rsid w:val="00EC0652"/>
    <w:rsid w:val="00EC1B9D"/>
    <w:rsid w:val="00EC1BBE"/>
    <w:rsid w:val="00EC1FC5"/>
    <w:rsid w:val="00EC56EF"/>
    <w:rsid w:val="00EC76EB"/>
    <w:rsid w:val="00ED0670"/>
    <w:rsid w:val="00ED29B0"/>
    <w:rsid w:val="00ED3871"/>
    <w:rsid w:val="00ED4334"/>
    <w:rsid w:val="00ED5DDE"/>
    <w:rsid w:val="00ED5E6C"/>
    <w:rsid w:val="00ED70C5"/>
    <w:rsid w:val="00EE017B"/>
    <w:rsid w:val="00EE08BE"/>
    <w:rsid w:val="00EE17BC"/>
    <w:rsid w:val="00EE2611"/>
    <w:rsid w:val="00EE2AAA"/>
    <w:rsid w:val="00EE33FD"/>
    <w:rsid w:val="00EE3A84"/>
    <w:rsid w:val="00EE4B1B"/>
    <w:rsid w:val="00EE53ED"/>
    <w:rsid w:val="00EE62B6"/>
    <w:rsid w:val="00EE70E5"/>
    <w:rsid w:val="00EE72CC"/>
    <w:rsid w:val="00EE7FAF"/>
    <w:rsid w:val="00EF00F5"/>
    <w:rsid w:val="00EF27C4"/>
    <w:rsid w:val="00EF41CB"/>
    <w:rsid w:val="00EF55A3"/>
    <w:rsid w:val="00EF586E"/>
    <w:rsid w:val="00EF6819"/>
    <w:rsid w:val="00EF68F8"/>
    <w:rsid w:val="00F003B9"/>
    <w:rsid w:val="00F007ED"/>
    <w:rsid w:val="00F00F64"/>
    <w:rsid w:val="00F03643"/>
    <w:rsid w:val="00F044D8"/>
    <w:rsid w:val="00F05CE4"/>
    <w:rsid w:val="00F05F80"/>
    <w:rsid w:val="00F0796D"/>
    <w:rsid w:val="00F129FA"/>
    <w:rsid w:val="00F12A10"/>
    <w:rsid w:val="00F1310D"/>
    <w:rsid w:val="00F13AD4"/>
    <w:rsid w:val="00F148EB"/>
    <w:rsid w:val="00F14A71"/>
    <w:rsid w:val="00F14B49"/>
    <w:rsid w:val="00F14F0B"/>
    <w:rsid w:val="00F155C2"/>
    <w:rsid w:val="00F15AEB"/>
    <w:rsid w:val="00F1704A"/>
    <w:rsid w:val="00F1717E"/>
    <w:rsid w:val="00F174E3"/>
    <w:rsid w:val="00F20CFA"/>
    <w:rsid w:val="00F20E71"/>
    <w:rsid w:val="00F21E49"/>
    <w:rsid w:val="00F223FB"/>
    <w:rsid w:val="00F231A8"/>
    <w:rsid w:val="00F2549C"/>
    <w:rsid w:val="00F26E79"/>
    <w:rsid w:val="00F32542"/>
    <w:rsid w:val="00F34F0D"/>
    <w:rsid w:val="00F36CA8"/>
    <w:rsid w:val="00F37523"/>
    <w:rsid w:val="00F37EC3"/>
    <w:rsid w:val="00F4219F"/>
    <w:rsid w:val="00F42238"/>
    <w:rsid w:val="00F4223C"/>
    <w:rsid w:val="00F42EE8"/>
    <w:rsid w:val="00F44697"/>
    <w:rsid w:val="00F44715"/>
    <w:rsid w:val="00F44C9F"/>
    <w:rsid w:val="00F44E29"/>
    <w:rsid w:val="00F45878"/>
    <w:rsid w:val="00F47075"/>
    <w:rsid w:val="00F47FAC"/>
    <w:rsid w:val="00F50337"/>
    <w:rsid w:val="00F552B5"/>
    <w:rsid w:val="00F56FF1"/>
    <w:rsid w:val="00F57AF7"/>
    <w:rsid w:val="00F6279E"/>
    <w:rsid w:val="00F63808"/>
    <w:rsid w:val="00F64DC8"/>
    <w:rsid w:val="00F64EEA"/>
    <w:rsid w:val="00F66324"/>
    <w:rsid w:val="00F66F8F"/>
    <w:rsid w:val="00F71AA1"/>
    <w:rsid w:val="00F7250A"/>
    <w:rsid w:val="00F73EF0"/>
    <w:rsid w:val="00F768C1"/>
    <w:rsid w:val="00F7734B"/>
    <w:rsid w:val="00F773A9"/>
    <w:rsid w:val="00F77547"/>
    <w:rsid w:val="00F77BF3"/>
    <w:rsid w:val="00F80350"/>
    <w:rsid w:val="00F807F1"/>
    <w:rsid w:val="00F83960"/>
    <w:rsid w:val="00F83AA3"/>
    <w:rsid w:val="00F84B46"/>
    <w:rsid w:val="00F86091"/>
    <w:rsid w:val="00F872EF"/>
    <w:rsid w:val="00F90F43"/>
    <w:rsid w:val="00F91D2B"/>
    <w:rsid w:val="00F93981"/>
    <w:rsid w:val="00F9445B"/>
    <w:rsid w:val="00F9520A"/>
    <w:rsid w:val="00F96A6C"/>
    <w:rsid w:val="00F97177"/>
    <w:rsid w:val="00F97F5A"/>
    <w:rsid w:val="00FA1F22"/>
    <w:rsid w:val="00FA7918"/>
    <w:rsid w:val="00FB1494"/>
    <w:rsid w:val="00FB1657"/>
    <w:rsid w:val="00FB21F4"/>
    <w:rsid w:val="00FB3140"/>
    <w:rsid w:val="00FB4CF4"/>
    <w:rsid w:val="00FB6B32"/>
    <w:rsid w:val="00FB7CDF"/>
    <w:rsid w:val="00FC03A8"/>
    <w:rsid w:val="00FC0D97"/>
    <w:rsid w:val="00FC0E05"/>
    <w:rsid w:val="00FC5215"/>
    <w:rsid w:val="00FC5897"/>
    <w:rsid w:val="00FC60AE"/>
    <w:rsid w:val="00FC612D"/>
    <w:rsid w:val="00FC6609"/>
    <w:rsid w:val="00FC6BA2"/>
    <w:rsid w:val="00FC6FA0"/>
    <w:rsid w:val="00FC7D35"/>
    <w:rsid w:val="00FD07E7"/>
    <w:rsid w:val="00FD0A17"/>
    <w:rsid w:val="00FD21D6"/>
    <w:rsid w:val="00FD2657"/>
    <w:rsid w:val="00FD3354"/>
    <w:rsid w:val="00FD3910"/>
    <w:rsid w:val="00FD5AE1"/>
    <w:rsid w:val="00FE21AC"/>
    <w:rsid w:val="00FE222F"/>
    <w:rsid w:val="00FE249F"/>
    <w:rsid w:val="00FE41E4"/>
    <w:rsid w:val="00FE4D6B"/>
    <w:rsid w:val="00FE5C72"/>
    <w:rsid w:val="00FE76EA"/>
    <w:rsid w:val="00FF00FD"/>
    <w:rsid w:val="00FF0BB7"/>
    <w:rsid w:val="00FF1517"/>
    <w:rsid w:val="00FF29EE"/>
    <w:rsid w:val="00FF49C0"/>
    <w:rsid w:val="00FF4FA4"/>
    <w:rsid w:val="00FF5F25"/>
    <w:rsid w:val="00FF6BC0"/>
    <w:rsid w:val="00FF7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E5C4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D3"/>
    <w:pPr>
      <w:suppressAutoHyphens/>
      <w:spacing w:before="120" w:after="60" w:line="260" w:lineRule="atLeast"/>
    </w:pPr>
    <w:rPr>
      <w:color w:val="000000" w:themeColor="text1"/>
      <w:sz w:val="20"/>
      <w:szCs w:val="22"/>
      <w:lang w:val="en-GB"/>
    </w:rPr>
  </w:style>
  <w:style w:type="paragraph" w:styleId="Heading1">
    <w:name w:val="heading 1"/>
    <w:basedOn w:val="Normal"/>
    <w:next w:val="Normal"/>
    <w:link w:val="Heading1Char"/>
    <w:uiPriority w:val="9"/>
    <w:qFormat/>
    <w:rsid w:val="00A877C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rsid w:val="00E15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00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A6E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7CF"/>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E15CDB"/>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D0048"/>
    <w:rPr>
      <w:rFonts w:asciiTheme="majorHAnsi" w:eastAsiaTheme="majorEastAsia" w:hAnsiTheme="majorHAnsi" w:cstheme="majorBidi"/>
      <w:color w:val="1F3763" w:themeColor="accent1" w:themeShade="7F"/>
      <w:lang w:val="en-GB"/>
    </w:rPr>
  </w:style>
  <w:style w:type="paragraph" w:styleId="Header">
    <w:name w:val="header"/>
    <w:basedOn w:val="Normal"/>
    <w:link w:val="HeaderChar"/>
    <w:uiPriority w:val="99"/>
    <w:unhideWhenUsed/>
    <w:rsid w:val="00A877CF"/>
    <w:pPr>
      <w:tabs>
        <w:tab w:val="center" w:pos="4513"/>
        <w:tab w:val="right" w:pos="9026"/>
      </w:tabs>
      <w:spacing w:before="0" w:after="0"/>
      <w:ind w:left="227"/>
    </w:pPr>
    <w:rPr>
      <w:b/>
      <w:caps/>
      <w:color w:val="FFFFFF" w:themeColor="background1"/>
    </w:rPr>
  </w:style>
  <w:style w:type="character" w:customStyle="1" w:styleId="HeaderChar">
    <w:name w:val="Header Char"/>
    <w:basedOn w:val="DefaultParagraphFont"/>
    <w:link w:val="Header"/>
    <w:uiPriority w:val="99"/>
    <w:rsid w:val="00A877CF"/>
    <w:rPr>
      <w:b/>
      <w:caps/>
      <w:color w:val="FFFFFF" w:themeColor="background1"/>
      <w:sz w:val="20"/>
      <w:szCs w:val="22"/>
      <w:lang w:val="en-GB"/>
    </w:rPr>
  </w:style>
  <w:style w:type="paragraph" w:styleId="Footer">
    <w:name w:val="footer"/>
    <w:basedOn w:val="Normal"/>
    <w:link w:val="FooterChar"/>
    <w:uiPriority w:val="99"/>
    <w:unhideWhenUsed/>
    <w:rsid w:val="00A877C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A877CF"/>
    <w:rPr>
      <w:color w:val="FFFFFF" w:themeColor="background1"/>
      <w:sz w:val="22"/>
      <w:szCs w:val="22"/>
      <w:lang w:val="en-GB"/>
    </w:rPr>
  </w:style>
  <w:style w:type="character" w:styleId="PageNumber">
    <w:name w:val="page number"/>
    <w:basedOn w:val="DefaultParagraphFont"/>
    <w:uiPriority w:val="99"/>
    <w:unhideWhenUsed/>
    <w:rsid w:val="00A877CF"/>
    <w:rPr>
      <w:color w:val="44546A" w:themeColor="text2"/>
    </w:rPr>
  </w:style>
  <w:style w:type="paragraph" w:styleId="FootnoteText">
    <w:name w:val="footnote text"/>
    <w:aliases w:val="Char Char,Char,ft,single space,footnote text,fn,Footnote Text Char Char Char Char,FOOTNOTES,Footnote Text Char Char Char,Footnote Text Char Char,ft Char Char Char,ADB,(NECG) Footnote Text,Char Char Char Char,Footnote Text Char2,f"/>
    <w:basedOn w:val="Normal"/>
    <w:link w:val="FootnoteTextChar"/>
    <w:uiPriority w:val="99"/>
    <w:unhideWhenUsed/>
    <w:qFormat/>
    <w:rsid w:val="00A877CF"/>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Footnote Text Char Char Char Char1,Footnote Text Char Char Char1,ft Char Char Char Char,ADB Char"/>
    <w:basedOn w:val="DefaultParagraphFont"/>
    <w:link w:val="FootnoteText"/>
    <w:uiPriority w:val="99"/>
    <w:rsid w:val="00A877CF"/>
    <w:rPr>
      <w:color w:val="44546A" w:themeColor="text2"/>
      <w:sz w:val="12"/>
      <w:szCs w:val="20"/>
      <w:lang w:val="en-GB"/>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
    <w:basedOn w:val="DefaultParagraphFont"/>
    <w:uiPriority w:val="99"/>
    <w:unhideWhenUsed/>
    <w:rsid w:val="00A877CF"/>
    <w:rPr>
      <w:vertAlign w:val="superscript"/>
    </w:rPr>
  </w:style>
  <w:style w:type="paragraph" w:styleId="BodyText">
    <w:name w:val="Body Text"/>
    <w:basedOn w:val="Normal"/>
    <w:link w:val="BodyTextChar"/>
    <w:uiPriority w:val="99"/>
    <w:unhideWhenUsed/>
    <w:qFormat/>
    <w:rsid w:val="00A877CF"/>
  </w:style>
  <w:style w:type="character" w:customStyle="1" w:styleId="BodyTextChar">
    <w:name w:val="Body Text Char"/>
    <w:basedOn w:val="DefaultParagraphFont"/>
    <w:link w:val="BodyText"/>
    <w:uiPriority w:val="99"/>
    <w:rsid w:val="00A877CF"/>
    <w:rPr>
      <w:color w:val="44546A" w:themeColor="text2"/>
      <w:sz w:val="22"/>
      <w:szCs w:val="22"/>
      <w:lang w:val="en-GB"/>
    </w:rPr>
  </w:style>
  <w:style w:type="character" w:styleId="CommentReference">
    <w:name w:val="annotation reference"/>
    <w:basedOn w:val="DefaultParagraphFont"/>
    <w:uiPriority w:val="99"/>
    <w:unhideWhenUsed/>
    <w:rsid w:val="00A877CF"/>
    <w:rPr>
      <w:sz w:val="16"/>
      <w:szCs w:val="16"/>
    </w:rPr>
  </w:style>
  <w:style w:type="paragraph" w:styleId="CommentText">
    <w:name w:val="annotation text"/>
    <w:basedOn w:val="Normal"/>
    <w:link w:val="CommentTextChar"/>
    <w:uiPriority w:val="99"/>
    <w:unhideWhenUsed/>
    <w:rsid w:val="00A877CF"/>
    <w:pPr>
      <w:spacing w:line="240" w:lineRule="auto"/>
    </w:pPr>
    <w:rPr>
      <w:szCs w:val="20"/>
    </w:rPr>
  </w:style>
  <w:style w:type="character" w:customStyle="1" w:styleId="CommentTextChar">
    <w:name w:val="Comment Text Char"/>
    <w:basedOn w:val="DefaultParagraphFont"/>
    <w:link w:val="CommentText"/>
    <w:uiPriority w:val="99"/>
    <w:rsid w:val="00A877CF"/>
    <w:rPr>
      <w:color w:val="44546A" w:themeColor="text2"/>
      <w:sz w:val="20"/>
      <w:szCs w:val="20"/>
      <w:lang w:val="en-GB"/>
    </w:rPr>
  </w:style>
  <w:style w:type="paragraph" w:styleId="ListBullet">
    <w:name w:val="List Bullet"/>
    <w:basedOn w:val="BodyText"/>
    <w:qFormat/>
    <w:rsid w:val="00A877CF"/>
    <w:pPr>
      <w:numPr>
        <w:numId w:val="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customStyle="1" w:styleId="Default">
    <w:name w:val="Default"/>
    <w:rsid w:val="00A877CF"/>
    <w:pPr>
      <w:autoSpaceDE w:val="0"/>
      <w:autoSpaceDN w:val="0"/>
      <w:adjustRightInd w:val="0"/>
    </w:pPr>
    <w:rPr>
      <w:rFonts w:ascii="Calibri Light" w:hAnsi="Calibri Light" w:cs="Calibri Light"/>
      <w:color w:val="000000"/>
    </w:rPr>
  </w:style>
  <w:style w:type="paragraph" w:styleId="ListParagraph">
    <w:name w:val="List Paragraph"/>
    <w:basedOn w:val="Normal"/>
    <w:uiPriority w:val="34"/>
    <w:qFormat/>
    <w:rsid w:val="00A877CF"/>
    <w:pPr>
      <w:suppressAutoHyphens w:val="0"/>
      <w:spacing w:before="0" w:after="160" w:line="259" w:lineRule="auto"/>
      <w:ind w:left="720"/>
      <w:contextualSpacing/>
    </w:pPr>
    <w:rPr>
      <w:color w:val="auto"/>
      <w:lang w:val="en-AU"/>
    </w:rPr>
  </w:style>
  <w:style w:type="paragraph" w:styleId="BalloonText">
    <w:name w:val="Balloon Text"/>
    <w:basedOn w:val="Normal"/>
    <w:link w:val="BalloonTextChar"/>
    <w:uiPriority w:val="99"/>
    <w:semiHidden/>
    <w:unhideWhenUsed/>
    <w:rsid w:val="00A877CF"/>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77CF"/>
    <w:rPr>
      <w:rFonts w:ascii="Times New Roman" w:hAnsi="Times New Roman" w:cs="Times New Roman"/>
      <w:color w:val="44546A" w:themeColor="text2"/>
      <w:sz w:val="18"/>
      <w:szCs w:val="18"/>
      <w:lang w:val="en-GB"/>
    </w:rPr>
  </w:style>
  <w:style w:type="paragraph" w:styleId="NormalWeb">
    <w:name w:val="Normal (Web)"/>
    <w:basedOn w:val="Normal"/>
    <w:uiPriority w:val="99"/>
    <w:unhideWhenUsed/>
    <w:rsid w:val="00E15CDB"/>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SG"/>
    </w:rPr>
  </w:style>
  <w:style w:type="character" w:styleId="Strong">
    <w:name w:val="Strong"/>
    <w:basedOn w:val="DefaultParagraphFont"/>
    <w:uiPriority w:val="22"/>
    <w:qFormat/>
    <w:rsid w:val="00E15CDB"/>
    <w:rPr>
      <w:b/>
      <w:bCs/>
    </w:rPr>
  </w:style>
  <w:style w:type="character" w:customStyle="1" w:styleId="apple-converted-space">
    <w:name w:val="apple-converted-space"/>
    <w:basedOn w:val="DefaultParagraphFont"/>
    <w:rsid w:val="00E15CDB"/>
  </w:style>
  <w:style w:type="table" w:styleId="TableGrid">
    <w:name w:val="Table Grid"/>
    <w:basedOn w:val="TableNormal"/>
    <w:uiPriority w:val="59"/>
    <w:rsid w:val="00282C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C5FC8"/>
  </w:style>
  <w:style w:type="paragraph" w:styleId="NoSpacing">
    <w:name w:val="No Spacing"/>
    <w:uiPriority w:val="1"/>
    <w:qFormat/>
    <w:rsid w:val="005C5FC8"/>
    <w:rPr>
      <w:sz w:val="22"/>
      <w:szCs w:val="22"/>
      <w:lang w:val="en-GB"/>
    </w:rPr>
  </w:style>
  <w:style w:type="paragraph" w:styleId="EndnoteText">
    <w:name w:val="endnote text"/>
    <w:basedOn w:val="Normal"/>
    <w:link w:val="EndnoteTextChar"/>
    <w:uiPriority w:val="99"/>
    <w:semiHidden/>
    <w:unhideWhenUsed/>
    <w:rsid w:val="005C5FC8"/>
    <w:pPr>
      <w:suppressAutoHyphens w:val="0"/>
      <w:spacing w:before="0" w:after="0" w:line="240" w:lineRule="auto"/>
    </w:pPr>
    <w:rPr>
      <w:color w:val="auto"/>
      <w:szCs w:val="20"/>
    </w:rPr>
  </w:style>
  <w:style w:type="character" w:customStyle="1" w:styleId="EndnoteTextChar">
    <w:name w:val="Endnote Text Char"/>
    <w:basedOn w:val="DefaultParagraphFont"/>
    <w:link w:val="EndnoteText"/>
    <w:uiPriority w:val="99"/>
    <w:semiHidden/>
    <w:rsid w:val="005C5FC8"/>
    <w:rPr>
      <w:sz w:val="20"/>
      <w:szCs w:val="20"/>
      <w:lang w:val="en-GB"/>
    </w:rPr>
  </w:style>
  <w:style w:type="character" w:styleId="EndnoteReference">
    <w:name w:val="endnote reference"/>
    <w:basedOn w:val="DefaultParagraphFont"/>
    <w:uiPriority w:val="99"/>
    <w:semiHidden/>
    <w:unhideWhenUsed/>
    <w:rsid w:val="005C5FC8"/>
    <w:rPr>
      <w:vertAlign w:val="superscript"/>
    </w:rPr>
  </w:style>
  <w:style w:type="paragraph" w:styleId="CommentSubject">
    <w:name w:val="annotation subject"/>
    <w:basedOn w:val="CommentText"/>
    <w:next w:val="CommentText"/>
    <w:link w:val="CommentSubjectChar"/>
    <w:uiPriority w:val="99"/>
    <w:semiHidden/>
    <w:unhideWhenUsed/>
    <w:rsid w:val="008106A2"/>
    <w:rPr>
      <w:b/>
      <w:bCs/>
    </w:rPr>
  </w:style>
  <w:style w:type="character" w:customStyle="1" w:styleId="CommentSubjectChar">
    <w:name w:val="Comment Subject Char"/>
    <w:basedOn w:val="CommentTextChar"/>
    <w:link w:val="CommentSubject"/>
    <w:uiPriority w:val="99"/>
    <w:semiHidden/>
    <w:rsid w:val="008106A2"/>
    <w:rPr>
      <w:b/>
      <w:bCs/>
      <w:color w:val="000000" w:themeColor="text1"/>
      <w:sz w:val="20"/>
      <w:szCs w:val="20"/>
      <w:lang w:val="en-GB"/>
    </w:rPr>
  </w:style>
  <w:style w:type="paragraph" w:styleId="Revision">
    <w:name w:val="Revision"/>
    <w:hidden/>
    <w:uiPriority w:val="99"/>
    <w:semiHidden/>
    <w:rsid w:val="00D14B48"/>
    <w:rPr>
      <w:color w:val="000000" w:themeColor="text1"/>
      <w:sz w:val="20"/>
      <w:szCs w:val="22"/>
      <w:lang w:val="en-GB"/>
    </w:rPr>
  </w:style>
  <w:style w:type="character" w:styleId="Hyperlink">
    <w:name w:val="Hyperlink"/>
    <w:basedOn w:val="DefaultParagraphFont"/>
    <w:uiPriority w:val="99"/>
    <w:unhideWhenUsed/>
    <w:rsid w:val="00837AA5"/>
    <w:rPr>
      <w:color w:val="0563C1" w:themeColor="hyperlink"/>
      <w:u w:val="single"/>
    </w:rPr>
  </w:style>
  <w:style w:type="paragraph" w:styleId="TOC1">
    <w:name w:val="toc 1"/>
    <w:basedOn w:val="Normal"/>
    <w:next w:val="Normal"/>
    <w:autoRedefine/>
    <w:uiPriority w:val="39"/>
    <w:unhideWhenUsed/>
    <w:rsid w:val="000E72CD"/>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834E5A"/>
    <w:pPr>
      <w:spacing w:before="240" w:after="0"/>
    </w:pPr>
    <w:rPr>
      <w:rFonts w:cstheme="minorHAnsi"/>
      <w:b/>
      <w:bCs/>
      <w:szCs w:val="20"/>
    </w:rPr>
  </w:style>
  <w:style w:type="character" w:customStyle="1" w:styleId="Heading4Char">
    <w:name w:val="Heading 4 Char"/>
    <w:basedOn w:val="DefaultParagraphFont"/>
    <w:link w:val="Heading4"/>
    <w:uiPriority w:val="9"/>
    <w:rsid w:val="00AA6E68"/>
    <w:rPr>
      <w:rFonts w:asciiTheme="majorHAnsi" w:eastAsiaTheme="majorEastAsia" w:hAnsiTheme="majorHAnsi" w:cstheme="majorBidi"/>
      <w:i/>
      <w:iCs/>
      <w:color w:val="2F5496" w:themeColor="accent1" w:themeShade="BF"/>
      <w:sz w:val="20"/>
      <w:szCs w:val="22"/>
      <w:lang w:val="en-GB"/>
    </w:rPr>
  </w:style>
  <w:style w:type="paragraph" w:styleId="TOC3">
    <w:name w:val="toc 3"/>
    <w:basedOn w:val="Normal"/>
    <w:next w:val="Normal"/>
    <w:autoRedefine/>
    <w:uiPriority w:val="39"/>
    <w:unhideWhenUsed/>
    <w:rsid w:val="00AE2B08"/>
    <w:pPr>
      <w:tabs>
        <w:tab w:val="right" w:pos="9016"/>
      </w:tabs>
      <w:spacing w:before="0" w:after="0"/>
      <w:ind w:left="200"/>
    </w:pPr>
    <w:rPr>
      <w:rFonts w:cstheme="minorHAnsi"/>
      <w:szCs w:val="20"/>
    </w:rPr>
  </w:style>
  <w:style w:type="paragraph" w:styleId="TOC4">
    <w:name w:val="toc 4"/>
    <w:basedOn w:val="Normal"/>
    <w:next w:val="Normal"/>
    <w:autoRedefine/>
    <w:uiPriority w:val="39"/>
    <w:unhideWhenUsed/>
    <w:rsid w:val="008D2909"/>
    <w:pPr>
      <w:spacing w:before="0" w:after="0"/>
      <w:ind w:left="400"/>
    </w:pPr>
    <w:rPr>
      <w:rFonts w:cstheme="minorHAnsi"/>
      <w:szCs w:val="20"/>
    </w:rPr>
  </w:style>
  <w:style w:type="paragraph" w:styleId="TOC5">
    <w:name w:val="toc 5"/>
    <w:basedOn w:val="Normal"/>
    <w:next w:val="Normal"/>
    <w:autoRedefine/>
    <w:uiPriority w:val="39"/>
    <w:unhideWhenUsed/>
    <w:rsid w:val="008D2909"/>
    <w:pPr>
      <w:spacing w:before="0" w:after="0"/>
      <w:ind w:left="600"/>
    </w:pPr>
    <w:rPr>
      <w:rFonts w:cstheme="minorHAnsi"/>
      <w:szCs w:val="20"/>
    </w:rPr>
  </w:style>
  <w:style w:type="paragraph" w:styleId="TOC6">
    <w:name w:val="toc 6"/>
    <w:basedOn w:val="Normal"/>
    <w:next w:val="Normal"/>
    <w:autoRedefine/>
    <w:uiPriority w:val="39"/>
    <w:unhideWhenUsed/>
    <w:rsid w:val="008D2909"/>
    <w:pPr>
      <w:spacing w:before="0" w:after="0"/>
      <w:ind w:left="800"/>
    </w:pPr>
    <w:rPr>
      <w:rFonts w:cstheme="minorHAnsi"/>
      <w:szCs w:val="20"/>
    </w:rPr>
  </w:style>
  <w:style w:type="paragraph" w:styleId="TOC7">
    <w:name w:val="toc 7"/>
    <w:basedOn w:val="Normal"/>
    <w:next w:val="Normal"/>
    <w:autoRedefine/>
    <w:uiPriority w:val="39"/>
    <w:unhideWhenUsed/>
    <w:rsid w:val="008D2909"/>
    <w:pPr>
      <w:spacing w:before="0" w:after="0"/>
      <w:ind w:left="1000"/>
    </w:pPr>
    <w:rPr>
      <w:rFonts w:cstheme="minorHAnsi"/>
      <w:szCs w:val="20"/>
    </w:rPr>
  </w:style>
  <w:style w:type="paragraph" w:styleId="TOC8">
    <w:name w:val="toc 8"/>
    <w:basedOn w:val="Normal"/>
    <w:next w:val="Normal"/>
    <w:autoRedefine/>
    <w:uiPriority w:val="39"/>
    <w:unhideWhenUsed/>
    <w:rsid w:val="008D2909"/>
    <w:pPr>
      <w:spacing w:before="0" w:after="0"/>
      <w:ind w:left="1200"/>
    </w:pPr>
    <w:rPr>
      <w:rFonts w:cstheme="minorHAnsi"/>
      <w:szCs w:val="20"/>
    </w:rPr>
  </w:style>
  <w:style w:type="paragraph" w:styleId="TOC9">
    <w:name w:val="toc 9"/>
    <w:basedOn w:val="Normal"/>
    <w:next w:val="Normal"/>
    <w:autoRedefine/>
    <w:uiPriority w:val="39"/>
    <w:unhideWhenUsed/>
    <w:rsid w:val="008D2909"/>
    <w:pPr>
      <w:spacing w:before="0" w:after="0"/>
      <w:ind w:left="1400"/>
    </w:pPr>
    <w:rPr>
      <w:rFonts w:cstheme="minorHAnsi"/>
      <w:szCs w:val="20"/>
    </w:rPr>
  </w:style>
  <w:style w:type="character" w:styleId="FollowedHyperlink">
    <w:name w:val="FollowedHyperlink"/>
    <w:basedOn w:val="DefaultParagraphFont"/>
    <w:uiPriority w:val="99"/>
    <w:semiHidden/>
    <w:unhideWhenUsed/>
    <w:rsid w:val="00671961"/>
    <w:rPr>
      <w:color w:val="954F72" w:themeColor="followedHyperlink"/>
      <w:u w:val="single"/>
    </w:rPr>
  </w:style>
  <w:style w:type="paragraph" w:customStyle="1" w:styleId="Style1">
    <w:name w:val="Style1"/>
    <w:basedOn w:val="Normal"/>
    <w:qFormat/>
    <w:rsid w:val="004D0BC7"/>
    <w:pPr>
      <w:numPr>
        <w:ilvl w:val="1"/>
        <w:numId w:val="34"/>
      </w:numPr>
      <w:suppressAutoHyphens w:val="0"/>
      <w:spacing w:before="240" w:after="0" w:line="240" w:lineRule="auto"/>
      <w:outlineLvl w:val="2"/>
    </w:pPr>
    <w:rPr>
      <w:rFonts w:ascii="Times New Roman" w:eastAsia="Times New Roman" w:hAnsi="Times New Roman" w:cs="Times New Roman"/>
      <w:color w:val="auto"/>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905">
      <w:bodyDiv w:val="1"/>
      <w:marLeft w:val="0"/>
      <w:marRight w:val="0"/>
      <w:marTop w:val="0"/>
      <w:marBottom w:val="0"/>
      <w:divBdr>
        <w:top w:val="none" w:sz="0" w:space="0" w:color="auto"/>
        <w:left w:val="none" w:sz="0" w:space="0" w:color="auto"/>
        <w:bottom w:val="none" w:sz="0" w:space="0" w:color="auto"/>
        <w:right w:val="none" w:sz="0" w:space="0" w:color="auto"/>
      </w:divBdr>
    </w:div>
    <w:div w:id="23673954">
      <w:bodyDiv w:val="1"/>
      <w:marLeft w:val="0"/>
      <w:marRight w:val="0"/>
      <w:marTop w:val="0"/>
      <w:marBottom w:val="0"/>
      <w:divBdr>
        <w:top w:val="none" w:sz="0" w:space="0" w:color="auto"/>
        <w:left w:val="none" w:sz="0" w:space="0" w:color="auto"/>
        <w:bottom w:val="none" w:sz="0" w:space="0" w:color="auto"/>
        <w:right w:val="none" w:sz="0" w:space="0" w:color="auto"/>
      </w:divBdr>
    </w:div>
    <w:div w:id="24333163">
      <w:bodyDiv w:val="1"/>
      <w:marLeft w:val="0"/>
      <w:marRight w:val="0"/>
      <w:marTop w:val="0"/>
      <w:marBottom w:val="0"/>
      <w:divBdr>
        <w:top w:val="none" w:sz="0" w:space="0" w:color="auto"/>
        <w:left w:val="none" w:sz="0" w:space="0" w:color="auto"/>
        <w:bottom w:val="none" w:sz="0" w:space="0" w:color="auto"/>
        <w:right w:val="none" w:sz="0" w:space="0" w:color="auto"/>
      </w:divBdr>
    </w:div>
    <w:div w:id="190341618">
      <w:bodyDiv w:val="1"/>
      <w:marLeft w:val="0"/>
      <w:marRight w:val="0"/>
      <w:marTop w:val="0"/>
      <w:marBottom w:val="0"/>
      <w:divBdr>
        <w:top w:val="none" w:sz="0" w:space="0" w:color="auto"/>
        <w:left w:val="none" w:sz="0" w:space="0" w:color="auto"/>
        <w:bottom w:val="none" w:sz="0" w:space="0" w:color="auto"/>
        <w:right w:val="none" w:sz="0" w:space="0" w:color="auto"/>
      </w:divBdr>
    </w:div>
    <w:div w:id="342560138">
      <w:bodyDiv w:val="1"/>
      <w:marLeft w:val="0"/>
      <w:marRight w:val="0"/>
      <w:marTop w:val="0"/>
      <w:marBottom w:val="0"/>
      <w:divBdr>
        <w:top w:val="none" w:sz="0" w:space="0" w:color="auto"/>
        <w:left w:val="none" w:sz="0" w:space="0" w:color="auto"/>
        <w:bottom w:val="none" w:sz="0" w:space="0" w:color="auto"/>
        <w:right w:val="none" w:sz="0" w:space="0" w:color="auto"/>
      </w:divBdr>
    </w:div>
    <w:div w:id="353307782">
      <w:bodyDiv w:val="1"/>
      <w:marLeft w:val="0"/>
      <w:marRight w:val="0"/>
      <w:marTop w:val="0"/>
      <w:marBottom w:val="0"/>
      <w:divBdr>
        <w:top w:val="none" w:sz="0" w:space="0" w:color="auto"/>
        <w:left w:val="none" w:sz="0" w:space="0" w:color="auto"/>
        <w:bottom w:val="none" w:sz="0" w:space="0" w:color="auto"/>
        <w:right w:val="none" w:sz="0" w:space="0" w:color="auto"/>
      </w:divBdr>
    </w:div>
    <w:div w:id="358628466">
      <w:bodyDiv w:val="1"/>
      <w:marLeft w:val="0"/>
      <w:marRight w:val="0"/>
      <w:marTop w:val="0"/>
      <w:marBottom w:val="0"/>
      <w:divBdr>
        <w:top w:val="none" w:sz="0" w:space="0" w:color="auto"/>
        <w:left w:val="none" w:sz="0" w:space="0" w:color="auto"/>
        <w:bottom w:val="none" w:sz="0" w:space="0" w:color="auto"/>
        <w:right w:val="none" w:sz="0" w:space="0" w:color="auto"/>
      </w:divBdr>
    </w:div>
    <w:div w:id="592667153">
      <w:bodyDiv w:val="1"/>
      <w:marLeft w:val="0"/>
      <w:marRight w:val="0"/>
      <w:marTop w:val="0"/>
      <w:marBottom w:val="0"/>
      <w:divBdr>
        <w:top w:val="none" w:sz="0" w:space="0" w:color="auto"/>
        <w:left w:val="none" w:sz="0" w:space="0" w:color="auto"/>
        <w:bottom w:val="none" w:sz="0" w:space="0" w:color="auto"/>
        <w:right w:val="none" w:sz="0" w:space="0" w:color="auto"/>
      </w:divBdr>
    </w:div>
    <w:div w:id="671686855">
      <w:bodyDiv w:val="1"/>
      <w:marLeft w:val="0"/>
      <w:marRight w:val="0"/>
      <w:marTop w:val="0"/>
      <w:marBottom w:val="0"/>
      <w:divBdr>
        <w:top w:val="none" w:sz="0" w:space="0" w:color="auto"/>
        <w:left w:val="none" w:sz="0" w:space="0" w:color="auto"/>
        <w:bottom w:val="none" w:sz="0" w:space="0" w:color="auto"/>
        <w:right w:val="none" w:sz="0" w:space="0" w:color="auto"/>
      </w:divBdr>
    </w:div>
    <w:div w:id="837966912">
      <w:bodyDiv w:val="1"/>
      <w:marLeft w:val="0"/>
      <w:marRight w:val="0"/>
      <w:marTop w:val="0"/>
      <w:marBottom w:val="0"/>
      <w:divBdr>
        <w:top w:val="none" w:sz="0" w:space="0" w:color="auto"/>
        <w:left w:val="none" w:sz="0" w:space="0" w:color="auto"/>
        <w:bottom w:val="none" w:sz="0" w:space="0" w:color="auto"/>
        <w:right w:val="none" w:sz="0" w:space="0" w:color="auto"/>
      </w:divBdr>
    </w:div>
    <w:div w:id="1098139388">
      <w:bodyDiv w:val="1"/>
      <w:marLeft w:val="0"/>
      <w:marRight w:val="0"/>
      <w:marTop w:val="0"/>
      <w:marBottom w:val="0"/>
      <w:divBdr>
        <w:top w:val="none" w:sz="0" w:space="0" w:color="auto"/>
        <w:left w:val="none" w:sz="0" w:space="0" w:color="auto"/>
        <w:bottom w:val="none" w:sz="0" w:space="0" w:color="auto"/>
        <w:right w:val="none" w:sz="0" w:space="0" w:color="auto"/>
      </w:divBdr>
    </w:div>
    <w:div w:id="1233348442">
      <w:bodyDiv w:val="1"/>
      <w:marLeft w:val="0"/>
      <w:marRight w:val="0"/>
      <w:marTop w:val="0"/>
      <w:marBottom w:val="0"/>
      <w:divBdr>
        <w:top w:val="none" w:sz="0" w:space="0" w:color="auto"/>
        <w:left w:val="none" w:sz="0" w:space="0" w:color="auto"/>
        <w:bottom w:val="none" w:sz="0" w:space="0" w:color="auto"/>
        <w:right w:val="none" w:sz="0" w:space="0" w:color="auto"/>
      </w:divBdr>
    </w:div>
    <w:div w:id="1478574333">
      <w:bodyDiv w:val="1"/>
      <w:marLeft w:val="0"/>
      <w:marRight w:val="0"/>
      <w:marTop w:val="0"/>
      <w:marBottom w:val="0"/>
      <w:divBdr>
        <w:top w:val="none" w:sz="0" w:space="0" w:color="auto"/>
        <w:left w:val="none" w:sz="0" w:space="0" w:color="auto"/>
        <w:bottom w:val="none" w:sz="0" w:space="0" w:color="auto"/>
        <w:right w:val="none" w:sz="0" w:space="0" w:color="auto"/>
      </w:divBdr>
      <w:divsChild>
        <w:div w:id="215093335">
          <w:marLeft w:val="0"/>
          <w:marRight w:val="0"/>
          <w:marTop w:val="0"/>
          <w:marBottom w:val="0"/>
          <w:divBdr>
            <w:top w:val="none" w:sz="0" w:space="0" w:color="auto"/>
            <w:left w:val="none" w:sz="0" w:space="0" w:color="auto"/>
            <w:bottom w:val="none" w:sz="0" w:space="0" w:color="auto"/>
            <w:right w:val="none" w:sz="0" w:space="0" w:color="auto"/>
          </w:divBdr>
          <w:divsChild>
            <w:div w:id="743533661">
              <w:marLeft w:val="0"/>
              <w:marRight w:val="0"/>
              <w:marTop w:val="0"/>
              <w:marBottom w:val="0"/>
              <w:divBdr>
                <w:top w:val="none" w:sz="0" w:space="0" w:color="auto"/>
                <w:left w:val="none" w:sz="0" w:space="0" w:color="auto"/>
                <w:bottom w:val="none" w:sz="0" w:space="0" w:color="auto"/>
                <w:right w:val="none" w:sz="0" w:space="0" w:color="auto"/>
              </w:divBdr>
              <w:divsChild>
                <w:div w:id="1239169706">
                  <w:marLeft w:val="0"/>
                  <w:marRight w:val="0"/>
                  <w:marTop w:val="0"/>
                  <w:marBottom w:val="0"/>
                  <w:divBdr>
                    <w:top w:val="none" w:sz="0" w:space="0" w:color="auto"/>
                    <w:left w:val="none" w:sz="0" w:space="0" w:color="auto"/>
                    <w:bottom w:val="none" w:sz="0" w:space="0" w:color="auto"/>
                    <w:right w:val="none" w:sz="0" w:space="0" w:color="auto"/>
                  </w:divBdr>
                </w:div>
              </w:divsChild>
            </w:div>
            <w:div w:id="522980821">
              <w:marLeft w:val="0"/>
              <w:marRight w:val="0"/>
              <w:marTop w:val="0"/>
              <w:marBottom w:val="0"/>
              <w:divBdr>
                <w:top w:val="none" w:sz="0" w:space="0" w:color="auto"/>
                <w:left w:val="none" w:sz="0" w:space="0" w:color="auto"/>
                <w:bottom w:val="none" w:sz="0" w:space="0" w:color="auto"/>
                <w:right w:val="none" w:sz="0" w:space="0" w:color="auto"/>
              </w:divBdr>
              <w:divsChild>
                <w:div w:id="1728920327">
                  <w:marLeft w:val="0"/>
                  <w:marRight w:val="0"/>
                  <w:marTop w:val="0"/>
                  <w:marBottom w:val="0"/>
                  <w:divBdr>
                    <w:top w:val="none" w:sz="0" w:space="0" w:color="auto"/>
                    <w:left w:val="none" w:sz="0" w:space="0" w:color="auto"/>
                    <w:bottom w:val="none" w:sz="0" w:space="0" w:color="auto"/>
                    <w:right w:val="none" w:sz="0" w:space="0" w:color="auto"/>
                  </w:divBdr>
                </w:div>
              </w:divsChild>
            </w:div>
            <w:div w:id="54360925">
              <w:marLeft w:val="0"/>
              <w:marRight w:val="0"/>
              <w:marTop w:val="0"/>
              <w:marBottom w:val="0"/>
              <w:divBdr>
                <w:top w:val="none" w:sz="0" w:space="0" w:color="auto"/>
                <w:left w:val="none" w:sz="0" w:space="0" w:color="auto"/>
                <w:bottom w:val="none" w:sz="0" w:space="0" w:color="auto"/>
                <w:right w:val="none" w:sz="0" w:space="0" w:color="auto"/>
              </w:divBdr>
              <w:divsChild>
                <w:div w:id="987900414">
                  <w:marLeft w:val="0"/>
                  <w:marRight w:val="0"/>
                  <w:marTop w:val="0"/>
                  <w:marBottom w:val="0"/>
                  <w:divBdr>
                    <w:top w:val="none" w:sz="0" w:space="0" w:color="auto"/>
                    <w:left w:val="none" w:sz="0" w:space="0" w:color="auto"/>
                    <w:bottom w:val="none" w:sz="0" w:space="0" w:color="auto"/>
                    <w:right w:val="none" w:sz="0" w:space="0" w:color="auto"/>
                  </w:divBdr>
                </w:div>
              </w:divsChild>
            </w:div>
            <w:div w:id="603997551">
              <w:marLeft w:val="0"/>
              <w:marRight w:val="0"/>
              <w:marTop w:val="0"/>
              <w:marBottom w:val="0"/>
              <w:divBdr>
                <w:top w:val="none" w:sz="0" w:space="0" w:color="auto"/>
                <w:left w:val="none" w:sz="0" w:space="0" w:color="auto"/>
                <w:bottom w:val="none" w:sz="0" w:space="0" w:color="auto"/>
                <w:right w:val="none" w:sz="0" w:space="0" w:color="auto"/>
              </w:divBdr>
              <w:divsChild>
                <w:div w:id="1067261558">
                  <w:marLeft w:val="0"/>
                  <w:marRight w:val="0"/>
                  <w:marTop w:val="0"/>
                  <w:marBottom w:val="0"/>
                  <w:divBdr>
                    <w:top w:val="none" w:sz="0" w:space="0" w:color="auto"/>
                    <w:left w:val="none" w:sz="0" w:space="0" w:color="auto"/>
                    <w:bottom w:val="none" w:sz="0" w:space="0" w:color="auto"/>
                    <w:right w:val="none" w:sz="0" w:space="0" w:color="auto"/>
                  </w:divBdr>
                </w:div>
              </w:divsChild>
            </w:div>
            <w:div w:id="326251285">
              <w:marLeft w:val="0"/>
              <w:marRight w:val="0"/>
              <w:marTop w:val="0"/>
              <w:marBottom w:val="0"/>
              <w:divBdr>
                <w:top w:val="none" w:sz="0" w:space="0" w:color="auto"/>
                <w:left w:val="none" w:sz="0" w:space="0" w:color="auto"/>
                <w:bottom w:val="none" w:sz="0" w:space="0" w:color="auto"/>
                <w:right w:val="none" w:sz="0" w:space="0" w:color="auto"/>
              </w:divBdr>
              <w:divsChild>
                <w:div w:id="1149176610">
                  <w:marLeft w:val="0"/>
                  <w:marRight w:val="0"/>
                  <w:marTop w:val="0"/>
                  <w:marBottom w:val="0"/>
                  <w:divBdr>
                    <w:top w:val="none" w:sz="0" w:space="0" w:color="auto"/>
                    <w:left w:val="none" w:sz="0" w:space="0" w:color="auto"/>
                    <w:bottom w:val="none" w:sz="0" w:space="0" w:color="auto"/>
                    <w:right w:val="none" w:sz="0" w:space="0" w:color="auto"/>
                  </w:divBdr>
                </w:div>
              </w:divsChild>
            </w:div>
            <w:div w:id="202447062">
              <w:marLeft w:val="0"/>
              <w:marRight w:val="0"/>
              <w:marTop w:val="0"/>
              <w:marBottom w:val="0"/>
              <w:divBdr>
                <w:top w:val="none" w:sz="0" w:space="0" w:color="auto"/>
                <w:left w:val="none" w:sz="0" w:space="0" w:color="auto"/>
                <w:bottom w:val="none" w:sz="0" w:space="0" w:color="auto"/>
                <w:right w:val="none" w:sz="0" w:space="0" w:color="auto"/>
              </w:divBdr>
              <w:divsChild>
                <w:div w:id="886137156">
                  <w:marLeft w:val="0"/>
                  <w:marRight w:val="0"/>
                  <w:marTop w:val="0"/>
                  <w:marBottom w:val="0"/>
                  <w:divBdr>
                    <w:top w:val="none" w:sz="0" w:space="0" w:color="auto"/>
                    <w:left w:val="none" w:sz="0" w:space="0" w:color="auto"/>
                    <w:bottom w:val="none" w:sz="0" w:space="0" w:color="auto"/>
                    <w:right w:val="none" w:sz="0" w:space="0" w:color="auto"/>
                  </w:divBdr>
                </w:div>
              </w:divsChild>
            </w:div>
            <w:div w:id="1046880501">
              <w:marLeft w:val="0"/>
              <w:marRight w:val="0"/>
              <w:marTop w:val="0"/>
              <w:marBottom w:val="0"/>
              <w:divBdr>
                <w:top w:val="none" w:sz="0" w:space="0" w:color="auto"/>
                <w:left w:val="none" w:sz="0" w:space="0" w:color="auto"/>
                <w:bottom w:val="none" w:sz="0" w:space="0" w:color="auto"/>
                <w:right w:val="none" w:sz="0" w:space="0" w:color="auto"/>
              </w:divBdr>
              <w:divsChild>
                <w:div w:id="1769232819">
                  <w:marLeft w:val="0"/>
                  <w:marRight w:val="0"/>
                  <w:marTop w:val="0"/>
                  <w:marBottom w:val="0"/>
                  <w:divBdr>
                    <w:top w:val="none" w:sz="0" w:space="0" w:color="auto"/>
                    <w:left w:val="none" w:sz="0" w:space="0" w:color="auto"/>
                    <w:bottom w:val="none" w:sz="0" w:space="0" w:color="auto"/>
                    <w:right w:val="none" w:sz="0" w:space="0" w:color="auto"/>
                  </w:divBdr>
                </w:div>
              </w:divsChild>
            </w:div>
            <w:div w:id="791292543">
              <w:marLeft w:val="0"/>
              <w:marRight w:val="0"/>
              <w:marTop w:val="0"/>
              <w:marBottom w:val="0"/>
              <w:divBdr>
                <w:top w:val="none" w:sz="0" w:space="0" w:color="auto"/>
                <w:left w:val="none" w:sz="0" w:space="0" w:color="auto"/>
                <w:bottom w:val="none" w:sz="0" w:space="0" w:color="auto"/>
                <w:right w:val="none" w:sz="0" w:space="0" w:color="auto"/>
              </w:divBdr>
              <w:divsChild>
                <w:div w:id="1599748248">
                  <w:marLeft w:val="0"/>
                  <w:marRight w:val="0"/>
                  <w:marTop w:val="0"/>
                  <w:marBottom w:val="0"/>
                  <w:divBdr>
                    <w:top w:val="none" w:sz="0" w:space="0" w:color="auto"/>
                    <w:left w:val="none" w:sz="0" w:space="0" w:color="auto"/>
                    <w:bottom w:val="none" w:sz="0" w:space="0" w:color="auto"/>
                    <w:right w:val="none" w:sz="0" w:space="0" w:color="auto"/>
                  </w:divBdr>
                </w:div>
              </w:divsChild>
            </w:div>
            <w:div w:id="371883577">
              <w:marLeft w:val="0"/>
              <w:marRight w:val="0"/>
              <w:marTop w:val="0"/>
              <w:marBottom w:val="0"/>
              <w:divBdr>
                <w:top w:val="none" w:sz="0" w:space="0" w:color="auto"/>
                <w:left w:val="none" w:sz="0" w:space="0" w:color="auto"/>
                <w:bottom w:val="none" w:sz="0" w:space="0" w:color="auto"/>
                <w:right w:val="none" w:sz="0" w:space="0" w:color="auto"/>
              </w:divBdr>
              <w:divsChild>
                <w:div w:id="1394887489">
                  <w:marLeft w:val="0"/>
                  <w:marRight w:val="0"/>
                  <w:marTop w:val="0"/>
                  <w:marBottom w:val="0"/>
                  <w:divBdr>
                    <w:top w:val="none" w:sz="0" w:space="0" w:color="auto"/>
                    <w:left w:val="none" w:sz="0" w:space="0" w:color="auto"/>
                    <w:bottom w:val="none" w:sz="0" w:space="0" w:color="auto"/>
                    <w:right w:val="none" w:sz="0" w:space="0" w:color="auto"/>
                  </w:divBdr>
                </w:div>
              </w:divsChild>
            </w:div>
            <w:div w:id="1000699632">
              <w:marLeft w:val="0"/>
              <w:marRight w:val="0"/>
              <w:marTop w:val="0"/>
              <w:marBottom w:val="0"/>
              <w:divBdr>
                <w:top w:val="none" w:sz="0" w:space="0" w:color="auto"/>
                <w:left w:val="none" w:sz="0" w:space="0" w:color="auto"/>
                <w:bottom w:val="none" w:sz="0" w:space="0" w:color="auto"/>
                <w:right w:val="none" w:sz="0" w:space="0" w:color="auto"/>
              </w:divBdr>
              <w:divsChild>
                <w:div w:id="210075074">
                  <w:marLeft w:val="0"/>
                  <w:marRight w:val="0"/>
                  <w:marTop w:val="0"/>
                  <w:marBottom w:val="0"/>
                  <w:divBdr>
                    <w:top w:val="none" w:sz="0" w:space="0" w:color="auto"/>
                    <w:left w:val="none" w:sz="0" w:space="0" w:color="auto"/>
                    <w:bottom w:val="none" w:sz="0" w:space="0" w:color="auto"/>
                    <w:right w:val="none" w:sz="0" w:space="0" w:color="auto"/>
                  </w:divBdr>
                </w:div>
              </w:divsChild>
            </w:div>
            <w:div w:id="910233899">
              <w:marLeft w:val="0"/>
              <w:marRight w:val="0"/>
              <w:marTop w:val="0"/>
              <w:marBottom w:val="0"/>
              <w:divBdr>
                <w:top w:val="none" w:sz="0" w:space="0" w:color="auto"/>
                <w:left w:val="none" w:sz="0" w:space="0" w:color="auto"/>
                <w:bottom w:val="none" w:sz="0" w:space="0" w:color="auto"/>
                <w:right w:val="none" w:sz="0" w:space="0" w:color="auto"/>
              </w:divBdr>
              <w:divsChild>
                <w:div w:id="1908028004">
                  <w:marLeft w:val="0"/>
                  <w:marRight w:val="0"/>
                  <w:marTop w:val="0"/>
                  <w:marBottom w:val="0"/>
                  <w:divBdr>
                    <w:top w:val="none" w:sz="0" w:space="0" w:color="auto"/>
                    <w:left w:val="none" w:sz="0" w:space="0" w:color="auto"/>
                    <w:bottom w:val="none" w:sz="0" w:space="0" w:color="auto"/>
                    <w:right w:val="none" w:sz="0" w:space="0" w:color="auto"/>
                  </w:divBdr>
                </w:div>
              </w:divsChild>
            </w:div>
            <w:div w:id="199171148">
              <w:marLeft w:val="0"/>
              <w:marRight w:val="0"/>
              <w:marTop w:val="0"/>
              <w:marBottom w:val="0"/>
              <w:divBdr>
                <w:top w:val="none" w:sz="0" w:space="0" w:color="auto"/>
                <w:left w:val="none" w:sz="0" w:space="0" w:color="auto"/>
                <w:bottom w:val="none" w:sz="0" w:space="0" w:color="auto"/>
                <w:right w:val="none" w:sz="0" w:space="0" w:color="auto"/>
              </w:divBdr>
              <w:divsChild>
                <w:div w:id="10029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33509">
      <w:bodyDiv w:val="1"/>
      <w:marLeft w:val="0"/>
      <w:marRight w:val="0"/>
      <w:marTop w:val="0"/>
      <w:marBottom w:val="0"/>
      <w:divBdr>
        <w:top w:val="none" w:sz="0" w:space="0" w:color="auto"/>
        <w:left w:val="none" w:sz="0" w:space="0" w:color="auto"/>
        <w:bottom w:val="none" w:sz="0" w:space="0" w:color="auto"/>
        <w:right w:val="none" w:sz="0" w:space="0" w:color="auto"/>
      </w:divBdr>
    </w:div>
    <w:div w:id="1620645116">
      <w:bodyDiv w:val="1"/>
      <w:marLeft w:val="0"/>
      <w:marRight w:val="0"/>
      <w:marTop w:val="0"/>
      <w:marBottom w:val="0"/>
      <w:divBdr>
        <w:top w:val="none" w:sz="0" w:space="0" w:color="auto"/>
        <w:left w:val="none" w:sz="0" w:space="0" w:color="auto"/>
        <w:bottom w:val="none" w:sz="0" w:space="0" w:color="auto"/>
        <w:right w:val="none" w:sz="0" w:space="0" w:color="auto"/>
      </w:divBdr>
    </w:div>
    <w:div w:id="1673028476">
      <w:bodyDiv w:val="1"/>
      <w:marLeft w:val="0"/>
      <w:marRight w:val="0"/>
      <w:marTop w:val="0"/>
      <w:marBottom w:val="0"/>
      <w:divBdr>
        <w:top w:val="none" w:sz="0" w:space="0" w:color="auto"/>
        <w:left w:val="none" w:sz="0" w:space="0" w:color="auto"/>
        <w:bottom w:val="none" w:sz="0" w:space="0" w:color="auto"/>
        <w:right w:val="none" w:sz="0" w:space="0" w:color="auto"/>
      </w:divBdr>
    </w:div>
    <w:div w:id="1689140146">
      <w:bodyDiv w:val="1"/>
      <w:marLeft w:val="0"/>
      <w:marRight w:val="0"/>
      <w:marTop w:val="0"/>
      <w:marBottom w:val="0"/>
      <w:divBdr>
        <w:top w:val="none" w:sz="0" w:space="0" w:color="auto"/>
        <w:left w:val="none" w:sz="0" w:space="0" w:color="auto"/>
        <w:bottom w:val="none" w:sz="0" w:space="0" w:color="auto"/>
        <w:right w:val="none" w:sz="0" w:space="0" w:color="auto"/>
      </w:divBdr>
    </w:div>
    <w:div w:id="1712075042">
      <w:bodyDiv w:val="1"/>
      <w:marLeft w:val="0"/>
      <w:marRight w:val="0"/>
      <w:marTop w:val="0"/>
      <w:marBottom w:val="0"/>
      <w:divBdr>
        <w:top w:val="none" w:sz="0" w:space="0" w:color="auto"/>
        <w:left w:val="none" w:sz="0" w:space="0" w:color="auto"/>
        <w:bottom w:val="none" w:sz="0" w:space="0" w:color="auto"/>
        <w:right w:val="none" w:sz="0" w:space="0" w:color="auto"/>
      </w:divBdr>
    </w:div>
    <w:div w:id="1868178721">
      <w:bodyDiv w:val="1"/>
      <w:marLeft w:val="0"/>
      <w:marRight w:val="0"/>
      <w:marTop w:val="0"/>
      <w:marBottom w:val="0"/>
      <w:divBdr>
        <w:top w:val="none" w:sz="0" w:space="0" w:color="auto"/>
        <w:left w:val="none" w:sz="0" w:space="0" w:color="auto"/>
        <w:bottom w:val="none" w:sz="0" w:space="0" w:color="auto"/>
        <w:right w:val="none" w:sz="0" w:space="0" w:color="auto"/>
      </w:divBdr>
    </w:div>
    <w:div w:id="1877112543">
      <w:bodyDiv w:val="1"/>
      <w:marLeft w:val="0"/>
      <w:marRight w:val="0"/>
      <w:marTop w:val="0"/>
      <w:marBottom w:val="0"/>
      <w:divBdr>
        <w:top w:val="none" w:sz="0" w:space="0" w:color="auto"/>
        <w:left w:val="none" w:sz="0" w:space="0" w:color="auto"/>
        <w:bottom w:val="none" w:sz="0" w:space="0" w:color="auto"/>
        <w:right w:val="none" w:sz="0" w:space="0" w:color="auto"/>
      </w:divBdr>
    </w:div>
    <w:div w:id="1941906885">
      <w:bodyDiv w:val="1"/>
      <w:marLeft w:val="0"/>
      <w:marRight w:val="0"/>
      <w:marTop w:val="0"/>
      <w:marBottom w:val="0"/>
      <w:divBdr>
        <w:top w:val="none" w:sz="0" w:space="0" w:color="auto"/>
        <w:left w:val="none" w:sz="0" w:space="0" w:color="auto"/>
        <w:bottom w:val="none" w:sz="0" w:space="0" w:color="auto"/>
        <w:right w:val="none" w:sz="0" w:space="0" w:color="auto"/>
      </w:divBdr>
    </w:div>
    <w:div w:id="2056075919">
      <w:bodyDiv w:val="1"/>
      <w:marLeft w:val="0"/>
      <w:marRight w:val="0"/>
      <w:marTop w:val="0"/>
      <w:marBottom w:val="0"/>
      <w:divBdr>
        <w:top w:val="none" w:sz="0" w:space="0" w:color="auto"/>
        <w:left w:val="none" w:sz="0" w:space="0" w:color="auto"/>
        <w:bottom w:val="none" w:sz="0" w:space="0" w:color="auto"/>
        <w:right w:val="none" w:sz="0" w:space="0" w:color="auto"/>
      </w:divBdr>
    </w:div>
    <w:div w:id="2062552252">
      <w:bodyDiv w:val="1"/>
      <w:marLeft w:val="0"/>
      <w:marRight w:val="0"/>
      <w:marTop w:val="0"/>
      <w:marBottom w:val="0"/>
      <w:divBdr>
        <w:top w:val="none" w:sz="0" w:space="0" w:color="auto"/>
        <w:left w:val="none" w:sz="0" w:space="0" w:color="auto"/>
        <w:bottom w:val="none" w:sz="0" w:space="0" w:color="auto"/>
        <w:right w:val="none" w:sz="0" w:space="0" w:color="auto"/>
      </w:divBdr>
    </w:div>
    <w:div w:id="208622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package" Target="embeddings/Microsoft_Visio_Drawing.vsdx"/><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eau.sagepub.com/content/27/1/161.full.pdf+html" TargetMode="External"/><Relationship Id="rId17" Type="http://schemas.openxmlformats.org/officeDocument/2006/relationships/footer" Target="footer2.xml"/><Relationship Id="rId25"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DPM-04-2017-0084" TargetMode="External"/><Relationship Id="rId24" Type="http://schemas.openxmlformats.org/officeDocument/2006/relationships/image" Target="media/image4.emf"/><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customXml" Target="../customXml/item3.xml"/><Relationship Id="rId10" Type="http://schemas.openxmlformats.org/officeDocument/2006/relationships/hyperlink" Target="http://eau.sagepub.com/content/27/1/161.full.pdf+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108/DPM-04-2017-0084"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theme" Target="theme/theme1.xml"/><Relationship Id="rId35" Type="http://schemas.openxmlformats.org/officeDocument/2006/relationships/customXml" Target="../customXml/item2.xml"/><Relationship Id="rId8"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dfat.gov.au/aid/how-we-measure-performance/ode/Documents/lawjustice-indonesia-case-study.pdf" TargetMode="External"/><Relationship Id="rId1" Type="http://schemas.openxmlformats.org/officeDocument/2006/relationships/hyperlink" Target="https://www.unisdr.org/archive/19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D02BD4-CEBE-4B07-82DA-E31F3FEBBA91}"/>
</file>

<file path=customXml/itemProps2.xml><?xml version="1.0" encoding="utf-8"?>
<ds:datastoreItem xmlns:ds="http://schemas.openxmlformats.org/officeDocument/2006/customXml" ds:itemID="{67A1F5BC-FF37-4DAC-B969-2D24C96C85D2}"/>
</file>

<file path=customXml/itemProps3.xml><?xml version="1.0" encoding="utf-8"?>
<ds:datastoreItem xmlns:ds="http://schemas.openxmlformats.org/officeDocument/2006/customXml" ds:itemID="{16D06C9B-6C5A-4396-B6B7-A492236471BE}"/>
</file>

<file path=customXml/itemProps4.xml><?xml version="1.0" encoding="utf-8"?>
<ds:datastoreItem xmlns:ds="http://schemas.openxmlformats.org/officeDocument/2006/customXml" ds:itemID="{EE00B84B-6F8F-433E-A8B0-938D360892EF}"/>
</file>

<file path=docProps/app.xml><?xml version="1.0" encoding="utf-8"?>
<Properties xmlns="http://schemas.openxmlformats.org/officeDocument/2006/extended-properties" xmlns:vt="http://schemas.openxmlformats.org/officeDocument/2006/docPropsVTypes">
  <Template>Normal.dotm</Template>
  <TotalTime>0</TotalTime>
  <Pages>46</Pages>
  <Words>23794</Words>
  <Characters>135627</Characters>
  <Application>Microsoft Office Word</Application>
  <DocSecurity>0</DocSecurity>
  <Lines>1130</Lines>
  <Paragraphs>318</Paragraphs>
  <ScaleCrop>false</ScaleCrop>
  <Company/>
  <LinksUpToDate>false</LinksUpToDate>
  <CharactersWithSpaces>159103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2019-01-09T23:23:00Z</dcterms:created>
  <dcterms:modified xsi:type="dcterms:W3CDTF">2019-01-09T23:23:00Z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858c14d3-2c09-4362-8c80-a9099f6c41f7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1132600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