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BF" w:rsidRDefault="003645BF" w:rsidP="003645BF">
      <w:pPr>
        <w:pStyle w:val="DocName"/>
        <w:pBdr>
          <w:top w:val="single" w:sz="4" w:space="12" w:color="FF9900"/>
          <w:bottom w:val="single" w:sz="4" w:space="5" w:color="FF9900"/>
        </w:pBdr>
        <w:shd w:val="clear" w:color="auto" w:fill="FFFFCC"/>
        <w:spacing w:line="360" w:lineRule="auto"/>
        <w:rPr>
          <w:color w:val="000000"/>
          <w:sz w:val="24"/>
          <w:lang w:eastAsia="en-AU"/>
        </w:rPr>
      </w:pPr>
      <w:bookmarkStart w:id="0" w:name="_GoBack"/>
      <w:bookmarkEnd w:id="0"/>
      <w:r w:rsidRPr="00B40779">
        <w:rPr>
          <w:color w:val="000000"/>
          <w:sz w:val="24"/>
          <w:lang w:eastAsia="en-AU"/>
        </w:rPr>
        <w:t xml:space="preserve">Independent </w:t>
      </w:r>
      <w:r w:rsidR="00FE6E26">
        <w:rPr>
          <w:color w:val="000000"/>
          <w:sz w:val="24"/>
          <w:lang w:eastAsia="en-AU"/>
        </w:rPr>
        <w:t xml:space="preserve">Progress Review </w:t>
      </w:r>
      <w:r w:rsidRPr="00B40779">
        <w:rPr>
          <w:color w:val="000000"/>
          <w:sz w:val="24"/>
          <w:lang w:eastAsia="en-AU"/>
        </w:rPr>
        <w:t xml:space="preserve">of </w:t>
      </w:r>
      <w:r>
        <w:rPr>
          <w:color w:val="000000"/>
          <w:sz w:val="24"/>
          <w:lang w:eastAsia="en-AU"/>
        </w:rPr>
        <w:t>Australia</w:t>
      </w:r>
      <w:r w:rsidR="00FE6E26">
        <w:rPr>
          <w:color w:val="000000"/>
          <w:sz w:val="24"/>
          <w:lang w:eastAsia="en-AU"/>
        </w:rPr>
        <w:t>’s Law and Justice Assistance in Indonesia (May 2014)</w:t>
      </w:r>
    </w:p>
    <w:p w:rsidR="00FE6E26" w:rsidRPr="00B40779" w:rsidRDefault="00FE6E26" w:rsidP="003645BF">
      <w:pPr>
        <w:pStyle w:val="DocName"/>
        <w:pBdr>
          <w:top w:val="single" w:sz="4" w:space="12" w:color="FF9900"/>
          <w:bottom w:val="single" w:sz="4" w:space="5" w:color="FF9900"/>
        </w:pBdr>
        <w:shd w:val="clear" w:color="auto" w:fill="FFFFCC"/>
        <w:spacing w:line="360" w:lineRule="auto"/>
        <w:rPr>
          <w:color w:val="000000"/>
          <w:sz w:val="24"/>
          <w:lang w:eastAsia="en-AU"/>
        </w:rPr>
      </w:pPr>
    </w:p>
    <w:p w:rsidR="00C657FB" w:rsidRPr="003645BF" w:rsidRDefault="003645BF" w:rsidP="003645BF">
      <w:pPr>
        <w:pStyle w:val="DocName"/>
        <w:pBdr>
          <w:top w:val="single" w:sz="4" w:space="12" w:color="FF9900"/>
          <w:bottom w:val="single" w:sz="4" w:space="5" w:color="FF9900"/>
        </w:pBdr>
        <w:shd w:val="clear" w:color="auto" w:fill="FFFFCC"/>
        <w:spacing w:line="360" w:lineRule="auto"/>
        <w:rPr>
          <w:color w:val="000000"/>
          <w:sz w:val="24"/>
          <w:lang w:eastAsia="en-AU"/>
        </w:rPr>
      </w:pPr>
      <w:r w:rsidRPr="00B40779">
        <w:rPr>
          <w:color w:val="000000"/>
          <w:sz w:val="24"/>
          <w:lang w:eastAsia="en-AU"/>
        </w:rPr>
        <w:t>MANAGEMENT RESPONSE</w:t>
      </w:r>
    </w:p>
    <w:p w:rsidR="00C657FB" w:rsidRDefault="000B520A" w:rsidP="00683EB4">
      <w:pPr>
        <w:pStyle w:val="Heading2"/>
      </w:pPr>
      <w:r>
        <w:t xml:space="preserve">Initiative </w:t>
      </w:r>
      <w:r w:rsidR="00C657FB">
        <w:t>Summary</w:t>
      </w:r>
    </w:p>
    <w:tbl>
      <w:tblPr>
        <w:tblW w:w="99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70"/>
        <w:gridCol w:w="2703"/>
        <w:gridCol w:w="1850"/>
        <w:gridCol w:w="2704"/>
      </w:tblGrid>
      <w:tr w:rsidR="00C657FB" w:rsidRPr="00F43CEC" w:rsidTr="006F3CF4">
        <w:trPr>
          <w:cantSplit/>
          <w:trHeight w:val="488"/>
          <w:tblHeader/>
        </w:trPr>
        <w:tc>
          <w:tcPr>
            <w:tcW w:w="267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57" w:type="dxa"/>
            <w:gridSpan w:val="3"/>
            <w:shd w:val="clear" w:color="auto" w:fill="E0E0E0"/>
            <w:vAlign w:val="center"/>
          </w:tcPr>
          <w:p w:rsidR="00C657FB" w:rsidRPr="00F43CEC" w:rsidRDefault="00C657FB" w:rsidP="00175FFC">
            <w:pPr>
              <w:pStyle w:val="Table-normal-text"/>
              <w:spacing w:before="120" w:after="120"/>
              <w:rPr>
                <w:b/>
              </w:rPr>
            </w:pPr>
          </w:p>
        </w:tc>
      </w:tr>
      <w:tr w:rsidR="00C657FB" w:rsidRPr="00F43CEC" w:rsidTr="006F3CF4">
        <w:trPr>
          <w:cantSplit/>
          <w:trHeight w:val="295"/>
        </w:trPr>
        <w:tc>
          <w:tcPr>
            <w:tcW w:w="2670" w:type="dxa"/>
            <w:shd w:val="clear" w:color="auto" w:fill="auto"/>
          </w:tcPr>
          <w:p w:rsidR="00C657FB" w:rsidRPr="00F2320B" w:rsidRDefault="00C657FB" w:rsidP="00175FFC">
            <w:pPr>
              <w:pStyle w:val="Table-normal-text"/>
            </w:pPr>
            <w:proofErr w:type="spellStart"/>
            <w:r w:rsidRPr="00F2320B">
              <w:t>AidWorks</w:t>
            </w:r>
            <w:proofErr w:type="spellEnd"/>
            <w:r w:rsidRPr="00F2320B">
              <w:t xml:space="preserve"> initiative number</w:t>
            </w:r>
            <w:r w:rsidR="00803F0B">
              <w:t>s</w:t>
            </w:r>
          </w:p>
        </w:tc>
        <w:tc>
          <w:tcPr>
            <w:tcW w:w="7257" w:type="dxa"/>
            <w:gridSpan w:val="3"/>
            <w:shd w:val="clear" w:color="auto" w:fill="auto"/>
          </w:tcPr>
          <w:p w:rsidR="00803F0B" w:rsidRDefault="003645BF" w:rsidP="00175FFC">
            <w:pPr>
              <w:pStyle w:val="Table-normal-text"/>
            </w:pPr>
            <w:r>
              <w:t>INJ137</w:t>
            </w:r>
            <w:r w:rsidR="00E3163F">
              <w:t xml:space="preserve"> (Australia-</w:t>
            </w:r>
            <w:r w:rsidR="00803F0B">
              <w:t>Indonesia Partnership for Justice)</w:t>
            </w:r>
          </w:p>
          <w:p w:rsidR="00C657FB" w:rsidRPr="00F2320B" w:rsidRDefault="00803F0B" w:rsidP="00175FFC">
            <w:pPr>
              <w:pStyle w:val="Table-normal-text"/>
            </w:pPr>
            <w:r>
              <w:t>INK495 (Prison Reform in Indonesia – Phase III)</w:t>
            </w:r>
          </w:p>
        </w:tc>
      </w:tr>
      <w:tr w:rsidR="00C657FB" w:rsidRPr="00F43CEC" w:rsidTr="006F3CF4">
        <w:trPr>
          <w:cantSplit/>
          <w:trHeight w:val="295"/>
        </w:trPr>
        <w:tc>
          <w:tcPr>
            <w:tcW w:w="267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703" w:type="dxa"/>
            <w:shd w:val="clear" w:color="auto" w:fill="auto"/>
          </w:tcPr>
          <w:p w:rsidR="00C657FB" w:rsidRPr="00F2320B" w:rsidRDefault="003645BF" w:rsidP="00175FFC">
            <w:pPr>
              <w:pStyle w:val="Table-normal-text"/>
            </w:pPr>
            <w:r>
              <w:t>1 June 2011</w:t>
            </w:r>
          </w:p>
        </w:tc>
        <w:tc>
          <w:tcPr>
            <w:tcW w:w="1850"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703" w:type="dxa"/>
            <w:shd w:val="clear" w:color="auto" w:fill="auto"/>
          </w:tcPr>
          <w:p w:rsidR="00C657FB" w:rsidRPr="00F2320B" w:rsidRDefault="003645BF" w:rsidP="00175FFC">
            <w:pPr>
              <w:pStyle w:val="Table-normal-text"/>
            </w:pPr>
            <w:r>
              <w:t>31 December 2015</w:t>
            </w:r>
          </w:p>
        </w:tc>
      </w:tr>
      <w:tr w:rsidR="00C657FB" w:rsidRPr="00F43CEC" w:rsidTr="006F3CF4">
        <w:trPr>
          <w:cantSplit/>
          <w:trHeight w:val="295"/>
        </w:trPr>
        <w:tc>
          <w:tcPr>
            <w:tcW w:w="2670" w:type="dxa"/>
            <w:shd w:val="clear" w:color="auto" w:fill="auto"/>
          </w:tcPr>
          <w:p w:rsidR="00C657FB" w:rsidRPr="00F2320B" w:rsidRDefault="00C657FB" w:rsidP="00175FFC">
            <w:pPr>
              <w:pStyle w:val="Table-normal-text"/>
            </w:pPr>
            <w:r>
              <w:t>Total Australian $</w:t>
            </w:r>
          </w:p>
        </w:tc>
        <w:tc>
          <w:tcPr>
            <w:tcW w:w="7257" w:type="dxa"/>
            <w:gridSpan w:val="3"/>
            <w:shd w:val="clear" w:color="auto" w:fill="auto"/>
          </w:tcPr>
          <w:p w:rsidR="00C657FB" w:rsidRPr="00F2320B" w:rsidRDefault="003645BF" w:rsidP="00803F0B">
            <w:pPr>
              <w:pStyle w:val="Table-normal-text"/>
            </w:pPr>
            <w:r>
              <w:t>5</w:t>
            </w:r>
            <w:r w:rsidR="00803F0B">
              <w:t>3</w:t>
            </w:r>
            <w:r>
              <w:t>,</w:t>
            </w:r>
            <w:r w:rsidR="00803F0B">
              <w:t>7</w:t>
            </w:r>
            <w:r>
              <w:t>00,000</w:t>
            </w:r>
          </w:p>
        </w:tc>
      </w:tr>
      <w:tr w:rsidR="00C657FB" w:rsidRPr="00F43CEC" w:rsidTr="006F3CF4">
        <w:trPr>
          <w:cantSplit/>
          <w:trHeight w:val="295"/>
        </w:trPr>
        <w:tc>
          <w:tcPr>
            <w:tcW w:w="2670" w:type="dxa"/>
            <w:shd w:val="clear" w:color="auto" w:fill="auto"/>
          </w:tcPr>
          <w:p w:rsidR="00C657FB" w:rsidRPr="00F2320B" w:rsidRDefault="00C657FB" w:rsidP="00175FFC">
            <w:pPr>
              <w:pStyle w:val="Table-normal-text"/>
            </w:pPr>
            <w:r>
              <w:t>Total other $</w:t>
            </w:r>
          </w:p>
        </w:tc>
        <w:tc>
          <w:tcPr>
            <w:tcW w:w="7257" w:type="dxa"/>
            <w:gridSpan w:val="3"/>
            <w:shd w:val="clear" w:color="auto" w:fill="auto"/>
          </w:tcPr>
          <w:p w:rsidR="00C657FB" w:rsidRPr="00F2320B" w:rsidRDefault="00C657FB" w:rsidP="00175FFC">
            <w:pPr>
              <w:pStyle w:val="Table-normal-text"/>
            </w:pPr>
          </w:p>
        </w:tc>
      </w:tr>
      <w:tr w:rsidR="00C657FB" w:rsidRPr="00F43CEC" w:rsidTr="006F3CF4">
        <w:trPr>
          <w:cantSplit/>
          <w:trHeight w:val="1091"/>
        </w:trPr>
        <w:tc>
          <w:tcPr>
            <w:tcW w:w="2670" w:type="dxa"/>
            <w:shd w:val="clear" w:color="auto" w:fill="auto"/>
          </w:tcPr>
          <w:p w:rsidR="00C657FB" w:rsidRPr="00F2320B" w:rsidRDefault="00C657FB" w:rsidP="00175FFC">
            <w:pPr>
              <w:pStyle w:val="Table-normal-text"/>
            </w:pPr>
            <w:r w:rsidRPr="00F2320B">
              <w:t>Delivery organisation(s)</w:t>
            </w:r>
          </w:p>
        </w:tc>
        <w:tc>
          <w:tcPr>
            <w:tcW w:w="7257" w:type="dxa"/>
            <w:gridSpan w:val="3"/>
            <w:shd w:val="clear" w:color="auto" w:fill="auto"/>
          </w:tcPr>
          <w:p w:rsidR="003645BF" w:rsidRPr="00A551AA" w:rsidRDefault="003645BF" w:rsidP="00B161AC">
            <w:pPr>
              <w:pStyle w:val="Table-normal-text"/>
              <w:numPr>
                <w:ilvl w:val="0"/>
                <w:numId w:val="8"/>
              </w:numPr>
              <w:rPr>
                <w:color w:val="000000"/>
              </w:rPr>
            </w:pPr>
            <w:r w:rsidRPr="00A551AA">
              <w:rPr>
                <w:color w:val="000000"/>
              </w:rPr>
              <w:t xml:space="preserve">Government and judiciary of Australia, </w:t>
            </w:r>
            <w:r>
              <w:rPr>
                <w:color w:val="000000"/>
              </w:rPr>
              <w:t>coordinated by the Department of Foreign Affairs and Trade (DFAT)</w:t>
            </w:r>
          </w:p>
          <w:p w:rsidR="00C657FB" w:rsidRPr="00F2320B" w:rsidRDefault="003645BF" w:rsidP="00B161AC">
            <w:pPr>
              <w:pStyle w:val="Table-normal-text"/>
              <w:numPr>
                <w:ilvl w:val="0"/>
                <w:numId w:val="8"/>
              </w:numPr>
            </w:pPr>
            <w:r>
              <w:rPr>
                <w:color w:val="000000"/>
              </w:rPr>
              <w:t>Government and judiciary of Indonesia, coordinated by the National Development Planning Agency (</w:t>
            </w:r>
            <w:proofErr w:type="spellStart"/>
            <w:r>
              <w:rPr>
                <w:color w:val="000000"/>
              </w:rPr>
              <w:t>Bappenas</w:t>
            </w:r>
            <w:proofErr w:type="spellEnd"/>
            <w:r>
              <w:rPr>
                <w:color w:val="000000"/>
              </w:rPr>
              <w:t>)</w:t>
            </w:r>
          </w:p>
        </w:tc>
      </w:tr>
      <w:tr w:rsidR="00C657FB" w:rsidRPr="00F43CEC" w:rsidTr="006F3CF4">
        <w:trPr>
          <w:cantSplit/>
          <w:trHeight w:val="629"/>
        </w:trPr>
        <w:tc>
          <w:tcPr>
            <w:tcW w:w="267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57" w:type="dxa"/>
            <w:gridSpan w:val="3"/>
            <w:shd w:val="clear" w:color="auto" w:fill="auto"/>
          </w:tcPr>
          <w:p w:rsidR="003645BF" w:rsidRDefault="003645BF" w:rsidP="00B161AC">
            <w:pPr>
              <w:pStyle w:val="Table-normal-text"/>
              <w:numPr>
                <w:ilvl w:val="0"/>
                <w:numId w:val="9"/>
              </w:numPr>
              <w:rPr>
                <w:color w:val="000000"/>
              </w:rPr>
            </w:pPr>
            <w:proofErr w:type="spellStart"/>
            <w:r>
              <w:rPr>
                <w:color w:val="000000"/>
              </w:rPr>
              <w:t>Cardno</w:t>
            </w:r>
            <w:proofErr w:type="spellEnd"/>
            <w:r>
              <w:rPr>
                <w:color w:val="000000"/>
              </w:rPr>
              <w:t xml:space="preserve"> Emerging Markets</w:t>
            </w:r>
            <w:r w:rsidR="00803F0B">
              <w:rPr>
                <w:color w:val="000000"/>
              </w:rPr>
              <w:t xml:space="preserve"> (Australia) Pty Ltd </w:t>
            </w:r>
            <w:r w:rsidR="00803F0B">
              <w:rPr>
                <w:rFonts w:cs="Arial"/>
                <w:color w:val="000000"/>
              </w:rPr>
              <w:t>—</w:t>
            </w:r>
            <w:r w:rsidR="00803F0B">
              <w:rPr>
                <w:color w:val="000000"/>
              </w:rPr>
              <w:t xml:space="preserve"> Implementation Service Provider for the </w:t>
            </w:r>
            <w:r w:rsidR="00E3163F">
              <w:t>Australia-</w:t>
            </w:r>
            <w:r w:rsidR="00803F0B">
              <w:t>Indonesia Partnership for Justice</w:t>
            </w:r>
          </w:p>
          <w:p w:rsidR="00C657FB" w:rsidRPr="00F2320B" w:rsidRDefault="003645BF" w:rsidP="002D0F74">
            <w:pPr>
              <w:pStyle w:val="Table-normal-text"/>
              <w:numPr>
                <w:ilvl w:val="0"/>
                <w:numId w:val="9"/>
              </w:numPr>
            </w:pPr>
            <w:r>
              <w:rPr>
                <w:color w:val="000000"/>
              </w:rPr>
              <w:t xml:space="preserve">The Asia Foundation </w:t>
            </w:r>
            <w:r w:rsidR="00803F0B">
              <w:rPr>
                <w:rFonts w:cs="Arial"/>
                <w:color w:val="000000"/>
              </w:rPr>
              <w:t>—</w:t>
            </w:r>
            <w:r w:rsidR="00FA7391">
              <w:rPr>
                <w:color w:val="000000"/>
              </w:rPr>
              <w:t xml:space="preserve"> managing grantee for the </w:t>
            </w:r>
            <w:r w:rsidR="00803F0B">
              <w:rPr>
                <w:color w:val="000000"/>
              </w:rPr>
              <w:t xml:space="preserve">Prison Reform </w:t>
            </w:r>
            <w:r w:rsidR="002D0F74">
              <w:rPr>
                <w:color w:val="000000"/>
              </w:rPr>
              <w:t>Progra</w:t>
            </w:r>
            <w:r w:rsidR="003D7882">
              <w:rPr>
                <w:color w:val="000000"/>
              </w:rPr>
              <w:t>m</w:t>
            </w:r>
            <w:r w:rsidR="00803F0B">
              <w:rPr>
                <w:color w:val="000000"/>
              </w:rPr>
              <w:t xml:space="preserve">; </w:t>
            </w:r>
            <w:r>
              <w:rPr>
                <w:color w:val="000000"/>
              </w:rPr>
              <w:t>sub</w:t>
            </w:r>
            <w:r w:rsidR="00803F0B">
              <w:rPr>
                <w:color w:val="000000"/>
              </w:rPr>
              <w:t>-contractor for civil soci</w:t>
            </w:r>
            <w:r w:rsidR="00FA7391">
              <w:rPr>
                <w:color w:val="000000"/>
              </w:rPr>
              <w:t>ety support under the Australia-</w:t>
            </w:r>
            <w:r w:rsidR="00803F0B">
              <w:rPr>
                <w:color w:val="000000"/>
              </w:rPr>
              <w:t xml:space="preserve">Indonesia Partnership for Justice </w:t>
            </w:r>
            <w:r>
              <w:rPr>
                <w:color w:val="000000"/>
              </w:rPr>
              <w:t>from 2013</w:t>
            </w:r>
          </w:p>
        </w:tc>
      </w:tr>
      <w:tr w:rsidR="00C657FB" w:rsidRPr="00F43CEC" w:rsidTr="006F3CF4">
        <w:trPr>
          <w:cantSplit/>
          <w:trHeight w:val="295"/>
        </w:trPr>
        <w:tc>
          <w:tcPr>
            <w:tcW w:w="2670" w:type="dxa"/>
            <w:shd w:val="clear" w:color="auto" w:fill="auto"/>
          </w:tcPr>
          <w:p w:rsidR="00C657FB" w:rsidRPr="00F2320B" w:rsidRDefault="00C657FB" w:rsidP="00175FFC">
            <w:pPr>
              <w:pStyle w:val="Table-normal-text"/>
            </w:pPr>
            <w:r w:rsidRPr="00F2320B">
              <w:t>Country/Region</w:t>
            </w:r>
          </w:p>
        </w:tc>
        <w:tc>
          <w:tcPr>
            <w:tcW w:w="7257" w:type="dxa"/>
            <w:gridSpan w:val="3"/>
            <w:shd w:val="clear" w:color="auto" w:fill="auto"/>
          </w:tcPr>
          <w:p w:rsidR="00C657FB" w:rsidRPr="00F2320B" w:rsidRDefault="003645BF" w:rsidP="00175FFC">
            <w:pPr>
              <w:pStyle w:val="Table-normal-text"/>
            </w:pPr>
            <w:r>
              <w:t xml:space="preserve">Indonesia </w:t>
            </w:r>
          </w:p>
        </w:tc>
      </w:tr>
      <w:tr w:rsidR="00C657FB" w:rsidRPr="00F43CEC" w:rsidTr="006F3CF4">
        <w:trPr>
          <w:cantSplit/>
          <w:trHeight w:val="295"/>
        </w:trPr>
        <w:tc>
          <w:tcPr>
            <w:tcW w:w="267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57" w:type="dxa"/>
            <w:gridSpan w:val="3"/>
            <w:shd w:val="clear" w:color="auto" w:fill="auto"/>
          </w:tcPr>
          <w:p w:rsidR="00C657FB" w:rsidRPr="00F2320B" w:rsidRDefault="003645BF" w:rsidP="00175FFC">
            <w:pPr>
              <w:pStyle w:val="Table-normal-text"/>
            </w:pPr>
            <w:r>
              <w:t xml:space="preserve">Law and Justice </w:t>
            </w:r>
          </w:p>
        </w:tc>
      </w:tr>
      <w:tr w:rsidR="00C657FB" w:rsidRPr="00F43CEC" w:rsidTr="006F3CF4">
        <w:trPr>
          <w:cantSplit/>
          <w:trHeight w:val="1938"/>
        </w:trPr>
        <w:tc>
          <w:tcPr>
            <w:tcW w:w="2670" w:type="dxa"/>
            <w:shd w:val="clear" w:color="auto" w:fill="auto"/>
          </w:tcPr>
          <w:p w:rsidR="00C657FB" w:rsidRPr="00444D45" w:rsidRDefault="00390A59" w:rsidP="00175FFC">
            <w:pPr>
              <w:pStyle w:val="Table-normal-text"/>
            </w:pPr>
            <w:r w:rsidRPr="00F2417A">
              <w:t>Initiative</w:t>
            </w:r>
            <w:r w:rsidR="00C657FB" w:rsidRPr="00F2417A">
              <w:t xml:space="preserve"> objective</w:t>
            </w:r>
            <w:r w:rsidR="00614E79" w:rsidRPr="00F2417A">
              <w:t>/s</w:t>
            </w:r>
          </w:p>
        </w:tc>
        <w:tc>
          <w:tcPr>
            <w:tcW w:w="7257" w:type="dxa"/>
            <w:gridSpan w:val="3"/>
            <w:shd w:val="clear" w:color="auto" w:fill="auto"/>
          </w:tcPr>
          <w:p w:rsidR="004425FF" w:rsidRDefault="004425FF" w:rsidP="004425FF">
            <w:pPr>
              <w:pStyle w:val="Table-normal-text"/>
            </w:pPr>
            <w:r>
              <w:t>The independent progress review examined two initiatives:</w:t>
            </w:r>
          </w:p>
          <w:p w:rsidR="00C657FB" w:rsidRDefault="004425FF" w:rsidP="004425FF">
            <w:pPr>
              <w:pStyle w:val="Table-normal-text"/>
              <w:numPr>
                <w:ilvl w:val="0"/>
                <w:numId w:val="15"/>
              </w:numPr>
            </w:pPr>
            <w:r>
              <w:t xml:space="preserve">The </w:t>
            </w:r>
            <w:r w:rsidR="00E3163F">
              <w:t>Australia-</w:t>
            </w:r>
            <w:r w:rsidR="003645BF" w:rsidRPr="003645BF">
              <w:t>In</w:t>
            </w:r>
            <w:r w:rsidR="003D7882">
              <w:t>donesia Partnership for Justice</w:t>
            </w:r>
            <w:r w:rsidR="001107EB">
              <w:t xml:space="preserve">, which is a five-year program </w:t>
            </w:r>
            <w:r w:rsidR="00562BAC">
              <w:t xml:space="preserve">operating from </w:t>
            </w:r>
            <w:r w:rsidR="002D0F74">
              <w:t>mid-</w:t>
            </w:r>
            <w:r w:rsidR="00562BAC">
              <w:t>2011 to 2015</w:t>
            </w:r>
            <w:r w:rsidR="001107EB">
              <w:t xml:space="preserve"> with an approximate investment value of $50 </w:t>
            </w:r>
            <w:r w:rsidR="003645BF" w:rsidRPr="003645BF">
              <w:t xml:space="preserve">million. The program </w:t>
            </w:r>
            <w:r>
              <w:t xml:space="preserve">helps people in Indonesia to realise their rights to </w:t>
            </w:r>
            <w:r w:rsidR="003645BF" w:rsidRPr="003645BF">
              <w:t>fair and accessible legal services</w:t>
            </w:r>
            <w:r>
              <w:t>, legal identity documents,</w:t>
            </w:r>
            <w:r w:rsidR="003645BF" w:rsidRPr="003645BF">
              <w:t xml:space="preserve"> and legal information</w:t>
            </w:r>
            <w:r>
              <w:t xml:space="preserve">. It pays particular attention to the rights of </w:t>
            </w:r>
            <w:r w:rsidR="003645BF" w:rsidRPr="003645BF">
              <w:t>women who are poor, people with disability and vulnerable children</w:t>
            </w:r>
            <w:r>
              <w:t>.</w:t>
            </w:r>
          </w:p>
          <w:p w:rsidR="004425FF" w:rsidRPr="00F2320B" w:rsidRDefault="004425FF" w:rsidP="002D0F74">
            <w:pPr>
              <w:pStyle w:val="Table-normal-text"/>
              <w:numPr>
                <w:ilvl w:val="0"/>
                <w:numId w:val="15"/>
              </w:numPr>
            </w:pPr>
            <w:r>
              <w:t xml:space="preserve">The third phase of </w:t>
            </w:r>
            <w:r w:rsidR="001107EB">
              <w:t xml:space="preserve">the </w:t>
            </w:r>
            <w:r w:rsidR="00562BAC" w:rsidRPr="00562BAC">
              <w:t>Prison Reform</w:t>
            </w:r>
            <w:r w:rsidR="002D0F74">
              <w:t xml:space="preserve"> program</w:t>
            </w:r>
            <w:r w:rsidR="00562BAC" w:rsidRPr="00562BAC">
              <w:t>,</w:t>
            </w:r>
            <w:r w:rsidR="00562BAC">
              <w:t xml:space="preserve"> </w:t>
            </w:r>
            <w:r w:rsidR="001107EB">
              <w:t>which is a 3.5</w:t>
            </w:r>
            <w:r w:rsidR="003B06B9">
              <w:t>-year</w:t>
            </w:r>
            <w:r w:rsidR="00562BAC">
              <w:t xml:space="preserve"> program operating from mid-2012 to 2015 with an approximate investment value of $3.7 million. The</w:t>
            </w:r>
            <w:r>
              <w:t xml:space="preserve"> program aims to reduce corruption in Indonesia’s corrections system by improving information management within the Directorate General for Corrections (particularly through an electronic pris</w:t>
            </w:r>
            <w:r w:rsidR="003D7882">
              <w:t>oner database) and strengthening</w:t>
            </w:r>
            <w:r>
              <w:t xml:space="preserve"> prison audit systems.</w:t>
            </w:r>
          </w:p>
        </w:tc>
      </w:tr>
    </w:tbl>
    <w:p w:rsidR="00035354" w:rsidRDefault="00035354" w:rsidP="00C657FB">
      <w:pPr>
        <w:pStyle w:val="Heading2"/>
      </w:pPr>
    </w:p>
    <w:p w:rsidR="00035354" w:rsidRDefault="00035354">
      <w:pPr>
        <w:spacing w:before="0"/>
        <w:rPr>
          <w:rFonts w:cs="Arial"/>
          <w:b/>
          <w:iCs/>
          <w:sz w:val="24"/>
          <w:szCs w:val="22"/>
          <w:lang w:eastAsia="en-AU"/>
        </w:rPr>
      </w:pPr>
      <w:r>
        <w:br w:type="page"/>
      </w:r>
    </w:p>
    <w:p w:rsidR="00C657FB" w:rsidRDefault="00C657FB" w:rsidP="00C657FB">
      <w:pPr>
        <w:pStyle w:val="Heading2"/>
      </w:pPr>
      <w:r>
        <w:lastRenderedPageBreak/>
        <w:t>Evaluation Summary</w:t>
      </w:r>
    </w:p>
    <w:p w:rsidR="00C745DB" w:rsidRDefault="00C745DB" w:rsidP="00035354">
      <w:pPr>
        <w:pStyle w:val="Table-normal-text"/>
        <w:spacing w:before="120"/>
        <w:rPr>
          <w:rFonts w:cs="Arial"/>
        </w:rPr>
      </w:pPr>
      <w:r>
        <w:rPr>
          <w:b/>
        </w:rPr>
        <w:t xml:space="preserve">Review </w:t>
      </w:r>
      <w:r w:rsidR="00C657FB" w:rsidRPr="00123C3E">
        <w:rPr>
          <w:b/>
        </w:rPr>
        <w:t>Objective:</w:t>
      </w:r>
      <w:r w:rsidR="00C657FB">
        <w:rPr>
          <w:b/>
        </w:rPr>
        <w:t xml:space="preserve"> </w:t>
      </w:r>
      <w:r w:rsidR="004425FF">
        <w:t xml:space="preserve">To provide an independent </w:t>
      </w:r>
      <w:r w:rsidR="00B90A1E">
        <w:t xml:space="preserve">review </w:t>
      </w:r>
      <w:r w:rsidR="004425FF">
        <w:t xml:space="preserve">of </w:t>
      </w:r>
      <w:r w:rsidR="00B90A1E">
        <w:t xml:space="preserve">the performance of </w:t>
      </w:r>
      <w:r w:rsidR="004425FF">
        <w:t xml:space="preserve">Australia’s </w:t>
      </w:r>
      <w:r w:rsidR="00B90A1E">
        <w:t xml:space="preserve">main bilateral aid investments in Indonesia’s law and justice sector </w:t>
      </w:r>
      <w:r w:rsidR="00B90A1E">
        <w:rPr>
          <w:rFonts w:cs="Arial"/>
        </w:rPr>
        <w:t>—</w:t>
      </w:r>
      <w:r w:rsidR="00E3163F">
        <w:t xml:space="preserve"> the Australia-</w:t>
      </w:r>
      <w:r w:rsidR="00B90A1E">
        <w:t xml:space="preserve">Indonesia Partnership for Justice </w:t>
      </w:r>
      <w:r w:rsidR="002D0F74">
        <w:rPr>
          <w:lang w:eastAsia="en-AU"/>
        </w:rPr>
        <w:t xml:space="preserve">(AIPJ) </w:t>
      </w:r>
      <w:r w:rsidR="00B90A1E">
        <w:t xml:space="preserve">and the third phase of the Prison Reform </w:t>
      </w:r>
      <w:r w:rsidR="002D0F74">
        <w:t>Program</w:t>
      </w:r>
      <w:r>
        <w:t>.</w:t>
      </w:r>
      <w:r w:rsidR="00B90A1E">
        <w:rPr>
          <w:rFonts w:cs="Arial"/>
        </w:rPr>
        <w:t xml:space="preserve"> </w:t>
      </w:r>
      <w:r w:rsidR="00CC71B8">
        <w:rPr>
          <w:rFonts w:cs="Arial"/>
        </w:rPr>
        <w:t>This in</w:t>
      </w:r>
      <w:r>
        <w:rPr>
          <w:rFonts w:cs="Arial"/>
        </w:rPr>
        <w:t xml:space="preserve">volved </w:t>
      </w:r>
      <w:r w:rsidR="00CC71B8">
        <w:rPr>
          <w:rFonts w:cs="Arial"/>
        </w:rPr>
        <w:t xml:space="preserve">examining </w:t>
      </w:r>
      <w:r>
        <w:rPr>
          <w:rFonts w:cs="Arial"/>
        </w:rPr>
        <w:t xml:space="preserve">the </w:t>
      </w:r>
      <w:r w:rsidRPr="00C745DB">
        <w:rPr>
          <w:rFonts w:cs="Arial"/>
        </w:rPr>
        <w:t>relevance of the programs</w:t>
      </w:r>
      <w:r>
        <w:rPr>
          <w:rFonts w:cs="Arial"/>
        </w:rPr>
        <w:t xml:space="preserve"> to </w:t>
      </w:r>
      <w:r w:rsidRPr="00C745DB">
        <w:rPr>
          <w:rFonts w:cs="Arial"/>
        </w:rPr>
        <w:t>Australia’s national interests, the align</w:t>
      </w:r>
      <w:r>
        <w:rPr>
          <w:rFonts w:cs="Arial"/>
        </w:rPr>
        <w:t>ment of the activities</w:t>
      </w:r>
      <w:r w:rsidRPr="00C745DB">
        <w:rPr>
          <w:rFonts w:cs="Arial"/>
        </w:rPr>
        <w:t xml:space="preserve"> with the Government of Indonesia’s priorities in </w:t>
      </w:r>
      <w:r w:rsidR="002D0F74">
        <w:rPr>
          <w:rFonts w:cs="Arial"/>
        </w:rPr>
        <w:t>the</w:t>
      </w:r>
      <w:r w:rsidRPr="00C745DB">
        <w:rPr>
          <w:rFonts w:cs="Arial"/>
        </w:rPr>
        <w:t xml:space="preserve"> sector</w:t>
      </w:r>
      <w:r>
        <w:rPr>
          <w:rFonts w:cs="Arial"/>
        </w:rPr>
        <w:t xml:space="preserve">, whether meaningful results </w:t>
      </w:r>
      <w:r>
        <w:rPr>
          <w:rFonts w:cs="Arial"/>
          <w:szCs w:val="20"/>
        </w:rPr>
        <w:t>have</w:t>
      </w:r>
      <w:r w:rsidRPr="00D136F1">
        <w:rPr>
          <w:rFonts w:cs="Arial"/>
          <w:szCs w:val="20"/>
        </w:rPr>
        <w:t xml:space="preserve"> </w:t>
      </w:r>
      <w:r>
        <w:rPr>
          <w:rFonts w:cs="Arial"/>
          <w:szCs w:val="20"/>
        </w:rPr>
        <w:t xml:space="preserve">been </w:t>
      </w:r>
      <w:r w:rsidRPr="00D136F1">
        <w:rPr>
          <w:rFonts w:cs="Arial"/>
          <w:szCs w:val="20"/>
        </w:rPr>
        <w:t>achieved to date, whether the current approach</w:t>
      </w:r>
      <w:r>
        <w:rPr>
          <w:rFonts w:cs="Arial"/>
          <w:szCs w:val="20"/>
        </w:rPr>
        <w:t>es</w:t>
      </w:r>
      <w:r w:rsidRPr="00D136F1">
        <w:rPr>
          <w:rFonts w:cs="Arial"/>
          <w:szCs w:val="20"/>
        </w:rPr>
        <w:t xml:space="preserve"> </w:t>
      </w:r>
      <w:r>
        <w:rPr>
          <w:rFonts w:cs="Arial"/>
          <w:szCs w:val="20"/>
        </w:rPr>
        <w:t xml:space="preserve">are </w:t>
      </w:r>
      <w:r w:rsidRPr="00D136F1">
        <w:rPr>
          <w:rFonts w:cs="Arial"/>
          <w:szCs w:val="20"/>
        </w:rPr>
        <w:t>likely to lea</w:t>
      </w:r>
      <w:r>
        <w:rPr>
          <w:rFonts w:cs="Arial"/>
          <w:szCs w:val="20"/>
        </w:rPr>
        <w:t>d</w:t>
      </w:r>
      <w:r w:rsidR="002D0F74">
        <w:rPr>
          <w:rFonts w:cs="Arial"/>
          <w:szCs w:val="20"/>
        </w:rPr>
        <w:t xml:space="preserve"> to</w:t>
      </w:r>
      <w:r w:rsidRPr="00D136F1">
        <w:rPr>
          <w:rFonts w:cs="Arial"/>
          <w:szCs w:val="20"/>
        </w:rPr>
        <w:t xml:space="preserve"> </w:t>
      </w:r>
      <w:r>
        <w:rPr>
          <w:rFonts w:cs="Arial"/>
          <w:szCs w:val="20"/>
        </w:rPr>
        <w:t xml:space="preserve">specified </w:t>
      </w:r>
      <w:r w:rsidRPr="00D136F1">
        <w:rPr>
          <w:rFonts w:cs="Arial"/>
          <w:szCs w:val="20"/>
        </w:rPr>
        <w:t>End of Program Outcomes being realised</w:t>
      </w:r>
      <w:r>
        <w:rPr>
          <w:rFonts w:cs="Arial"/>
          <w:szCs w:val="20"/>
        </w:rPr>
        <w:t>,</w:t>
      </w:r>
      <w:r>
        <w:rPr>
          <w:rFonts w:cs="Arial"/>
        </w:rPr>
        <w:t xml:space="preserve"> whether impact will be sustained beyond the program, and to what extent t</w:t>
      </w:r>
      <w:r w:rsidR="002D0F74">
        <w:rPr>
          <w:rFonts w:cs="Arial"/>
        </w:rPr>
        <w:t>he performance of the Australia-</w:t>
      </w:r>
      <w:r>
        <w:rPr>
          <w:rFonts w:cs="Arial"/>
        </w:rPr>
        <w:t>Indonesia Partnership for Justice has improved since an earlier independent review was conducted in 2012.</w:t>
      </w:r>
    </w:p>
    <w:p w:rsidR="00CC71B8" w:rsidRPr="00492003" w:rsidRDefault="00B90A1E" w:rsidP="00C745DB">
      <w:pPr>
        <w:pStyle w:val="Table-normal-text"/>
        <w:rPr>
          <w:rFonts w:ascii="Calibri" w:hAnsi="Calibri"/>
          <w:sz w:val="22"/>
          <w:szCs w:val="22"/>
        </w:rPr>
      </w:pPr>
      <w:r>
        <w:rPr>
          <w:rFonts w:cs="Arial"/>
        </w:rPr>
        <w:t xml:space="preserve">A second objective of this review was to </w:t>
      </w:r>
      <w:r>
        <w:t>inform the</w:t>
      </w:r>
      <w:r w:rsidR="002D0F74">
        <w:t xml:space="preserve"> Governments of Australia</w:t>
      </w:r>
      <w:r>
        <w:t xml:space="preserve"> and Indonesia on possible </w:t>
      </w:r>
      <w:r w:rsidR="003645BF">
        <w:rPr>
          <w:rFonts w:cs="Arial"/>
          <w:szCs w:val="20"/>
        </w:rPr>
        <w:t xml:space="preserve">future </w:t>
      </w:r>
      <w:r>
        <w:rPr>
          <w:rFonts w:cs="Arial"/>
          <w:szCs w:val="20"/>
        </w:rPr>
        <w:t>aid investments in this sector beyond the conclusion of these programs in December 2015</w:t>
      </w:r>
      <w:r w:rsidR="003645BF">
        <w:rPr>
          <w:rFonts w:cs="Arial"/>
          <w:szCs w:val="20"/>
        </w:rPr>
        <w:t>.</w:t>
      </w:r>
    </w:p>
    <w:p w:rsidR="00C657FB" w:rsidRPr="00394FD3" w:rsidRDefault="00C745DB" w:rsidP="00C657FB">
      <w:r>
        <w:rPr>
          <w:b/>
        </w:rPr>
        <w:t xml:space="preserve">Review </w:t>
      </w:r>
      <w:r w:rsidR="00C657FB" w:rsidRPr="00123C3E">
        <w:rPr>
          <w:b/>
        </w:rPr>
        <w:t>Completion Date:</w:t>
      </w:r>
      <w:r w:rsidR="00C657FB">
        <w:rPr>
          <w:b/>
        </w:rPr>
        <w:t xml:space="preserve"> </w:t>
      </w:r>
      <w:r w:rsidR="00B161AC">
        <w:rPr>
          <w:color w:val="000000"/>
        </w:rPr>
        <w:t>30 May 2014</w:t>
      </w:r>
      <w:r w:rsidR="003645BF" w:rsidRPr="00F277AE">
        <w:rPr>
          <w:color w:val="000000"/>
        </w:rPr>
        <w:t>.</w:t>
      </w:r>
    </w:p>
    <w:p w:rsidR="003645BF" w:rsidRDefault="00C745DB" w:rsidP="00C657FB">
      <w:pPr>
        <w:rPr>
          <w:b/>
        </w:rPr>
      </w:pPr>
      <w:r>
        <w:rPr>
          <w:b/>
        </w:rPr>
        <w:t xml:space="preserve">Review </w:t>
      </w:r>
      <w:r w:rsidR="00C657FB" w:rsidRPr="00123C3E">
        <w:rPr>
          <w:b/>
        </w:rPr>
        <w:t>Team:</w:t>
      </w:r>
      <w:r w:rsidR="00C657FB">
        <w:rPr>
          <w:b/>
        </w:rPr>
        <w:t xml:space="preserve"> </w:t>
      </w:r>
    </w:p>
    <w:p w:rsidR="003645BF" w:rsidRDefault="003645BF" w:rsidP="00B161AC">
      <w:pPr>
        <w:numPr>
          <w:ilvl w:val="0"/>
          <w:numId w:val="11"/>
        </w:numPr>
        <w:rPr>
          <w:color w:val="000000"/>
        </w:rPr>
      </w:pPr>
      <w:r>
        <w:rPr>
          <w:color w:val="000000"/>
        </w:rPr>
        <w:t>Dr Linda Kelly</w:t>
      </w:r>
      <w:r w:rsidR="00C745DB">
        <w:rPr>
          <w:color w:val="000000"/>
        </w:rPr>
        <w:t>, Team Leader</w:t>
      </w:r>
    </w:p>
    <w:p w:rsidR="003645BF" w:rsidRDefault="003645BF" w:rsidP="00B161AC">
      <w:pPr>
        <w:numPr>
          <w:ilvl w:val="0"/>
          <w:numId w:val="11"/>
        </w:numPr>
        <w:rPr>
          <w:color w:val="000000"/>
        </w:rPr>
      </w:pPr>
      <w:r>
        <w:rPr>
          <w:color w:val="000000"/>
        </w:rPr>
        <w:t xml:space="preserve">Ms </w:t>
      </w:r>
      <w:proofErr w:type="spellStart"/>
      <w:r>
        <w:rPr>
          <w:color w:val="000000"/>
        </w:rPr>
        <w:t>Bivitri</w:t>
      </w:r>
      <w:proofErr w:type="spellEnd"/>
      <w:r>
        <w:rPr>
          <w:color w:val="000000"/>
        </w:rPr>
        <w:t xml:space="preserve"> </w:t>
      </w:r>
      <w:proofErr w:type="spellStart"/>
      <w:r>
        <w:rPr>
          <w:color w:val="000000"/>
        </w:rPr>
        <w:t>Susanti</w:t>
      </w:r>
      <w:proofErr w:type="spellEnd"/>
      <w:r>
        <w:rPr>
          <w:color w:val="000000"/>
        </w:rPr>
        <w:t>, Indonesian Law and Justice Expert</w:t>
      </w:r>
    </w:p>
    <w:p w:rsidR="003645BF" w:rsidRDefault="00A92FBE" w:rsidP="00035354">
      <w:pPr>
        <w:pStyle w:val="Heading2"/>
        <w:spacing w:before="360"/>
        <w:rPr>
          <w:color w:val="000000"/>
        </w:rPr>
      </w:pPr>
      <w:r>
        <w:rPr>
          <w:color w:val="000000"/>
        </w:rPr>
        <w:t>Key m</w:t>
      </w:r>
      <w:r w:rsidR="003645BF">
        <w:rPr>
          <w:color w:val="000000"/>
        </w:rPr>
        <w:t>essages</w:t>
      </w:r>
    </w:p>
    <w:p w:rsidR="003645BF" w:rsidRDefault="003645BF" w:rsidP="00B161AC">
      <w:pPr>
        <w:numPr>
          <w:ilvl w:val="0"/>
          <w:numId w:val="12"/>
        </w:numPr>
        <w:spacing w:line="276" w:lineRule="auto"/>
        <w:rPr>
          <w:lang w:eastAsia="en-AU"/>
        </w:rPr>
      </w:pPr>
      <w:r>
        <w:rPr>
          <w:lang w:eastAsia="en-AU"/>
        </w:rPr>
        <w:t xml:space="preserve">Australia’s support to law and justice is relevant to both </w:t>
      </w:r>
      <w:r w:rsidR="005C62C0">
        <w:rPr>
          <w:lang w:eastAsia="en-AU"/>
        </w:rPr>
        <w:t xml:space="preserve">Australia and Indonesia </w:t>
      </w:r>
      <w:r>
        <w:rPr>
          <w:lang w:eastAsia="en-AU"/>
        </w:rPr>
        <w:t xml:space="preserve">as it promotes stability, increased access to services, and certainty for investors. </w:t>
      </w:r>
      <w:r w:rsidR="002D0F74">
        <w:rPr>
          <w:lang w:eastAsia="en-AU"/>
        </w:rPr>
        <w:t>AIPJ</w:t>
      </w:r>
      <w:r>
        <w:rPr>
          <w:lang w:eastAsia="en-AU"/>
        </w:rPr>
        <w:t xml:space="preserve"> is an effective program, making a considerable contribution to access to justice in Indonesia. The program is delivering tangible results, and is facilitating productive and sustainable partnerships between Australian and Indonesian judicial institutions, </w:t>
      </w:r>
      <w:r w:rsidR="005C62C0">
        <w:rPr>
          <w:lang w:eastAsia="en-AU"/>
        </w:rPr>
        <w:t>civil society organisations and disabled people’s organisations. Similarly, the Prison Reform Program</w:t>
      </w:r>
      <w:r>
        <w:rPr>
          <w:lang w:eastAsia="en-AU"/>
        </w:rPr>
        <w:t xml:space="preserve"> </w:t>
      </w:r>
      <w:r w:rsidR="005C62C0">
        <w:rPr>
          <w:lang w:eastAsia="en-AU"/>
        </w:rPr>
        <w:t>has well-articulated goals and is making good progress toward achieving them before its conclusion in December 2015.</w:t>
      </w:r>
    </w:p>
    <w:p w:rsidR="003645BF" w:rsidRDefault="003645BF" w:rsidP="00B161AC">
      <w:pPr>
        <w:numPr>
          <w:ilvl w:val="0"/>
          <w:numId w:val="12"/>
        </w:numPr>
        <w:spacing w:line="276" w:lineRule="auto"/>
        <w:rPr>
          <w:lang w:eastAsia="en-AU"/>
        </w:rPr>
      </w:pPr>
      <w:r>
        <w:rPr>
          <w:lang w:eastAsia="en-AU"/>
        </w:rPr>
        <w:t xml:space="preserve">The changes to the management structure of </w:t>
      </w:r>
      <w:r w:rsidR="005C62C0">
        <w:rPr>
          <w:lang w:eastAsia="en-AU"/>
        </w:rPr>
        <w:t>AIPJ</w:t>
      </w:r>
      <w:r>
        <w:rPr>
          <w:lang w:eastAsia="en-AU"/>
        </w:rPr>
        <w:t xml:space="preserve">, emerging from the 2012 </w:t>
      </w:r>
      <w:r w:rsidR="005C62C0">
        <w:rPr>
          <w:lang w:eastAsia="en-AU"/>
        </w:rPr>
        <w:t>independent progress review</w:t>
      </w:r>
      <w:r>
        <w:rPr>
          <w:lang w:eastAsia="en-AU"/>
        </w:rPr>
        <w:t xml:space="preserve">, have resulted in significant improvements in program operation. </w:t>
      </w:r>
      <w:r w:rsidR="005C62C0">
        <w:rPr>
          <w:lang w:eastAsia="en-AU"/>
        </w:rPr>
        <w:t xml:space="preserve">For example, the opening of three provisional offices </w:t>
      </w:r>
      <w:r w:rsidR="004A5A65">
        <w:rPr>
          <w:lang w:eastAsia="en-AU"/>
        </w:rPr>
        <w:t>has facilitated the development of</w:t>
      </w:r>
      <w:r w:rsidR="005C62C0">
        <w:rPr>
          <w:lang w:eastAsia="en-AU"/>
        </w:rPr>
        <w:t xml:space="preserve"> effective</w:t>
      </w:r>
      <w:r w:rsidR="004A5A65">
        <w:rPr>
          <w:lang w:eastAsia="en-AU"/>
        </w:rPr>
        <w:t xml:space="preserve"> local networks</w:t>
      </w:r>
      <w:r w:rsidR="005C62C0">
        <w:rPr>
          <w:lang w:eastAsia="en-AU"/>
        </w:rPr>
        <w:t>,</w:t>
      </w:r>
      <w:r w:rsidR="004A5A65">
        <w:rPr>
          <w:lang w:eastAsia="en-AU"/>
        </w:rPr>
        <w:t xml:space="preserve"> </w:t>
      </w:r>
      <w:r w:rsidR="005C62C0">
        <w:rPr>
          <w:lang w:eastAsia="en-AU"/>
        </w:rPr>
        <w:t>improving implementation on the ground and feeding important lessons back up to the national level.</w:t>
      </w:r>
    </w:p>
    <w:p w:rsidR="003406B3" w:rsidRDefault="003645BF" w:rsidP="003406B3">
      <w:pPr>
        <w:numPr>
          <w:ilvl w:val="0"/>
          <w:numId w:val="12"/>
        </w:numPr>
        <w:spacing w:line="276" w:lineRule="auto"/>
        <w:rPr>
          <w:lang w:eastAsia="en-AU"/>
        </w:rPr>
      </w:pPr>
      <w:r>
        <w:rPr>
          <w:lang w:eastAsia="en-AU"/>
        </w:rPr>
        <w:t>AIPJ is consistently not well understood by many stakeholders</w:t>
      </w:r>
      <w:r w:rsidR="003406B3">
        <w:rPr>
          <w:lang w:eastAsia="en-AU"/>
        </w:rPr>
        <w:t xml:space="preserve"> and lacks a metanarrative that links its different parts together in a simple manner. Within some parts of the program, such as activities relating to anti-corruption, gender equality and the rights of children, good work is being undertaken without the support of a coherent strategy or narrative.</w:t>
      </w:r>
    </w:p>
    <w:p w:rsidR="005C62C0" w:rsidRDefault="003406B3" w:rsidP="00B161AC">
      <w:pPr>
        <w:numPr>
          <w:ilvl w:val="0"/>
          <w:numId w:val="12"/>
        </w:numPr>
        <w:spacing w:line="276" w:lineRule="auto"/>
        <w:rPr>
          <w:lang w:eastAsia="en-AU"/>
        </w:rPr>
      </w:pPr>
      <w:r>
        <w:rPr>
          <w:lang w:eastAsia="en-AU"/>
        </w:rPr>
        <w:t xml:space="preserve">While more work remains to be done in the area, </w:t>
      </w:r>
      <w:r w:rsidR="005C62C0">
        <w:rPr>
          <w:lang w:eastAsia="en-AU"/>
        </w:rPr>
        <w:t>AIPJ</w:t>
      </w:r>
      <w:r>
        <w:rPr>
          <w:lang w:eastAsia="en-AU"/>
        </w:rPr>
        <w:t xml:space="preserve"> has achieved clear and obvious gains in support of the rights of people with disability in Indonesia.</w:t>
      </w:r>
    </w:p>
    <w:p w:rsidR="003406B3" w:rsidRDefault="005C62C0" w:rsidP="005C62C0">
      <w:pPr>
        <w:numPr>
          <w:ilvl w:val="0"/>
          <w:numId w:val="12"/>
        </w:numPr>
        <w:spacing w:line="276" w:lineRule="auto"/>
        <w:rPr>
          <w:lang w:eastAsia="en-AU"/>
        </w:rPr>
      </w:pPr>
      <w:r>
        <w:rPr>
          <w:lang w:eastAsia="en-AU"/>
        </w:rPr>
        <w:t>To take advantage of the relationships and reform momentum generated through AIPJ and the Prison Reform Program, Australia should consider investing in a further phase of assistance in the sector beyond the conclusion of the current phase in December 2015</w:t>
      </w:r>
      <w:r w:rsidR="003D7882">
        <w:rPr>
          <w:lang w:eastAsia="en-AU"/>
        </w:rPr>
        <w:t>.</w:t>
      </w:r>
    </w:p>
    <w:p w:rsidR="005E3939" w:rsidRPr="00E3163F" w:rsidRDefault="003406B3" w:rsidP="00E3163F">
      <w:pPr>
        <w:pStyle w:val="Heading2"/>
        <w:spacing w:before="360"/>
        <w:rPr>
          <w:color w:val="000000"/>
        </w:rPr>
      </w:pPr>
      <w:r w:rsidRPr="00E3163F">
        <w:rPr>
          <w:color w:val="000000"/>
        </w:rPr>
        <w:t>DFAT</w:t>
      </w:r>
      <w:r w:rsidR="00367DA3" w:rsidRPr="00E3163F">
        <w:rPr>
          <w:color w:val="000000"/>
        </w:rPr>
        <w:t xml:space="preserve">’s response to the </w:t>
      </w:r>
      <w:r w:rsidR="00E80D0F" w:rsidRPr="00E3163F">
        <w:rPr>
          <w:color w:val="000000"/>
        </w:rPr>
        <w:t>R</w:t>
      </w:r>
      <w:r w:rsidR="00A92FBE" w:rsidRPr="00E3163F">
        <w:rPr>
          <w:color w:val="000000"/>
        </w:rPr>
        <w:t>eview</w:t>
      </w:r>
    </w:p>
    <w:p w:rsidR="003406B3" w:rsidRDefault="001B6E21" w:rsidP="00B161AC">
      <w:pPr>
        <w:pStyle w:val="ListParagraph"/>
        <w:numPr>
          <w:ilvl w:val="0"/>
          <w:numId w:val="7"/>
        </w:numPr>
        <w:rPr>
          <w:color w:val="000000"/>
        </w:rPr>
      </w:pPr>
      <w:r w:rsidRPr="00DD092C">
        <w:rPr>
          <w:color w:val="000000"/>
        </w:rPr>
        <w:t>DFAT agrees to all recommendations in</w:t>
      </w:r>
      <w:r w:rsidRPr="003645BF">
        <w:rPr>
          <w:color w:val="000000"/>
        </w:rPr>
        <w:t xml:space="preserve"> the </w:t>
      </w:r>
      <w:r w:rsidR="00E80D0F">
        <w:rPr>
          <w:color w:val="000000"/>
        </w:rPr>
        <w:t>Independent Progress Review</w:t>
      </w:r>
      <w:r w:rsidR="003406B3">
        <w:rPr>
          <w:color w:val="000000"/>
        </w:rPr>
        <w:t>.</w:t>
      </w:r>
    </w:p>
    <w:p w:rsidR="003406B3" w:rsidRDefault="003406B3" w:rsidP="003406B3">
      <w:pPr>
        <w:pStyle w:val="ListParagraph"/>
        <w:ind w:left="360"/>
        <w:rPr>
          <w:color w:val="000000"/>
        </w:rPr>
      </w:pPr>
    </w:p>
    <w:p w:rsidR="00457E11" w:rsidRDefault="001B6E21" w:rsidP="00B161AC">
      <w:pPr>
        <w:pStyle w:val="ListParagraph"/>
        <w:numPr>
          <w:ilvl w:val="0"/>
          <w:numId w:val="7"/>
        </w:numPr>
        <w:rPr>
          <w:color w:val="000000"/>
        </w:rPr>
      </w:pPr>
      <w:r w:rsidRPr="003645BF">
        <w:rPr>
          <w:color w:val="000000"/>
        </w:rPr>
        <w:t xml:space="preserve">DFAT is working with the </w:t>
      </w:r>
      <w:r w:rsidR="009B02E5">
        <w:rPr>
          <w:color w:val="000000"/>
        </w:rPr>
        <w:t>Government of Indonesia and</w:t>
      </w:r>
      <w:r w:rsidR="003406B3">
        <w:rPr>
          <w:color w:val="000000"/>
        </w:rPr>
        <w:t xml:space="preserve"> implementing partners </w:t>
      </w:r>
      <w:r w:rsidRPr="003645BF">
        <w:rPr>
          <w:color w:val="000000"/>
        </w:rPr>
        <w:t>to implement recommend</w:t>
      </w:r>
      <w:r w:rsidR="00F2417A">
        <w:rPr>
          <w:color w:val="000000"/>
        </w:rPr>
        <w:t>ations</w:t>
      </w:r>
      <w:r w:rsidR="003406B3">
        <w:rPr>
          <w:color w:val="000000"/>
        </w:rPr>
        <w:t xml:space="preserve"> that are relevant to the current phase of Australia’s law and justice </w:t>
      </w:r>
      <w:r w:rsidR="00E80D0F">
        <w:rPr>
          <w:color w:val="000000"/>
        </w:rPr>
        <w:t xml:space="preserve">assistance in Indonesia </w:t>
      </w:r>
      <w:r w:rsidR="003406B3">
        <w:rPr>
          <w:color w:val="000000"/>
        </w:rPr>
        <w:t>(due to conclude in December 2015).</w:t>
      </w:r>
    </w:p>
    <w:p w:rsidR="003406B3" w:rsidRPr="003406B3" w:rsidRDefault="003406B3" w:rsidP="003406B3">
      <w:pPr>
        <w:pStyle w:val="ListParagraph"/>
        <w:rPr>
          <w:color w:val="000000"/>
        </w:rPr>
      </w:pPr>
    </w:p>
    <w:p w:rsidR="003406B3" w:rsidRDefault="00072CA7" w:rsidP="00B161AC">
      <w:pPr>
        <w:pStyle w:val="ListParagraph"/>
        <w:numPr>
          <w:ilvl w:val="0"/>
          <w:numId w:val="7"/>
        </w:numPr>
        <w:rPr>
          <w:color w:val="000000"/>
        </w:rPr>
      </w:pPr>
      <w:r>
        <w:rPr>
          <w:rFonts w:cs="Arial"/>
        </w:rPr>
        <w:t>Subject to budget availability and approval processes</w:t>
      </w:r>
      <w:r w:rsidR="00A92FBE">
        <w:rPr>
          <w:color w:val="000000"/>
        </w:rPr>
        <w:t xml:space="preserve">, DFAT will design a second phase of AIPJ. This will likely commence in early 2016 and incorporate continued assistance to improve </w:t>
      </w:r>
      <w:r w:rsidR="00F61020">
        <w:rPr>
          <w:color w:val="000000"/>
        </w:rPr>
        <w:t xml:space="preserve">correctional </w:t>
      </w:r>
      <w:r w:rsidR="00A92FBE">
        <w:rPr>
          <w:color w:val="000000"/>
        </w:rPr>
        <w:t>services. The design of this assistance will be informed by the findings and recommendations of the independent progress review.</w:t>
      </w:r>
    </w:p>
    <w:p w:rsidR="003645BF" w:rsidRDefault="003645BF" w:rsidP="000D316D">
      <w:pPr>
        <w:rPr>
          <w:b/>
          <w:sz w:val="22"/>
          <w:szCs w:val="22"/>
          <w:lang w:eastAsia="en-AU"/>
        </w:rPr>
        <w:sectPr w:rsidR="003645BF" w:rsidSect="00054700">
          <w:headerReference w:type="default" r:id="rId12"/>
          <w:footerReference w:type="default" r:id="rId13"/>
          <w:pgSz w:w="11906" w:h="16838"/>
          <w:pgMar w:top="1134" w:right="1134" w:bottom="1134" w:left="1134" w:header="567" w:footer="601" w:gutter="0"/>
          <w:cols w:space="708"/>
          <w:docGrid w:linePitch="360"/>
        </w:sectPr>
      </w:pPr>
    </w:p>
    <w:p w:rsidR="00C657FB" w:rsidRPr="008B3156" w:rsidRDefault="00016326" w:rsidP="000D316D">
      <w:pPr>
        <w:rPr>
          <w:b/>
          <w:sz w:val="22"/>
          <w:szCs w:val="22"/>
          <w:lang w:eastAsia="en-AU"/>
        </w:rPr>
      </w:pPr>
      <w:r>
        <w:rPr>
          <w:b/>
          <w:sz w:val="22"/>
          <w:szCs w:val="22"/>
          <w:lang w:eastAsia="en-AU"/>
        </w:rPr>
        <w:lastRenderedPageBreak/>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ommendations made in the</w:t>
      </w:r>
      <w:r w:rsidR="00E80D0F">
        <w:rPr>
          <w:b/>
          <w:sz w:val="22"/>
          <w:szCs w:val="22"/>
          <w:lang w:eastAsia="en-AU"/>
        </w:rPr>
        <w:t xml:space="preserve"> Review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369"/>
        <w:gridCol w:w="1417"/>
        <w:gridCol w:w="7513"/>
        <w:gridCol w:w="1701"/>
      </w:tblGrid>
      <w:tr w:rsidR="00E72C76" w:rsidRPr="00E6298A" w:rsidTr="00E72C76">
        <w:trPr>
          <w:cantSplit/>
          <w:trHeight w:val="1049"/>
        </w:trPr>
        <w:tc>
          <w:tcPr>
            <w:tcW w:w="3369" w:type="dxa"/>
            <w:shd w:val="clear" w:color="auto" w:fill="FFEC9B"/>
            <w:vAlign w:val="center"/>
          </w:tcPr>
          <w:p w:rsidR="00E72C76" w:rsidRPr="00E6298A" w:rsidRDefault="00E72C76" w:rsidP="001467C6">
            <w:pPr>
              <w:pStyle w:val="Heading2"/>
              <w:spacing w:before="120" w:after="120"/>
              <w:jc w:val="center"/>
              <w:rPr>
                <w:sz w:val="20"/>
                <w:szCs w:val="20"/>
              </w:rPr>
            </w:pPr>
            <w:r w:rsidRPr="00E6298A">
              <w:rPr>
                <w:sz w:val="20"/>
                <w:szCs w:val="20"/>
              </w:rPr>
              <w:t>Recommendation</w:t>
            </w:r>
          </w:p>
        </w:tc>
        <w:tc>
          <w:tcPr>
            <w:tcW w:w="1417" w:type="dxa"/>
            <w:tcBorders>
              <w:right w:val="single" w:sz="4" w:space="0" w:color="auto"/>
            </w:tcBorders>
            <w:shd w:val="clear" w:color="auto" w:fill="FFEC9B"/>
            <w:vAlign w:val="center"/>
          </w:tcPr>
          <w:p w:rsidR="00E72C76" w:rsidRPr="00E6298A" w:rsidRDefault="00E72C76" w:rsidP="001467C6">
            <w:pPr>
              <w:spacing w:after="120"/>
              <w:jc w:val="center"/>
              <w:rPr>
                <w:rFonts w:cs="Arial"/>
                <w:b/>
                <w:szCs w:val="20"/>
              </w:rPr>
            </w:pPr>
            <w:r w:rsidRPr="00E6298A">
              <w:rPr>
                <w:rFonts w:cs="Arial"/>
                <w:b/>
                <w:szCs w:val="20"/>
              </w:rPr>
              <w:t>Response</w:t>
            </w:r>
          </w:p>
        </w:tc>
        <w:tc>
          <w:tcPr>
            <w:tcW w:w="7513" w:type="dxa"/>
            <w:tcBorders>
              <w:left w:val="single" w:sz="4" w:space="0" w:color="auto"/>
            </w:tcBorders>
            <w:shd w:val="clear" w:color="auto" w:fill="FFEC9B"/>
            <w:vAlign w:val="center"/>
          </w:tcPr>
          <w:p w:rsidR="00E72C76" w:rsidRPr="00E6298A" w:rsidRDefault="00E72C76" w:rsidP="001467C6">
            <w:pPr>
              <w:spacing w:after="120"/>
              <w:jc w:val="center"/>
              <w:rPr>
                <w:rFonts w:cs="Arial"/>
                <w:b/>
                <w:szCs w:val="20"/>
              </w:rPr>
            </w:pPr>
            <w:r w:rsidRPr="00E6298A">
              <w:rPr>
                <w:rFonts w:cs="Arial"/>
                <w:b/>
                <w:szCs w:val="20"/>
              </w:rPr>
              <w:t>Actions</w:t>
            </w:r>
          </w:p>
        </w:tc>
        <w:tc>
          <w:tcPr>
            <w:tcW w:w="1701" w:type="dxa"/>
            <w:tcBorders>
              <w:left w:val="single" w:sz="4" w:space="0" w:color="auto"/>
            </w:tcBorders>
            <w:shd w:val="clear" w:color="auto" w:fill="FFEC9B"/>
            <w:vAlign w:val="center"/>
          </w:tcPr>
          <w:p w:rsidR="00E72C76" w:rsidRPr="00E6298A" w:rsidRDefault="00E72C76" w:rsidP="001467C6">
            <w:pPr>
              <w:spacing w:after="120"/>
              <w:jc w:val="center"/>
              <w:rPr>
                <w:rFonts w:cs="Arial"/>
                <w:szCs w:val="20"/>
              </w:rPr>
            </w:pPr>
            <w:r w:rsidRPr="00E6298A">
              <w:rPr>
                <w:b/>
                <w:szCs w:val="20"/>
              </w:rPr>
              <w:t>Responsibility</w:t>
            </w:r>
          </w:p>
        </w:tc>
      </w:tr>
      <w:tr w:rsidR="00E72C76" w:rsidRPr="00F43CEC" w:rsidTr="00E72C76">
        <w:trPr>
          <w:cantSplit/>
          <w:trHeight w:val="1951"/>
        </w:trPr>
        <w:tc>
          <w:tcPr>
            <w:tcW w:w="3369" w:type="dxa"/>
            <w:shd w:val="clear" w:color="auto" w:fill="auto"/>
          </w:tcPr>
          <w:p w:rsidR="00E72C76" w:rsidRPr="00301DB2" w:rsidRDefault="00E72C76" w:rsidP="00301DB2">
            <w:pPr>
              <w:pStyle w:val="ListParagraph"/>
              <w:numPr>
                <w:ilvl w:val="0"/>
                <w:numId w:val="13"/>
              </w:numPr>
              <w:ind w:left="284"/>
              <w:rPr>
                <w:b/>
              </w:rPr>
            </w:pPr>
            <w:r w:rsidRPr="007C202E">
              <w:rPr>
                <w:lang w:eastAsia="en-AU"/>
              </w:rPr>
              <w:t xml:space="preserve">A review of the AIPJ strategy for support for anti-corruption </w:t>
            </w:r>
            <w:proofErr w:type="gramStart"/>
            <w:r w:rsidRPr="007C202E">
              <w:rPr>
                <w:lang w:eastAsia="en-AU"/>
              </w:rPr>
              <w:t>be</w:t>
            </w:r>
            <w:proofErr w:type="gramEnd"/>
            <w:r w:rsidRPr="007C202E">
              <w:rPr>
                <w:lang w:eastAsia="en-AU"/>
              </w:rPr>
              <w:t xml:space="preserve"> undertaken prior to further development of activities and strategies in this area.</w:t>
            </w:r>
          </w:p>
        </w:tc>
        <w:tc>
          <w:tcPr>
            <w:tcW w:w="1417" w:type="dxa"/>
            <w:tcBorders>
              <w:right w:val="single" w:sz="4" w:space="0" w:color="auto"/>
            </w:tcBorders>
            <w:shd w:val="clear" w:color="auto" w:fill="auto"/>
          </w:tcPr>
          <w:p w:rsidR="00E72C76" w:rsidRPr="00F43CEC" w:rsidRDefault="00E72C76" w:rsidP="00CF324D">
            <w:pPr>
              <w:spacing w:after="120"/>
              <w:rPr>
                <w:rFonts w:cs="Arial"/>
              </w:rPr>
            </w:pPr>
            <w:r>
              <w:rPr>
                <w:rFonts w:cs="Arial"/>
              </w:rPr>
              <w:t>Agree.</w:t>
            </w:r>
          </w:p>
        </w:tc>
        <w:tc>
          <w:tcPr>
            <w:tcW w:w="7513" w:type="dxa"/>
            <w:tcBorders>
              <w:left w:val="single" w:sz="4" w:space="0" w:color="auto"/>
            </w:tcBorders>
            <w:shd w:val="clear" w:color="auto" w:fill="auto"/>
          </w:tcPr>
          <w:p w:rsidR="00E72C76" w:rsidRPr="00F43CEC" w:rsidRDefault="009B02E5" w:rsidP="009B02E5">
            <w:pPr>
              <w:spacing w:after="120"/>
              <w:rPr>
                <w:rFonts w:cs="Arial"/>
              </w:rPr>
            </w:pPr>
            <w:r>
              <w:rPr>
                <w:rFonts w:cs="Arial"/>
              </w:rPr>
              <w:t xml:space="preserve">AIPJ will review its anti-corruption strategy by the end of 2014, including through an assessment of the results of assistance to the Attorney General’s Office and the likely impact of plans to recruit anti-corruption lawyers at the sub-national level in support of the World Bank’s Justice for the Poor program. </w:t>
            </w:r>
          </w:p>
        </w:tc>
        <w:tc>
          <w:tcPr>
            <w:tcW w:w="1701" w:type="dxa"/>
            <w:tcBorders>
              <w:left w:val="single" w:sz="4" w:space="0" w:color="auto"/>
            </w:tcBorders>
            <w:shd w:val="clear" w:color="auto" w:fill="auto"/>
          </w:tcPr>
          <w:p w:rsidR="00E72C76" w:rsidRPr="00F43CEC" w:rsidRDefault="00E72C76" w:rsidP="00632714">
            <w:pPr>
              <w:spacing w:after="120"/>
              <w:rPr>
                <w:rFonts w:cs="Arial"/>
              </w:rPr>
            </w:pPr>
            <w:proofErr w:type="spellStart"/>
            <w:r>
              <w:rPr>
                <w:rFonts w:cs="Arial"/>
              </w:rPr>
              <w:t>Cardno</w:t>
            </w:r>
            <w:proofErr w:type="spellEnd"/>
            <w:r>
              <w:rPr>
                <w:rFonts w:cs="Arial"/>
              </w:rPr>
              <w:t xml:space="preserve">. </w:t>
            </w:r>
          </w:p>
        </w:tc>
      </w:tr>
      <w:tr w:rsidR="00E72C76" w:rsidRPr="00F43CEC" w:rsidTr="00E72C76">
        <w:trPr>
          <w:cantSplit/>
          <w:trHeight w:val="1951"/>
        </w:trPr>
        <w:tc>
          <w:tcPr>
            <w:tcW w:w="3369" w:type="dxa"/>
            <w:shd w:val="clear" w:color="auto" w:fill="auto"/>
          </w:tcPr>
          <w:p w:rsidR="00E72C76" w:rsidRDefault="00E72C76" w:rsidP="00B161AC">
            <w:pPr>
              <w:pStyle w:val="ListParagraph"/>
              <w:numPr>
                <w:ilvl w:val="0"/>
                <w:numId w:val="13"/>
              </w:numPr>
              <w:ind w:left="284"/>
              <w:rPr>
                <w:lang w:eastAsia="en-AU"/>
              </w:rPr>
            </w:pPr>
            <w:r>
              <w:rPr>
                <w:lang w:eastAsia="en-AU"/>
              </w:rPr>
              <w:t xml:space="preserve">Consideration </w:t>
            </w:r>
            <w:proofErr w:type="gramStart"/>
            <w:r>
              <w:rPr>
                <w:lang w:eastAsia="en-AU"/>
              </w:rPr>
              <w:t>be</w:t>
            </w:r>
            <w:proofErr w:type="gramEnd"/>
            <w:r>
              <w:rPr>
                <w:lang w:eastAsia="en-AU"/>
              </w:rPr>
              <w:t xml:space="preserve"> given to the best location for the work on legal identity and/or some work undertaken to explore the synergies between this work and other frontline service delivery.</w:t>
            </w:r>
          </w:p>
          <w:p w:rsidR="00E72C76" w:rsidRPr="00EE3DE1" w:rsidRDefault="00E72C76" w:rsidP="003645BF">
            <w:pPr>
              <w:rPr>
                <w:lang w:eastAsia="en-AU"/>
              </w:rPr>
            </w:pPr>
          </w:p>
        </w:tc>
        <w:tc>
          <w:tcPr>
            <w:tcW w:w="1417" w:type="dxa"/>
            <w:tcBorders>
              <w:right w:val="single" w:sz="4" w:space="0" w:color="auto"/>
            </w:tcBorders>
            <w:shd w:val="clear" w:color="auto" w:fill="auto"/>
          </w:tcPr>
          <w:p w:rsidR="00E72C76" w:rsidRPr="00F43CEC" w:rsidRDefault="00E72C76" w:rsidP="00746BCA">
            <w:pPr>
              <w:spacing w:after="120"/>
              <w:rPr>
                <w:rFonts w:cs="Arial"/>
              </w:rPr>
            </w:pPr>
            <w:r>
              <w:rPr>
                <w:rFonts w:cs="Arial"/>
              </w:rPr>
              <w:t>Agree.</w:t>
            </w:r>
          </w:p>
        </w:tc>
        <w:tc>
          <w:tcPr>
            <w:tcW w:w="7513" w:type="dxa"/>
            <w:tcBorders>
              <w:left w:val="single" w:sz="4" w:space="0" w:color="auto"/>
            </w:tcBorders>
            <w:shd w:val="clear" w:color="auto" w:fill="auto"/>
          </w:tcPr>
          <w:p w:rsidR="00E72C76" w:rsidRPr="00F43CEC" w:rsidRDefault="00E72C76" w:rsidP="00686AFB">
            <w:pPr>
              <w:spacing w:after="120"/>
              <w:rPr>
                <w:rFonts w:cs="Arial"/>
              </w:rPr>
            </w:pPr>
            <w:r>
              <w:rPr>
                <w:rFonts w:cs="Arial"/>
              </w:rPr>
              <w:t xml:space="preserve">DFAT will continue to invest in access to legal identity, </w:t>
            </w:r>
            <w:r w:rsidR="007D1A90">
              <w:rPr>
                <w:rFonts w:cs="Arial"/>
              </w:rPr>
              <w:t>and</w:t>
            </w:r>
            <w:r>
              <w:rPr>
                <w:rFonts w:cs="Arial"/>
              </w:rPr>
              <w:t xml:space="preserve"> will consider by the end of </w:t>
            </w:r>
            <w:r w:rsidR="007D1A90">
              <w:rPr>
                <w:rFonts w:cs="Arial"/>
              </w:rPr>
              <w:t>2014 which program(s) should receive investment</w:t>
            </w:r>
            <w:r>
              <w:rPr>
                <w:rFonts w:cs="Arial"/>
              </w:rPr>
              <w:t>. DFAT’s preliminary assessment is that court-related legal identity (</w:t>
            </w:r>
            <w:proofErr w:type="spellStart"/>
            <w:r>
              <w:rPr>
                <w:rFonts w:cs="Arial"/>
              </w:rPr>
              <w:t>eg</w:t>
            </w:r>
            <w:proofErr w:type="spellEnd"/>
            <w:r>
              <w:rPr>
                <w:rFonts w:cs="Arial"/>
              </w:rPr>
              <w:t>. marriage and divorce certification) should remain part of DFAT’s justice assistance, while access to other forms of legal i</w:t>
            </w:r>
            <w:r w:rsidR="007D1A90">
              <w:rPr>
                <w:rFonts w:cs="Arial"/>
              </w:rPr>
              <w:t xml:space="preserve">dentity could be supported by </w:t>
            </w:r>
            <w:r>
              <w:rPr>
                <w:rFonts w:cs="Arial"/>
              </w:rPr>
              <w:t>other aid program</w:t>
            </w:r>
            <w:r w:rsidR="007D1A90">
              <w:rPr>
                <w:rFonts w:cs="Arial"/>
              </w:rPr>
              <w:t>s</w:t>
            </w:r>
            <w:r>
              <w:rPr>
                <w:rFonts w:cs="Arial"/>
              </w:rPr>
              <w:t xml:space="preserve"> in Indonesia. </w:t>
            </w:r>
          </w:p>
        </w:tc>
        <w:tc>
          <w:tcPr>
            <w:tcW w:w="1701" w:type="dxa"/>
            <w:tcBorders>
              <w:left w:val="single" w:sz="4" w:space="0" w:color="auto"/>
            </w:tcBorders>
            <w:shd w:val="clear" w:color="auto" w:fill="auto"/>
          </w:tcPr>
          <w:p w:rsidR="00E72C76" w:rsidRPr="00F43CEC" w:rsidRDefault="00E72C76" w:rsidP="00CF331D">
            <w:pPr>
              <w:spacing w:after="120"/>
              <w:rPr>
                <w:rFonts w:cs="Arial"/>
              </w:rPr>
            </w:pPr>
            <w:r>
              <w:rPr>
                <w:rFonts w:cs="Arial"/>
              </w:rPr>
              <w:t xml:space="preserve">DFAT. </w:t>
            </w:r>
          </w:p>
        </w:tc>
      </w:tr>
      <w:tr w:rsidR="00E72C76" w:rsidRPr="00F43CEC" w:rsidTr="00E72C76">
        <w:trPr>
          <w:cantSplit/>
          <w:trHeight w:val="1838"/>
        </w:trPr>
        <w:tc>
          <w:tcPr>
            <w:tcW w:w="3369" w:type="dxa"/>
            <w:shd w:val="clear" w:color="auto" w:fill="auto"/>
          </w:tcPr>
          <w:p w:rsidR="00E72C76" w:rsidRPr="007C202E" w:rsidRDefault="00E72C76" w:rsidP="00B161AC">
            <w:pPr>
              <w:pStyle w:val="ListParagraph"/>
              <w:numPr>
                <w:ilvl w:val="0"/>
                <w:numId w:val="13"/>
              </w:numPr>
              <w:ind w:left="284"/>
              <w:rPr>
                <w:lang w:eastAsia="en-AU"/>
              </w:rPr>
            </w:pPr>
            <w:r w:rsidRPr="007C202E">
              <w:rPr>
                <w:lang w:eastAsia="en-AU"/>
              </w:rPr>
              <w:t>The work on prison reform should be continued but with further attention to the strategic impact and potential wider value of this work in justice reform e.g. in relation to juvenile justice.</w:t>
            </w:r>
          </w:p>
          <w:p w:rsidR="00E72C76" w:rsidRPr="007C202E" w:rsidRDefault="00E72C76" w:rsidP="003645BF">
            <w:pPr>
              <w:rPr>
                <w:lang w:eastAsia="en-AU"/>
              </w:rPr>
            </w:pPr>
          </w:p>
        </w:tc>
        <w:tc>
          <w:tcPr>
            <w:tcW w:w="1417" w:type="dxa"/>
            <w:tcBorders>
              <w:right w:val="single" w:sz="4" w:space="0" w:color="auto"/>
            </w:tcBorders>
            <w:shd w:val="clear" w:color="auto" w:fill="auto"/>
          </w:tcPr>
          <w:p w:rsidR="00E72C76" w:rsidRPr="007C202E" w:rsidRDefault="00072CA7" w:rsidP="00C263B2">
            <w:pPr>
              <w:spacing w:after="120"/>
              <w:rPr>
                <w:rFonts w:cs="Arial"/>
              </w:rPr>
            </w:pPr>
            <w:r>
              <w:rPr>
                <w:rFonts w:cs="Arial"/>
              </w:rPr>
              <w:t>Agree, subject to budget availability and approval processes.</w:t>
            </w:r>
          </w:p>
          <w:p w:rsidR="00E72C76" w:rsidRPr="007C202E" w:rsidRDefault="00E72C76" w:rsidP="00C263B2">
            <w:pPr>
              <w:spacing w:after="120"/>
              <w:rPr>
                <w:rFonts w:cs="Arial"/>
              </w:rPr>
            </w:pPr>
          </w:p>
        </w:tc>
        <w:tc>
          <w:tcPr>
            <w:tcW w:w="7513" w:type="dxa"/>
            <w:tcBorders>
              <w:left w:val="single" w:sz="4" w:space="0" w:color="auto"/>
            </w:tcBorders>
            <w:shd w:val="clear" w:color="auto" w:fill="auto"/>
          </w:tcPr>
          <w:p w:rsidR="00E72C76" w:rsidRPr="00F43CEC" w:rsidRDefault="00072CA7" w:rsidP="00072CA7">
            <w:pPr>
              <w:spacing w:after="120"/>
              <w:rPr>
                <w:rFonts w:cs="Arial"/>
              </w:rPr>
            </w:pPr>
            <w:r>
              <w:rPr>
                <w:rFonts w:cs="Arial"/>
              </w:rPr>
              <w:t>Subject to budget availability and approval processes</w:t>
            </w:r>
            <w:r w:rsidR="00E72C76">
              <w:rPr>
                <w:rFonts w:cs="Arial"/>
              </w:rPr>
              <w:t xml:space="preserve">, DFAT will continue to fund corrective services reform as part of the next phase of </w:t>
            </w:r>
            <w:r w:rsidR="00686AFB">
              <w:rPr>
                <w:rFonts w:cs="Arial"/>
              </w:rPr>
              <w:t>AIPJ</w:t>
            </w:r>
            <w:r w:rsidR="00E72C76">
              <w:rPr>
                <w:rFonts w:cs="Arial"/>
              </w:rPr>
              <w:t xml:space="preserve"> from early 2016. This work will draw on lessons from a forthcoming DFAT-funded study, being undertaken by The Asia Foundation and the Overseas Development Institute, on pre-trial detention in Indonesia. This study will examine the broader, strategic impacts of pre-trial detention, inclu</w:t>
            </w:r>
            <w:r w:rsidR="007F6339">
              <w:rPr>
                <w:rFonts w:cs="Arial"/>
              </w:rPr>
              <w:t>ding its so</w:t>
            </w:r>
            <w:r w:rsidR="00E270CA">
              <w:rPr>
                <w:rFonts w:cs="Arial"/>
              </w:rPr>
              <w:t xml:space="preserve">cio-economic impacts. DFAT will also consider </w:t>
            </w:r>
            <w:r w:rsidR="007F6339">
              <w:rPr>
                <w:rFonts w:cs="Arial"/>
              </w:rPr>
              <w:t>link</w:t>
            </w:r>
            <w:r w:rsidR="00E270CA">
              <w:rPr>
                <w:rFonts w:cs="Arial"/>
              </w:rPr>
              <w:t>s and efficiencies between</w:t>
            </w:r>
            <w:r w:rsidR="007F6339">
              <w:rPr>
                <w:rFonts w:cs="Arial"/>
              </w:rPr>
              <w:t xml:space="preserve"> corrective services reform</w:t>
            </w:r>
            <w:r w:rsidR="00E270CA">
              <w:rPr>
                <w:rFonts w:cs="Arial"/>
              </w:rPr>
              <w:t xml:space="preserve"> efforts in the next phase of AIPJ and other DFAT de</w:t>
            </w:r>
            <w:r w:rsidR="00E270CA">
              <w:rPr>
                <w:rFonts w:cs="Arial"/>
              </w:rPr>
              <w:noBreakHyphen/>
            </w:r>
            <w:r w:rsidR="007F6339">
              <w:rPr>
                <w:rFonts w:cs="Arial"/>
              </w:rPr>
              <w:t>radicalisation and prisoner management</w:t>
            </w:r>
            <w:r w:rsidR="00E270CA">
              <w:rPr>
                <w:rFonts w:cs="Arial"/>
              </w:rPr>
              <w:t xml:space="preserve"> programs</w:t>
            </w:r>
            <w:r w:rsidR="007F6339">
              <w:rPr>
                <w:rFonts w:cs="Arial"/>
              </w:rPr>
              <w:t xml:space="preserve">. </w:t>
            </w:r>
          </w:p>
        </w:tc>
        <w:tc>
          <w:tcPr>
            <w:tcW w:w="1701" w:type="dxa"/>
            <w:tcBorders>
              <w:left w:val="single" w:sz="4" w:space="0" w:color="auto"/>
            </w:tcBorders>
            <w:shd w:val="clear" w:color="auto" w:fill="auto"/>
          </w:tcPr>
          <w:p w:rsidR="00E72C76" w:rsidRPr="00F43CEC" w:rsidRDefault="00E72C76" w:rsidP="00CF331D">
            <w:pPr>
              <w:spacing w:after="120"/>
              <w:rPr>
                <w:rFonts w:cs="Arial"/>
              </w:rPr>
            </w:pPr>
            <w:r>
              <w:rPr>
                <w:rFonts w:cs="Arial"/>
              </w:rPr>
              <w:t xml:space="preserve">DFAT. </w:t>
            </w:r>
          </w:p>
        </w:tc>
      </w:tr>
      <w:tr w:rsidR="00E72C76" w:rsidRPr="00F43CEC" w:rsidTr="00E72C76">
        <w:trPr>
          <w:cantSplit/>
          <w:trHeight w:val="1852"/>
        </w:trPr>
        <w:tc>
          <w:tcPr>
            <w:tcW w:w="3369" w:type="dxa"/>
            <w:shd w:val="clear" w:color="auto" w:fill="auto"/>
          </w:tcPr>
          <w:p w:rsidR="00E72C76" w:rsidRDefault="00E72C76" w:rsidP="00B161AC">
            <w:pPr>
              <w:pStyle w:val="ListParagraph"/>
              <w:numPr>
                <w:ilvl w:val="0"/>
                <w:numId w:val="13"/>
              </w:numPr>
              <w:ind w:left="284"/>
              <w:rPr>
                <w:lang w:eastAsia="en-AU"/>
              </w:rPr>
            </w:pPr>
            <w:r>
              <w:rPr>
                <w:lang w:eastAsia="en-AU"/>
              </w:rPr>
              <w:lastRenderedPageBreak/>
              <w:t>Further work is undertaken to clearly articulate the program meta-narrative and strategy and the relevance of this to the Indonesian law and justice sector and Australian government priorities.</w:t>
            </w:r>
          </w:p>
          <w:p w:rsidR="00E72C76" w:rsidRPr="00EE3DE1" w:rsidRDefault="00E72C76" w:rsidP="003645BF">
            <w:pPr>
              <w:rPr>
                <w:lang w:eastAsia="en-AU"/>
              </w:rPr>
            </w:pPr>
          </w:p>
        </w:tc>
        <w:tc>
          <w:tcPr>
            <w:tcW w:w="1417" w:type="dxa"/>
            <w:tcBorders>
              <w:right w:val="single" w:sz="4" w:space="0" w:color="auto"/>
            </w:tcBorders>
            <w:shd w:val="clear" w:color="auto" w:fill="auto"/>
          </w:tcPr>
          <w:p w:rsidR="00E72C76" w:rsidRPr="00F43CEC" w:rsidRDefault="00E72C76" w:rsidP="00746BCA">
            <w:pPr>
              <w:spacing w:after="120"/>
              <w:rPr>
                <w:rFonts w:cs="Arial"/>
              </w:rPr>
            </w:pPr>
            <w:r>
              <w:rPr>
                <w:rFonts w:cs="Arial"/>
              </w:rPr>
              <w:t>Agree.</w:t>
            </w:r>
          </w:p>
        </w:tc>
        <w:tc>
          <w:tcPr>
            <w:tcW w:w="7513" w:type="dxa"/>
            <w:tcBorders>
              <w:left w:val="single" w:sz="4" w:space="0" w:color="auto"/>
            </w:tcBorders>
            <w:shd w:val="clear" w:color="auto" w:fill="auto"/>
          </w:tcPr>
          <w:p w:rsidR="00E72C76" w:rsidRPr="00F43CEC" w:rsidRDefault="00E72C76" w:rsidP="00E96794">
            <w:pPr>
              <w:spacing w:after="120"/>
              <w:rPr>
                <w:rFonts w:cs="Arial"/>
              </w:rPr>
            </w:pPr>
            <w:r>
              <w:rPr>
                <w:rFonts w:cs="Arial"/>
              </w:rPr>
              <w:t>The design document for the proposed second phase of AIPJ, to be finalised by</w:t>
            </w:r>
            <w:r w:rsidR="005F1A93">
              <w:rPr>
                <w:rFonts w:cs="Arial"/>
              </w:rPr>
              <w:t xml:space="preserve"> DFAT teams in Canberra and Jakarta by</w:t>
            </w:r>
            <w:r>
              <w:rPr>
                <w:rFonts w:cs="Arial"/>
              </w:rPr>
              <w:t xml:space="preserve"> early 2015, will articulate a clear overarching narrative about why </w:t>
            </w:r>
            <w:r w:rsidR="00686AFB">
              <w:rPr>
                <w:rFonts w:cs="Arial"/>
              </w:rPr>
              <w:t>Australian investment in</w:t>
            </w:r>
            <w:r>
              <w:rPr>
                <w:rFonts w:cs="Arial"/>
              </w:rPr>
              <w:t xml:space="preserve"> law and justice is important for development in Indonesia and for Australia’s national interests.</w:t>
            </w:r>
          </w:p>
        </w:tc>
        <w:tc>
          <w:tcPr>
            <w:tcW w:w="1701" w:type="dxa"/>
            <w:tcBorders>
              <w:left w:val="single" w:sz="4" w:space="0" w:color="auto"/>
            </w:tcBorders>
            <w:shd w:val="clear" w:color="auto" w:fill="auto"/>
          </w:tcPr>
          <w:p w:rsidR="00E72C76" w:rsidRPr="00F43CEC" w:rsidRDefault="00E72C76" w:rsidP="00CF331D">
            <w:pPr>
              <w:spacing w:after="120"/>
              <w:rPr>
                <w:rFonts w:cs="Arial"/>
              </w:rPr>
            </w:pPr>
            <w:r>
              <w:rPr>
                <w:rFonts w:cs="Arial"/>
              </w:rPr>
              <w:t>DFAT.</w:t>
            </w:r>
          </w:p>
        </w:tc>
      </w:tr>
      <w:tr w:rsidR="00E72C76" w:rsidRPr="00F43CEC" w:rsidTr="00E72C76">
        <w:trPr>
          <w:cantSplit/>
          <w:trHeight w:val="1951"/>
        </w:trPr>
        <w:tc>
          <w:tcPr>
            <w:tcW w:w="3369" w:type="dxa"/>
            <w:shd w:val="clear" w:color="auto" w:fill="auto"/>
          </w:tcPr>
          <w:p w:rsidR="00E72C76" w:rsidRPr="00EE3DE1" w:rsidRDefault="00E72C76" w:rsidP="00B161AC">
            <w:pPr>
              <w:pStyle w:val="ListParagraph"/>
              <w:numPr>
                <w:ilvl w:val="0"/>
                <w:numId w:val="13"/>
              </w:numPr>
              <w:ind w:left="284"/>
              <w:rPr>
                <w:lang w:eastAsia="en-AU"/>
              </w:rPr>
            </w:pPr>
            <w:r>
              <w:t>Consideration is given to institutions and actors in the justice sector which are currently not focused on reform and increased access to justice, and how this program, or other interventions, could influence on leverage the change required in these institutions</w:t>
            </w:r>
          </w:p>
        </w:tc>
        <w:tc>
          <w:tcPr>
            <w:tcW w:w="1417" w:type="dxa"/>
            <w:tcBorders>
              <w:right w:val="single" w:sz="4" w:space="0" w:color="auto"/>
            </w:tcBorders>
            <w:shd w:val="clear" w:color="auto" w:fill="auto"/>
          </w:tcPr>
          <w:p w:rsidR="00E72C76" w:rsidRPr="00F43CEC" w:rsidRDefault="00E72C76" w:rsidP="00992117">
            <w:pPr>
              <w:spacing w:after="120"/>
              <w:rPr>
                <w:rFonts w:cs="Arial"/>
              </w:rPr>
            </w:pPr>
            <w:r>
              <w:rPr>
                <w:rFonts w:cs="Arial"/>
              </w:rPr>
              <w:t>Agree.</w:t>
            </w:r>
          </w:p>
        </w:tc>
        <w:tc>
          <w:tcPr>
            <w:tcW w:w="7513" w:type="dxa"/>
            <w:tcBorders>
              <w:left w:val="single" w:sz="4" w:space="0" w:color="auto"/>
            </w:tcBorders>
            <w:shd w:val="clear" w:color="auto" w:fill="auto"/>
          </w:tcPr>
          <w:p w:rsidR="00E72C76" w:rsidRPr="00F43CEC" w:rsidRDefault="00686AFB" w:rsidP="00686AFB">
            <w:pPr>
              <w:spacing w:after="120"/>
              <w:rPr>
                <w:rFonts w:cs="Arial"/>
              </w:rPr>
            </w:pPr>
            <w:r>
              <w:rPr>
                <w:rFonts w:cs="Arial"/>
              </w:rPr>
              <w:t>Australian investment</w:t>
            </w:r>
            <w:r w:rsidR="00E72C76">
              <w:rPr>
                <w:rFonts w:cs="Arial"/>
              </w:rPr>
              <w:t xml:space="preserve"> will continue to focus</w:t>
            </w:r>
            <w:r>
              <w:rPr>
                <w:rFonts w:cs="Arial"/>
              </w:rPr>
              <w:t xml:space="preserve"> primarily on supporting reform</w:t>
            </w:r>
            <w:r>
              <w:rPr>
                <w:rFonts w:cs="Arial"/>
              </w:rPr>
              <w:noBreakHyphen/>
            </w:r>
            <w:r w:rsidR="00E72C76">
              <w:rPr>
                <w:rFonts w:cs="Arial"/>
              </w:rPr>
              <w:t xml:space="preserve">oriented institutions. However, following the presidential election in July 2014 and selection of a new Cabinet in Indonesia, Australia and relevant Indonesian partners will also look for opportunities </w:t>
            </w:r>
            <w:r>
              <w:rPr>
                <w:rFonts w:cs="Arial"/>
              </w:rPr>
              <w:t>for Australia to support reform</w:t>
            </w:r>
            <w:r>
              <w:rPr>
                <w:rFonts w:cs="Arial"/>
              </w:rPr>
              <w:noBreakHyphen/>
            </w:r>
            <w:r w:rsidR="00E72C76">
              <w:rPr>
                <w:rFonts w:cs="Arial"/>
              </w:rPr>
              <w:t>oriented leaders within institutions that have to date been less open to reform. DFAT will also continue to support activities that indirectly impact institutions with which we do not currently engage, for example changing police behaviour by assisting the Ministry of Law and Human Rights to increase the number of publically-funded legal aid lawyers to advise clients being questioned or detained by the police.</w:t>
            </w:r>
          </w:p>
        </w:tc>
        <w:tc>
          <w:tcPr>
            <w:tcW w:w="1701" w:type="dxa"/>
            <w:tcBorders>
              <w:left w:val="single" w:sz="4" w:space="0" w:color="auto"/>
            </w:tcBorders>
            <w:shd w:val="clear" w:color="auto" w:fill="auto"/>
          </w:tcPr>
          <w:p w:rsidR="00E72C76" w:rsidRPr="00F43CEC" w:rsidRDefault="00E72C76" w:rsidP="00CF331D">
            <w:pPr>
              <w:spacing w:after="120"/>
              <w:rPr>
                <w:rFonts w:cs="Arial"/>
              </w:rPr>
            </w:pPr>
            <w:r>
              <w:rPr>
                <w:rFonts w:cs="Arial"/>
              </w:rPr>
              <w:t xml:space="preserve">DFAT. </w:t>
            </w:r>
          </w:p>
        </w:tc>
      </w:tr>
      <w:tr w:rsidR="00E72C76" w:rsidRPr="00F43CEC" w:rsidTr="00E72C76">
        <w:trPr>
          <w:cantSplit/>
          <w:trHeight w:val="1951"/>
        </w:trPr>
        <w:tc>
          <w:tcPr>
            <w:tcW w:w="3369" w:type="dxa"/>
            <w:shd w:val="clear" w:color="auto" w:fill="auto"/>
          </w:tcPr>
          <w:p w:rsidR="00E72C76" w:rsidRDefault="00E72C76" w:rsidP="00B161AC">
            <w:pPr>
              <w:pStyle w:val="ListParagraph"/>
              <w:numPr>
                <w:ilvl w:val="0"/>
                <w:numId w:val="13"/>
              </w:numPr>
              <w:ind w:left="284"/>
              <w:rPr>
                <w:lang w:eastAsia="en-AU"/>
              </w:rPr>
            </w:pPr>
            <w:r>
              <w:rPr>
                <w:lang w:eastAsia="en-AU"/>
              </w:rPr>
              <w:t>Further attention is given to program monitoring and evaluation, expanding performance reporting to make full use of the current PAF.</w:t>
            </w:r>
          </w:p>
          <w:p w:rsidR="00E72C76" w:rsidRPr="00EE3DE1" w:rsidRDefault="00E72C76" w:rsidP="003645BF">
            <w:pPr>
              <w:rPr>
                <w:lang w:eastAsia="en-AU"/>
              </w:rPr>
            </w:pPr>
          </w:p>
        </w:tc>
        <w:tc>
          <w:tcPr>
            <w:tcW w:w="1417" w:type="dxa"/>
            <w:tcBorders>
              <w:right w:val="single" w:sz="4" w:space="0" w:color="auto"/>
            </w:tcBorders>
            <w:shd w:val="clear" w:color="auto" w:fill="auto"/>
          </w:tcPr>
          <w:p w:rsidR="00E72C76" w:rsidRPr="00F43CEC" w:rsidRDefault="00E72C76" w:rsidP="00C263B2">
            <w:pPr>
              <w:spacing w:after="120"/>
              <w:rPr>
                <w:rFonts w:cs="Arial"/>
              </w:rPr>
            </w:pPr>
            <w:r>
              <w:rPr>
                <w:rFonts w:cs="Arial"/>
              </w:rPr>
              <w:t xml:space="preserve">Agree. </w:t>
            </w:r>
          </w:p>
        </w:tc>
        <w:tc>
          <w:tcPr>
            <w:tcW w:w="7513" w:type="dxa"/>
            <w:tcBorders>
              <w:left w:val="single" w:sz="4" w:space="0" w:color="auto"/>
            </w:tcBorders>
            <w:shd w:val="clear" w:color="auto" w:fill="auto"/>
          </w:tcPr>
          <w:p w:rsidR="00E72C76" w:rsidRPr="00F43CEC" w:rsidRDefault="00E72C76">
            <w:pPr>
              <w:spacing w:after="120"/>
              <w:rPr>
                <w:rFonts w:cs="Arial"/>
              </w:rPr>
            </w:pPr>
            <w:r>
              <w:rPr>
                <w:rFonts w:cs="Arial"/>
              </w:rPr>
              <w:t>AIPJ will make better use of its Performance Assessment Framework for the remainder of the program, including through presenting information generated from the Framework in a concise and logical manner on the AIPJ website and in AIPJ’s six-monthly progress reports. The staff and advisors AIPJ recruited to develop its Performance Assessment Framework will now focus on implementing it, including through training all AIPJ staff on performance reporting.</w:t>
            </w:r>
            <w:r w:rsidR="009E623B">
              <w:rPr>
                <w:rFonts w:cs="Arial"/>
              </w:rPr>
              <w:t xml:space="preserve"> AIPJ </w:t>
            </w:r>
            <w:r>
              <w:rPr>
                <w:rFonts w:cs="Arial"/>
              </w:rPr>
              <w:t xml:space="preserve">staff capacity in </w:t>
            </w:r>
            <w:r w:rsidR="009E623B">
              <w:rPr>
                <w:rFonts w:cs="Arial"/>
              </w:rPr>
              <w:t xml:space="preserve">monitoring and evaluation </w:t>
            </w:r>
            <w:r w:rsidR="00686AFB">
              <w:rPr>
                <w:rFonts w:cs="Arial"/>
              </w:rPr>
              <w:t xml:space="preserve">will </w:t>
            </w:r>
            <w:r w:rsidR="009E623B">
              <w:rPr>
                <w:rFonts w:cs="Arial"/>
              </w:rPr>
              <w:t xml:space="preserve">also </w:t>
            </w:r>
            <w:r w:rsidR="00686AFB">
              <w:rPr>
                <w:rFonts w:cs="Arial"/>
              </w:rPr>
              <w:t xml:space="preserve">be strengthened </w:t>
            </w:r>
            <w:r>
              <w:rPr>
                <w:rFonts w:cs="Arial"/>
              </w:rPr>
              <w:t>with the recruitment of</w:t>
            </w:r>
            <w:r w:rsidR="00686AFB">
              <w:rPr>
                <w:rFonts w:cs="Arial"/>
              </w:rPr>
              <w:t xml:space="preserve"> a</w:t>
            </w:r>
            <w:r w:rsidR="009E623B">
              <w:rPr>
                <w:rFonts w:cs="Arial"/>
              </w:rPr>
              <w:t xml:space="preserve"> part-time</w:t>
            </w:r>
            <w:r>
              <w:rPr>
                <w:rFonts w:cs="Arial"/>
              </w:rPr>
              <w:t xml:space="preserve"> </w:t>
            </w:r>
            <w:r w:rsidR="009E623B">
              <w:rPr>
                <w:rFonts w:cs="Arial"/>
              </w:rPr>
              <w:t xml:space="preserve">international Monitoring </w:t>
            </w:r>
            <w:r>
              <w:rPr>
                <w:rFonts w:cs="Arial"/>
              </w:rPr>
              <w:t>&amp;</w:t>
            </w:r>
            <w:r w:rsidR="009E623B">
              <w:rPr>
                <w:rFonts w:cs="Arial"/>
              </w:rPr>
              <w:t xml:space="preserve"> </w:t>
            </w:r>
            <w:r>
              <w:rPr>
                <w:rFonts w:cs="Arial"/>
              </w:rPr>
              <w:t>E</w:t>
            </w:r>
            <w:r w:rsidR="009E623B">
              <w:rPr>
                <w:rFonts w:cs="Arial"/>
              </w:rPr>
              <w:t>valuation</w:t>
            </w:r>
            <w:r>
              <w:rPr>
                <w:rFonts w:cs="Arial"/>
              </w:rPr>
              <w:t xml:space="preserve"> Advisor</w:t>
            </w:r>
            <w:r w:rsidR="00686AFB">
              <w:rPr>
                <w:rFonts w:cs="Arial"/>
              </w:rPr>
              <w:t>.</w:t>
            </w:r>
          </w:p>
        </w:tc>
        <w:tc>
          <w:tcPr>
            <w:tcW w:w="1701" w:type="dxa"/>
            <w:tcBorders>
              <w:left w:val="single" w:sz="4" w:space="0" w:color="auto"/>
            </w:tcBorders>
            <w:shd w:val="clear" w:color="auto" w:fill="auto"/>
          </w:tcPr>
          <w:p w:rsidR="00E72C76" w:rsidRPr="00F43CEC" w:rsidRDefault="00E72C76" w:rsidP="00632714">
            <w:pPr>
              <w:spacing w:after="120"/>
              <w:rPr>
                <w:rFonts w:cs="Arial"/>
              </w:rPr>
            </w:pPr>
            <w:proofErr w:type="spellStart"/>
            <w:r>
              <w:rPr>
                <w:rFonts w:cs="Arial"/>
              </w:rPr>
              <w:t>Cardno</w:t>
            </w:r>
            <w:proofErr w:type="spellEnd"/>
            <w:r>
              <w:rPr>
                <w:rFonts w:cs="Arial"/>
              </w:rPr>
              <w:t xml:space="preserve">. </w:t>
            </w:r>
          </w:p>
        </w:tc>
      </w:tr>
      <w:tr w:rsidR="00E72C76" w:rsidRPr="00F43CEC" w:rsidTr="006775B5">
        <w:trPr>
          <w:cantSplit/>
          <w:trHeight w:val="1208"/>
        </w:trPr>
        <w:tc>
          <w:tcPr>
            <w:tcW w:w="3369" w:type="dxa"/>
            <w:shd w:val="clear" w:color="auto" w:fill="auto"/>
          </w:tcPr>
          <w:p w:rsidR="00E72C76" w:rsidRPr="00EE3DE1" w:rsidRDefault="00E72C76" w:rsidP="00B161AC">
            <w:pPr>
              <w:pStyle w:val="ListParagraph"/>
              <w:numPr>
                <w:ilvl w:val="0"/>
                <w:numId w:val="13"/>
              </w:numPr>
              <w:ind w:left="284"/>
              <w:rPr>
                <w:lang w:eastAsia="en-AU"/>
              </w:rPr>
            </w:pPr>
            <w:r>
              <w:rPr>
                <w:lang w:eastAsia="en-AU"/>
              </w:rPr>
              <w:t>Work with people with disability is extended to all program activity areas.</w:t>
            </w:r>
          </w:p>
        </w:tc>
        <w:tc>
          <w:tcPr>
            <w:tcW w:w="1417" w:type="dxa"/>
            <w:tcBorders>
              <w:right w:val="single" w:sz="4" w:space="0" w:color="auto"/>
            </w:tcBorders>
            <w:shd w:val="clear" w:color="auto" w:fill="auto"/>
          </w:tcPr>
          <w:p w:rsidR="00E72C76" w:rsidRDefault="00E72C76" w:rsidP="00C263B2">
            <w:pPr>
              <w:spacing w:after="120"/>
              <w:rPr>
                <w:rFonts w:cs="Arial"/>
              </w:rPr>
            </w:pPr>
            <w:r>
              <w:rPr>
                <w:rFonts w:cs="Arial"/>
              </w:rPr>
              <w:t xml:space="preserve">Agree. </w:t>
            </w:r>
          </w:p>
          <w:p w:rsidR="00E72C76" w:rsidRPr="00F43CEC" w:rsidRDefault="00E72C76" w:rsidP="00C263B2">
            <w:pPr>
              <w:spacing w:after="120"/>
              <w:rPr>
                <w:rFonts w:cs="Arial"/>
              </w:rPr>
            </w:pPr>
          </w:p>
        </w:tc>
        <w:tc>
          <w:tcPr>
            <w:tcW w:w="7513" w:type="dxa"/>
            <w:tcBorders>
              <w:left w:val="single" w:sz="4" w:space="0" w:color="auto"/>
            </w:tcBorders>
            <w:shd w:val="clear" w:color="auto" w:fill="auto"/>
          </w:tcPr>
          <w:p w:rsidR="00E72C76" w:rsidRPr="00F43CEC" w:rsidRDefault="00E72C76" w:rsidP="00E8715B">
            <w:pPr>
              <w:spacing w:after="120"/>
              <w:rPr>
                <w:rFonts w:cs="Arial"/>
              </w:rPr>
            </w:pPr>
            <w:r>
              <w:rPr>
                <w:rFonts w:cs="Arial"/>
              </w:rPr>
              <w:t>AIPJ has made incorporating disability across all program areas a priority through AIPJ’s final work plan, which DFAT and the Government of Indonesia approved in April 2014.</w:t>
            </w:r>
          </w:p>
        </w:tc>
        <w:tc>
          <w:tcPr>
            <w:tcW w:w="1701" w:type="dxa"/>
            <w:tcBorders>
              <w:left w:val="single" w:sz="4" w:space="0" w:color="auto"/>
            </w:tcBorders>
            <w:shd w:val="clear" w:color="auto" w:fill="auto"/>
          </w:tcPr>
          <w:p w:rsidR="00E72C76" w:rsidRPr="00F43CEC" w:rsidRDefault="00E72C76" w:rsidP="00CF331D">
            <w:pPr>
              <w:spacing w:after="120"/>
              <w:rPr>
                <w:rFonts w:cs="Arial"/>
              </w:rPr>
            </w:pPr>
            <w:proofErr w:type="spellStart"/>
            <w:r>
              <w:rPr>
                <w:rFonts w:cs="Arial"/>
              </w:rPr>
              <w:t>Cardno</w:t>
            </w:r>
            <w:proofErr w:type="spellEnd"/>
            <w:r>
              <w:rPr>
                <w:rFonts w:cs="Arial"/>
              </w:rPr>
              <w:t xml:space="preserve"> and DFAT.</w:t>
            </w:r>
          </w:p>
        </w:tc>
      </w:tr>
      <w:tr w:rsidR="00E72C76" w:rsidRPr="00F43CEC" w:rsidTr="006775B5">
        <w:trPr>
          <w:cantSplit/>
          <w:trHeight w:val="1775"/>
        </w:trPr>
        <w:tc>
          <w:tcPr>
            <w:tcW w:w="3369" w:type="dxa"/>
            <w:shd w:val="clear" w:color="auto" w:fill="auto"/>
          </w:tcPr>
          <w:p w:rsidR="00E72C76" w:rsidRPr="00967CB8" w:rsidRDefault="00E72C76" w:rsidP="00B161AC">
            <w:pPr>
              <w:pStyle w:val="ListParagraph"/>
              <w:numPr>
                <w:ilvl w:val="0"/>
                <w:numId w:val="13"/>
              </w:numPr>
              <w:ind w:left="284"/>
              <w:rPr>
                <w:lang w:eastAsia="en-AU"/>
              </w:rPr>
            </w:pPr>
            <w:r>
              <w:rPr>
                <w:lang w:eastAsia="en-AU"/>
              </w:rPr>
              <w:lastRenderedPageBreak/>
              <w:t>Program communication is further developed utilising concise explanations of the program metanarrative and clearly articulated program logic for each of the activity areas.</w:t>
            </w:r>
          </w:p>
          <w:p w:rsidR="00E72C76" w:rsidRPr="00EE3DE1" w:rsidRDefault="00E72C76" w:rsidP="003645BF">
            <w:pPr>
              <w:rPr>
                <w:lang w:eastAsia="en-AU"/>
              </w:rPr>
            </w:pPr>
          </w:p>
        </w:tc>
        <w:tc>
          <w:tcPr>
            <w:tcW w:w="1417" w:type="dxa"/>
            <w:tcBorders>
              <w:right w:val="single" w:sz="4" w:space="0" w:color="auto"/>
            </w:tcBorders>
            <w:shd w:val="clear" w:color="auto" w:fill="auto"/>
          </w:tcPr>
          <w:p w:rsidR="00E72C76" w:rsidRPr="00F43CEC" w:rsidRDefault="00E72C76" w:rsidP="00C263B2">
            <w:pPr>
              <w:spacing w:after="120"/>
              <w:rPr>
                <w:rFonts w:cs="Arial"/>
              </w:rPr>
            </w:pPr>
            <w:r>
              <w:rPr>
                <w:rFonts w:cs="Arial"/>
              </w:rPr>
              <w:t xml:space="preserve">Agree. </w:t>
            </w:r>
          </w:p>
        </w:tc>
        <w:tc>
          <w:tcPr>
            <w:tcW w:w="7513" w:type="dxa"/>
            <w:tcBorders>
              <w:left w:val="single" w:sz="4" w:space="0" w:color="auto"/>
            </w:tcBorders>
            <w:shd w:val="clear" w:color="auto" w:fill="auto"/>
          </w:tcPr>
          <w:p w:rsidR="00E72C76" w:rsidRPr="00F43CEC" w:rsidRDefault="00E72C76" w:rsidP="00E72C76">
            <w:pPr>
              <w:spacing w:after="120"/>
              <w:rPr>
                <w:rFonts w:cs="Arial"/>
              </w:rPr>
            </w:pPr>
            <w:r>
              <w:rPr>
                <w:rFonts w:cs="Arial"/>
              </w:rPr>
              <w:t>AIPJ will communicate the logic behind each component of the program, together with achievements to date, on its web page (</w:t>
            </w:r>
            <w:hyperlink r:id="rId14" w:history="1">
              <w:r w:rsidRPr="001F43B0">
                <w:rPr>
                  <w:rStyle w:val="Hyperlink"/>
                  <w:rFonts w:cs="Arial"/>
                </w:rPr>
                <w:t>www.aipj.or.id</w:t>
              </w:r>
            </w:hyperlink>
            <w:r>
              <w:rPr>
                <w:rFonts w:cs="Arial"/>
              </w:rPr>
              <w:t>). AIPJ will also develop a series of key messages about the program for use in speeches and other forms of public communication. DFAT will develop a metanarrative for Australia’s law and justice assistance through the design process for the proposed second phase of AIPJ to commence in early 2016.</w:t>
            </w:r>
          </w:p>
        </w:tc>
        <w:tc>
          <w:tcPr>
            <w:tcW w:w="1701" w:type="dxa"/>
            <w:tcBorders>
              <w:left w:val="single" w:sz="4" w:space="0" w:color="auto"/>
            </w:tcBorders>
            <w:shd w:val="clear" w:color="auto" w:fill="auto"/>
          </w:tcPr>
          <w:p w:rsidR="00E72C76" w:rsidRPr="00F43CEC" w:rsidRDefault="00E72C76" w:rsidP="00CF331D">
            <w:pPr>
              <w:spacing w:after="120"/>
              <w:rPr>
                <w:rFonts w:cs="Arial"/>
              </w:rPr>
            </w:pPr>
            <w:proofErr w:type="spellStart"/>
            <w:r>
              <w:rPr>
                <w:rFonts w:cs="Arial"/>
              </w:rPr>
              <w:t>Cardno</w:t>
            </w:r>
            <w:proofErr w:type="spellEnd"/>
            <w:r>
              <w:rPr>
                <w:rFonts w:cs="Arial"/>
              </w:rPr>
              <w:t xml:space="preserve"> and DFAT. </w:t>
            </w:r>
          </w:p>
        </w:tc>
      </w:tr>
      <w:tr w:rsidR="00E72C76" w:rsidRPr="00F43CEC" w:rsidTr="00E72C76">
        <w:trPr>
          <w:cantSplit/>
          <w:trHeight w:val="1951"/>
        </w:trPr>
        <w:tc>
          <w:tcPr>
            <w:tcW w:w="3369" w:type="dxa"/>
            <w:shd w:val="clear" w:color="auto" w:fill="auto"/>
          </w:tcPr>
          <w:p w:rsidR="00E72C76" w:rsidRDefault="00E72C76" w:rsidP="006843AB">
            <w:pPr>
              <w:pStyle w:val="ListParagraph"/>
              <w:numPr>
                <w:ilvl w:val="0"/>
                <w:numId w:val="13"/>
              </w:numPr>
              <w:ind w:left="284"/>
              <w:rPr>
                <w:lang w:eastAsia="en-AU"/>
              </w:rPr>
            </w:pPr>
            <w:r>
              <w:rPr>
                <w:lang w:eastAsia="en-AU"/>
              </w:rPr>
              <w:t>AIPJ should be extended to a second phase, with an ongoing focus on current activity areas, in particular legal aid implementation (extending this to the paralegal work), ongoing court reform, and development of civil society.</w:t>
            </w:r>
          </w:p>
          <w:p w:rsidR="00E72C76" w:rsidRDefault="00E72C76" w:rsidP="006843AB">
            <w:pPr>
              <w:pStyle w:val="ListParagraph"/>
              <w:rPr>
                <w:lang w:eastAsia="en-AU"/>
              </w:rPr>
            </w:pPr>
          </w:p>
        </w:tc>
        <w:tc>
          <w:tcPr>
            <w:tcW w:w="1417" w:type="dxa"/>
            <w:tcBorders>
              <w:right w:val="single" w:sz="4" w:space="0" w:color="auto"/>
            </w:tcBorders>
            <w:shd w:val="clear" w:color="auto" w:fill="auto"/>
          </w:tcPr>
          <w:p w:rsidR="00E72C76" w:rsidRDefault="00E72C76" w:rsidP="00072CA7">
            <w:pPr>
              <w:spacing w:after="120"/>
              <w:rPr>
                <w:rFonts w:cs="Arial"/>
              </w:rPr>
            </w:pPr>
            <w:r>
              <w:rPr>
                <w:rFonts w:cs="Arial"/>
              </w:rPr>
              <w:t xml:space="preserve">Agree, subject to </w:t>
            </w:r>
            <w:r w:rsidR="00072CA7">
              <w:rPr>
                <w:rFonts w:cs="Arial"/>
              </w:rPr>
              <w:t>budget availability and approval processes.</w:t>
            </w:r>
          </w:p>
        </w:tc>
        <w:tc>
          <w:tcPr>
            <w:tcW w:w="7513" w:type="dxa"/>
            <w:tcBorders>
              <w:left w:val="single" w:sz="4" w:space="0" w:color="auto"/>
            </w:tcBorders>
            <w:shd w:val="clear" w:color="auto" w:fill="auto"/>
          </w:tcPr>
          <w:p w:rsidR="00E72C76" w:rsidRDefault="00072CA7" w:rsidP="00B83E17">
            <w:pPr>
              <w:spacing w:after="120"/>
              <w:rPr>
                <w:rFonts w:cs="Arial"/>
              </w:rPr>
            </w:pPr>
            <w:r>
              <w:rPr>
                <w:rFonts w:cs="Arial"/>
              </w:rPr>
              <w:t>Subject to budget availability and approval processes</w:t>
            </w:r>
            <w:r w:rsidR="00E72C76">
              <w:rPr>
                <w:rFonts w:cs="Arial"/>
              </w:rPr>
              <w:t>, DFAT will design a second phase of AIPJ to commence activities in early 2016.</w:t>
            </w:r>
          </w:p>
        </w:tc>
        <w:tc>
          <w:tcPr>
            <w:tcW w:w="1701" w:type="dxa"/>
            <w:tcBorders>
              <w:left w:val="single" w:sz="4" w:space="0" w:color="auto"/>
            </w:tcBorders>
            <w:shd w:val="clear" w:color="auto" w:fill="auto"/>
          </w:tcPr>
          <w:p w:rsidR="00E72C76" w:rsidRDefault="00E72C76" w:rsidP="00CF331D">
            <w:pPr>
              <w:spacing w:after="120"/>
              <w:rPr>
                <w:rFonts w:cs="Arial"/>
              </w:rPr>
            </w:pPr>
            <w:r>
              <w:rPr>
                <w:rFonts w:cs="Arial"/>
              </w:rPr>
              <w:t>DFAT.</w:t>
            </w:r>
          </w:p>
        </w:tc>
      </w:tr>
      <w:tr w:rsidR="00E72C76" w:rsidRPr="00F43CEC" w:rsidTr="00E72C76">
        <w:trPr>
          <w:cantSplit/>
          <w:trHeight w:val="1951"/>
        </w:trPr>
        <w:tc>
          <w:tcPr>
            <w:tcW w:w="3369" w:type="dxa"/>
            <w:shd w:val="clear" w:color="auto" w:fill="auto"/>
          </w:tcPr>
          <w:p w:rsidR="00E72C76" w:rsidRDefault="00E72C76" w:rsidP="006843AB">
            <w:pPr>
              <w:pStyle w:val="ListParagraph"/>
              <w:numPr>
                <w:ilvl w:val="0"/>
                <w:numId w:val="13"/>
              </w:numPr>
              <w:ind w:left="284"/>
              <w:rPr>
                <w:lang w:eastAsia="en-AU"/>
              </w:rPr>
            </w:pPr>
            <w:r>
              <w:rPr>
                <w:lang w:eastAsia="en-AU"/>
              </w:rPr>
              <w:t>There should be increased expertise and focus on children to enable effective contribution to the implementation of the new Law for Juvenile Justice.</w:t>
            </w:r>
          </w:p>
          <w:p w:rsidR="00E72C76" w:rsidRDefault="00E72C76" w:rsidP="006843AB">
            <w:pPr>
              <w:pStyle w:val="ListParagraph"/>
              <w:spacing w:before="0" w:after="200" w:line="276" w:lineRule="auto"/>
              <w:jc w:val="both"/>
            </w:pPr>
          </w:p>
        </w:tc>
        <w:tc>
          <w:tcPr>
            <w:tcW w:w="1417" w:type="dxa"/>
            <w:tcBorders>
              <w:right w:val="single" w:sz="4" w:space="0" w:color="auto"/>
            </w:tcBorders>
            <w:shd w:val="clear" w:color="auto" w:fill="auto"/>
          </w:tcPr>
          <w:p w:rsidR="00E72C76" w:rsidRDefault="00E72C76" w:rsidP="00CF331D">
            <w:pPr>
              <w:spacing w:after="120"/>
              <w:rPr>
                <w:rFonts w:cs="Arial"/>
              </w:rPr>
            </w:pPr>
            <w:r>
              <w:rPr>
                <w:rFonts w:cs="Arial"/>
              </w:rPr>
              <w:t>Agree.</w:t>
            </w:r>
          </w:p>
        </w:tc>
        <w:tc>
          <w:tcPr>
            <w:tcW w:w="7513" w:type="dxa"/>
            <w:tcBorders>
              <w:left w:val="single" w:sz="4" w:space="0" w:color="auto"/>
            </w:tcBorders>
            <w:shd w:val="clear" w:color="auto" w:fill="auto"/>
          </w:tcPr>
          <w:p w:rsidR="00E72C76" w:rsidRDefault="00E72C76">
            <w:pPr>
              <w:spacing w:after="120"/>
              <w:rPr>
                <w:rFonts w:cs="Arial"/>
              </w:rPr>
            </w:pPr>
            <w:r>
              <w:rPr>
                <w:rFonts w:cs="Arial"/>
              </w:rPr>
              <w:t xml:space="preserve">DFAT and the Government of Indonesia have approved additional funding under the latest AIPJ work plan to assist Indonesian government agencies to implement the Juvenile Justice Law. This has involved the recruitment of a well-known Indonesian child rights expert to advise the Government of Indonesia’s </w:t>
            </w:r>
            <w:r w:rsidRPr="00CF331D">
              <w:rPr>
                <w:rFonts w:cs="Arial"/>
              </w:rPr>
              <w:t xml:space="preserve">Technical Secretariat for the Implementation of the </w:t>
            </w:r>
            <w:r>
              <w:rPr>
                <w:rFonts w:cs="Arial"/>
              </w:rPr>
              <w:t xml:space="preserve">Juvenile </w:t>
            </w:r>
            <w:r w:rsidRPr="00CF331D">
              <w:rPr>
                <w:rFonts w:cs="Arial"/>
              </w:rPr>
              <w:t xml:space="preserve">Justice </w:t>
            </w:r>
            <w:r>
              <w:rPr>
                <w:rFonts w:cs="Arial"/>
              </w:rPr>
              <w:t>Law. AIPJ will also explore the possibility of drawing on expertise from the Australian Human Rights Commission to support the implementation of Indonesia’s Juvenile Justice Law.</w:t>
            </w:r>
          </w:p>
        </w:tc>
        <w:tc>
          <w:tcPr>
            <w:tcW w:w="1701" w:type="dxa"/>
            <w:tcBorders>
              <w:left w:val="single" w:sz="4" w:space="0" w:color="auto"/>
            </w:tcBorders>
            <w:shd w:val="clear" w:color="auto" w:fill="auto"/>
          </w:tcPr>
          <w:p w:rsidR="00E72C76" w:rsidRDefault="00E72C76" w:rsidP="00BF59B7">
            <w:pPr>
              <w:spacing w:after="120"/>
              <w:rPr>
                <w:rFonts w:cs="Arial"/>
              </w:rPr>
            </w:pPr>
            <w:proofErr w:type="spellStart"/>
            <w:r>
              <w:rPr>
                <w:rFonts w:cs="Arial"/>
              </w:rPr>
              <w:t>Cardno</w:t>
            </w:r>
            <w:proofErr w:type="spellEnd"/>
            <w:r>
              <w:rPr>
                <w:rFonts w:cs="Arial"/>
              </w:rPr>
              <w:t>.</w:t>
            </w:r>
          </w:p>
        </w:tc>
      </w:tr>
      <w:tr w:rsidR="00E72C76" w:rsidRPr="00F43CEC" w:rsidTr="00E72C76">
        <w:trPr>
          <w:cantSplit/>
          <w:trHeight w:val="1951"/>
        </w:trPr>
        <w:tc>
          <w:tcPr>
            <w:tcW w:w="3369" w:type="dxa"/>
            <w:shd w:val="clear" w:color="auto" w:fill="auto"/>
          </w:tcPr>
          <w:p w:rsidR="00E72C76" w:rsidRDefault="00E72C76" w:rsidP="00301DB2">
            <w:pPr>
              <w:pStyle w:val="ListParagraph"/>
              <w:numPr>
                <w:ilvl w:val="0"/>
                <w:numId w:val="13"/>
              </w:numPr>
              <w:ind w:left="284"/>
            </w:pPr>
            <w:r>
              <w:rPr>
                <w:lang w:eastAsia="en-AU"/>
              </w:rPr>
              <w:t>There should be increased expertise and focus on women, alongside the current focus on people with disability, and the experience of women in access to justice</w:t>
            </w:r>
            <w:r w:rsidR="006D1CDC">
              <w:rPr>
                <w:lang w:eastAsia="en-AU"/>
              </w:rPr>
              <w:t>.</w:t>
            </w:r>
          </w:p>
        </w:tc>
        <w:tc>
          <w:tcPr>
            <w:tcW w:w="1417" w:type="dxa"/>
            <w:tcBorders>
              <w:right w:val="single" w:sz="4" w:space="0" w:color="auto"/>
            </w:tcBorders>
            <w:shd w:val="clear" w:color="auto" w:fill="auto"/>
          </w:tcPr>
          <w:p w:rsidR="00E72C76" w:rsidRDefault="00E72C76" w:rsidP="003E51C8">
            <w:pPr>
              <w:spacing w:after="120"/>
              <w:rPr>
                <w:rFonts w:cs="Arial"/>
              </w:rPr>
            </w:pPr>
            <w:r>
              <w:rPr>
                <w:rFonts w:cs="Arial"/>
              </w:rPr>
              <w:t>Agree.</w:t>
            </w:r>
          </w:p>
        </w:tc>
        <w:tc>
          <w:tcPr>
            <w:tcW w:w="7513" w:type="dxa"/>
            <w:tcBorders>
              <w:left w:val="single" w:sz="4" w:space="0" w:color="auto"/>
            </w:tcBorders>
            <w:shd w:val="clear" w:color="auto" w:fill="auto"/>
          </w:tcPr>
          <w:p w:rsidR="00E72C76" w:rsidRDefault="00E72C76">
            <w:pPr>
              <w:spacing w:after="120"/>
              <w:rPr>
                <w:rFonts w:cs="Arial"/>
              </w:rPr>
            </w:pPr>
            <w:r>
              <w:rPr>
                <w:rFonts w:cs="Arial"/>
              </w:rPr>
              <w:t xml:space="preserve">AIPJ has dedicated more resources to developing clearer strategies to promote gender equality and better articulating AIPJ’s impact on gender equality. This </w:t>
            </w:r>
            <w:r w:rsidR="009E623B">
              <w:rPr>
                <w:rFonts w:cs="Arial"/>
              </w:rPr>
              <w:t xml:space="preserve">has </w:t>
            </w:r>
            <w:r>
              <w:rPr>
                <w:rFonts w:cs="Arial"/>
              </w:rPr>
              <w:t>include</w:t>
            </w:r>
            <w:r w:rsidR="009E623B">
              <w:rPr>
                <w:rFonts w:cs="Arial"/>
              </w:rPr>
              <w:t>d</w:t>
            </w:r>
            <w:r>
              <w:rPr>
                <w:rFonts w:cs="Arial"/>
              </w:rPr>
              <w:t xml:space="preserve"> </w:t>
            </w:r>
            <w:r w:rsidR="009E623B">
              <w:rPr>
                <w:rFonts w:cs="Arial"/>
              </w:rPr>
              <w:t xml:space="preserve">engaging </w:t>
            </w:r>
            <w:r>
              <w:rPr>
                <w:rFonts w:cs="Arial"/>
              </w:rPr>
              <w:t xml:space="preserve">a </w:t>
            </w:r>
            <w:r w:rsidR="009E623B">
              <w:rPr>
                <w:rFonts w:cs="Arial"/>
              </w:rPr>
              <w:t>National G</w:t>
            </w:r>
            <w:r>
              <w:rPr>
                <w:rFonts w:cs="Arial"/>
              </w:rPr>
              <w:t xml:space="preserve">ender </w:t>
            </w:r>
            <w:r w:rsidR="009E623B">
              <w:rPr>
                <w:rFonts w:cs="Arial"/>
              </w:rPr>
              <w:t>E</w:t>
            </w:r>
            <w:r>
              <w:rPr>
                <w:rFonts w:cs="Arial"/>
              </w:rPr>
              <w:t>xpert.</w:t>
            </w:r>
          </w:p>
        </w:tc>
        <w:tc>
          <w:tcPr>
            <w:tcW w:w="1701" w:type="dxa"/>
            <w:tcBorders>
              <w:left w:val="single" w:sz="4" w:space="0" w:color="auto"/>
            </w:tcBorders>
            <w:shd w:val="clear" w:color="auto" w:fill="auto"/>
          </w:tcPr>
          <w:p w:rsidR="00E72C76" w:rsidRDefault="00E72C76" w:rsidP="00BF59B7">
            <w:pPr>
              <w:spacing w:after="120"/>
              <w:rPr>
                <w:rFonts w:cs="Arial"/>
              </w:rPr>
            </w:pPr>
            <w:proofErr w:type="spellStart"/>
            <w:r>
              <w:rPr>
                <w:rFonts w:cs="Arial"/>
              </w:rPr>
              <w:t>Cardno</w:t>
            </w:r>
            <w:proofErr w:type="spellEnd"/>
            <w:r>
              <w:rPr>
                <w:rFonts w:cs="Arial"/>
              </w:rPr>
              <w:t>.</w:t>
            </w:r>
          </w:p>
        </w:tc>
      </w:tr>
      <w:tr w:rsidR="00E72C76" w:rsidRPr="00F43CEC" w:rsidTr="00E72C76">
        <w:trPr>
          <w:cantSplit/>
          <w:trHeight w:val="1951"/>
        </w:trPr>
        <w:tc>
          <w:tcPr>
            <w:tcW w:w="3369" w:type="dxa"/>
            <w:shd w:val="clear" w:color="auto" w:fill="auto"/>
          </w:tcPr>
          <w:p w:rsidR="00E72C76" w:rsidRPr="006843AB" w:rsidRDefault="00E72C76" w:rsidP="006843AB">
            <w:pPr>
              <w:pStyle w:val="ListParagraph"/>
              <w:numPr>
                <w:ilvl w:val="0"/>
                <w:numId w:val="13"/>
              </w:numPr>
              <w:ind w:left="284"/>
              <w:rPr>
                <w:lang w:eastAsia="en-AU"/>
              </w:rPr>
            </w:pPr>
            <w:r w:rsidRPr="006843AB">
              <w:rPr>
                <w:lang w:eastAsia="en-AU"/>
              </w:rPr>
              <w:lastRenderedPageBreak/>
              <w:t>The future program should look to draw lessons, particularly from the current provincial work, work with people with disability and civil society support, to shape and inform those future developments.</w:t>
            </w:r>
          </w:p>
          <w:p w:rsidR="00E72C76" w:rsidRPr="00EE3DE1" w:rsidRDefault="00E72C76" w:rsidP="003645BF">
            <w:pPr>
              <w:rPr>
                <w:lang w:eastAsia="en-AU"/>
              </w:rPr>
            </w:pPr>
          </w:p>
        </w:tc>
        <w:tc>
          <w:tcPr>
            <w:tcW w:w="1417" w:type="dxa"/>
            <w:tcBorders>
              <w:right w:val="single" w:sz="4" w:space="0" w:color="auto"/>
            </w:tcBorders>
            <w:shd w:val="clear" w:color="auto" w:fill="auto"/>
          </w:tcPr>
          <w:p w:rsidR="00E72C76" w:rsidRPr="00F43CEC" w:rsidRDefault="00E72C76" w:rsidP="00C263B2">
            <w:pPr>
              <w:spacing w:after="120"/>
              <w:rPr>
                <w:rFonts w:cs="Arial"/>
              </w:rPr>
            </w:pPr>
            <w:r>
              <w:rPr>
                <w:rFonts w:cs="Arial"/>
              </w:rPr>
              <w:t xml:space="preserve">Agree. </w:t>
            </w:r>
          </w:p>
        </w:tc>
        <w:tc>
          <w:tcPr>
            <w:tcW w:w="7513" w:type="dxa"/>
            <w:tcBorders>
              <w:left w:val="single" w:sz="4" w:space="0" w:color="auto"/>
            </w:tcBorders>
            <w:shd w:val="clear" w:color="auto" w:fill="auto"/>
          </w:tcPr>
          <w:p w:rsidR="00E72C76" w:rsidRPr="00F43CEC" w:rsidRDefault="00E72C76" w:rsidP="003E51C8">
            <w:pPr>
              <w:spacing w:after="120"/>
              <w:rPr>
                <w:rFonts w:cs="Arial"/>
              </w:rPr>
            </w:pPr>
            <w:r>
              <w:rPr>
                <w:rFonts w:cs="Arial"/>
              </w:rPr>
              <w:t>The design process for the proposed second phase of AIPJ will articulate lessons — both positive and negative — from the first phase. This will include an examination of innovations during the first phase such as opening provincial offices, delivering targeted support for the rights of people with disability, and providing core funding for civil society organisations in the law and justice sector.</w:t>
            </w:r>
          </w:p>
        </w:tc>
        <w:tc>
          <w:tcPr>
            <w:tcW w:w="1701" w:type="dxa"/>
            <w:tcBorders>
              <w:left w:val="single" w:sz="4" w:space="0" w:color="auto"/>
            </w:tcBorders>
            <w:shd w:val="clear" w:color="auto" w:fill="auto"/>
          </w:tcPr>
          <w:p w:rsidR="00E72C76" w:rsidRPr="00F43CEC" w:rsidRDefault="00E72C76" w:rsidP="003E51C8">
            <w:pPr>
              <w:spacing w:after="120"/>
              <w:rPr>
                <w:rFonts w:cs="Arial"/>
              </w:rPr>
            </w:pPr>
            <w:r>
              <w:rPr>
                <w:rFonts w:cs="Arial"/>
              </w:rPr>
              <w:t>DFAT.</w:t>
            </w:r>
          </w:p>
        </w:tc>
      </w:tr>
      <w:tr w:rsidR="00E72C76" w:rsidRPr="00F43CEC" w:rsidTr="00E72C76">
        <w:trPr>
          <w:cantSplit/>
          <w:trHeight w:val="1594"/>
        </w:trPr>
        <w:tc>
          <w:tcPr>
            <w:tcW w:w="3369" w:type="dxa"/>
            <w:shd w:val="clear" w:color="auto" w:fill="auto"/>
          </w:tcPr>
          <w:p w:rsidR="00E72C76" w:rsidRDefault="00E72C76" w:rsidP="00B161AC">
            <w:pPr>
              <w:pStyle w:val="ListParagraph"/>
              <w:numPr>
                <w:ilvl w:val="0"/>
                <w:numId w:val="13"/>
              </w:numPr>
              <w:ind w:left="284"/>
            </w:pPr>
            <w:r>
              <w:rPr>
                <w:lang w:eastAsia="en-AU"/>
              </w:rPr>
              <w:t>The program should consider a modest expansion to support improvements in legal education which are relevant to legal reform and access to justice.</w:t>
            </w:r>
          </w:p>
        </w:tc>
        <w:tc>
          <w:tcPr>
            <w:tcW w:w="1417" w:type="dxa"/>
            <w:tcBorders>
              <w:right w:val="single" w:sz="4" w:space="0" w:color="auto"/>
            </w:tcBorders>
            <w:shd w:val="clear" w:color="auto" w:fill="auto"/>
          </w:tcPr>
          <w:p w:rsidR="00E72C76" w:rsidRPr="00F43CEC" w:rsidRDefault="00E72C76" w:rsidP="003E51C8">
            <w:pPr>
              <w:spacing w:after="120"/>
              <w:rPr>
                <w:rFonts w:cs="Arial"/>
              </w:rPr>
            </w:pPr>
            <w:r>
              <w:rPr>
                <w:rFonts w:cs="Arial"/>
              </w:rPr>
              <w:t>Agree.</w:t>
            </w:r>
          </w:p>
        </w:tc>
        <w:tc>
          <w:tcPr>
            <w:tcW w:w="7513" w:type="dxa"/>
            <w:tcBorders>
              <w:left w:val="single" w:sz="4" w:space="0" w:color="auto"/>
            </w:tcBorders>
            <w:shd w:val="clear" w:color="auto" w:fill="auto"/>
          </w:tcPr>
          <w:p w:rsidR="00E72C76" w:rsidRPr="00F43CEC" w:rsidRDefault="00E72C76" w:rsidP="003E51C8">
            <w:pPr>
              <w:spacing w:after="120"/>
              <w:rPr>
                <w:rFonts w:cs="Arial"/>
              </w:rPr>
            </w:pPr>
            <w:r>
              <w:rPr>
                <w:rFonts w:cs="Arial"/>
              </w:rPr>
              <w:t>The design process for the proposed second phase of AIPJ will consider the costs and benefits of investing in improvements to legal education in Indonesia.</w:t>
            </w:r>
          </w:p>
        </w:tc>
        <w:tc>
          <w:tcPr>
            <w:tcW w:w="1701" w:type="dxa"/>
            <w:tcBorders>
              <w:left w:val="single" w:sz="4" w:space="0" w:color="auto"/>
            </w:tcBorders>
            <w:shd w:val="clear" w:color="auto" w:fill="auto"/>
          </w:tcPr>
          <w:p w:rsidR="00E72C76" w:rsidRPr="00F43CEC" w:rsidRDefault="00E72C76" w:rsidP="003E51C8">
            <w:pPr>
              <w:spacing w:after="120"/>
              <w:rPr>
                <w:rFonts w:cs="Arial"/>
              </w:rPr>
            </w:pPr>
            <w:r>
              <w:rPr>
                <w:rFonts w:cs="Arial"/>
              </w:rPr>
              <w:t xml:space="preserve">DFAT. </w:t>
            </w:r>
          </w:p>
        </w:tc>
      </w:tr>
      <w:tr w:rsidR="00E72C76" w:rsidRPr="00F43CEC" w:rsidTr="00E72C76">
        <w:trPr>
          <w:cantSplit/>
          <w:trHeight w:val="1951"/>
        </w:trPr>
        <w:tc>
          <w:tcPr>
            <w:tcW w:w="3369" w:type="dxa"/>
            <w:shd w:val="clear" w:color="auto" w:fill="auto"/>
          </w:tcPr>
          <w:p w:rsidR="00E72C76" w:rsidRDefault="00E72C76" w:rsidP="00B161AC">
            <w:pPr>
              <w:pStyle w:val="ListParagraph"/>
              <w:numPr>
                <w:ilvl w:val="0"/>
                <w:numId w:val="13"/>
              </w:numPr>
              <w:ind w:left="284"/>
            </w:pPr>
            <w:r>
              <w:rPr>
                <w:lang w:eastAsia="en-AU"/>
              </w:rPr>
              <w:t>DFAT take the opportunity presented by this program to manage for increased synergy within the aid program, particularly on programs working at the decentralised level, those focused on service delivery and those supporting CSO.</w:t>
            </w:r>
          </w:p>
        </w:tc>
        <w:tc>
          <w:tcPr>
            <w:tcW w:w="1417" w:type="dxa"/>
            <w:tcBorders>
              <w:right w:val="single" w:sz="4" w:space="0" w:color="auto"/>
            </w:tcBorders>
            <w:shd w:val="clear" w:color="auto" w:fill="auto"/>
          </w:tcPr>
          <w:p w:rsidR="00E72C76" w:rsidRPr="00F43CEC" w:rsidRDefault="00E72C76" w:rsidP="00C263B2">
            <w:pPr>
              <w:spacing w:after="120"/>
              <w:rPr>
                <w:rFonts w:cs="Arial"/>
              </w:rPr>
            </w:pPr>
            <w:r>
              <w:rPr>
                <w:rFonts w:cs="Arial"/>
              </w:rPr>
              <w:t xml:space="preserve">Agree. </w:t>
            </w:r>
          </w:p>
        </w:tc>
        <w:tc>
          <w:tcPr>
            <w:tcW w:w="7513" w:type="dxa"/>
            <w:tcBorders>
              <w:left w:val="single" w:sz="4" w:space="0" w:color="auto"/>
            </w:tcBorders>
            <w:shd w:val="clear" w:color="auto" w:fill="auto"/>
          </w:tcPr>
          <w:p w:rsidR="00E72C76" w:rsidRPr="00F43CEC" w:rsidRDefault="00E72C76" w:rsidP="00285A42">
            <w:pPr>
              <w:spacing w:after="120"/>
              <w:rPr>
                <w:rFonts w:cs="Arial"/>
              </w:rPr>
            </w:pPr>
            <w:r>
              <w:rPr>
                <w:rFonts w:cs="Arial"/>
              </w:rPr>
              <w:t xml:space="preserve">DFAT will facilitate discussions and the sharing of work plans across program areas. DFAT also plans to make AIPJ responsible for implementing two activities on behalf of the World Bank’s Justice for the Poor Program that have a local-level focus, which will strengthen synergies with other DFAT investments at the local level. DFAT will also maintain the current Contractor Performance Assessment criteria, which assess </w:t>
            </w:r>
            <w:proofErr w:type="spellStart"/>
            <w:r>
              <w:rPr>
                <w:rFonts w:cs="Arial"/>
              </w:rPr>
              <w:t>Cardno’s</w:t>
            </w:r>
            <w:proofErr w:type="spellEnd"/>
            <w:r>
              <w:rPr>
                <w:rFonts w:cs="Arial"/>
              </w:rPr>
              <w:t xml:space="preserve"> implementation of AIPJ on the basis of — among other things — the extent to which AIPJ supports other parts of the Australian aid program.</w:t>
            </w:r>
          </w:p>
        </w:tc>
        <w:tc>
          <w:tcPr>
            <w:tcW w:w="1701" w:type="dxa"/>
            <w:tcBorders>
              <w:left w:val="single" w:sz="4" w:space="0" w:color="auto"/>
            </w:tcBorders>
            <w:shd w:val="clear" w:color="auto" w:fill="auto"/>
          </w:tcPr>
          <w:p w:rsidR="00E72C76" w:rsidRPr="00F43CEC" w:rsidRDefault="00E72C76" w:rsidP="003E51C8">
            <w:pPr>
              <w:spacing w:after="120"/>
              <w:rPr>
                <w:rFonts w:cs="Arial"/>
              </w:rPr>
            </w:pPr>
            <w:r>
              <w:rPr>
                <w:rFonts w:cs="Arial"/>
              </w:rPr>
              <w:t xml:space="preserve">DFAT and </w:t>
            </w:r>
            <w:proofErr w:type="spellStart"/>
            <w:r>
              <w:rPr>
                <w:rFonts w:cs="Arial"/>
              </w:rPr>
              <w:t>Cardno</w:t>
            </w:r>
            <w:proofErr w:type="spellEnd"/>
            <w:r>
              <w:rPr>
                <w:rFonts w:cs="Arial"/>
              </w:rPr>
              <w:t xml:space="preserve">. </w:t>
            </w:r>
          </w:p>
        </w:tc>
      </w:tr>
    </w:tbl>
    <w:p w:rsidR="00B161AC" w:rsidRPr="003E51C8" w:rsidRDefault="00B161AC" w:rsidP="00E72C76">
      <w:pPr>
        <w:tabs>
          <w:tab w:val="left" w:pos="2216"/>
        </w:tabs>
        <w:rPr>
          <w:lang w:eastAsia="en-AU"/>
        </w:rPr>
      </w:pPr>
    </w:p>
    <w:sectPr w:rsidR="00B161AC" w:rsidRPr="003E51C8" w:rsidSect="003645BF">
      <w:pgSz w:w="16838" w:h="11906" w:orient="landscape"/>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86" w:rsidRDefault="00D15086">
      <w:pPr>
        <w:pStyle w:val="Table-list-number"/>
      </w:pPr>
      <w:r>
        <w:separator/>
      </w:r>
    </w:p>
  </w:endnote>
  <w:endnote w:type="continuationSeparator" w:id="0">
    <w:p w:rsidR="00D15086" w:rsidRDefault="00D1508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11" w:rsidRDefault="00CF324D" w:rsidP="00AE52D5">
    <w:pPr>
      <w:pStyle w:val="Footer"/>
      <w:pBdr>
        <w:top w:val="single" w:sz="4" w:space="7" w:color="333333"/>
      </w:pBdr>
      <w:tabs>
        <w:tab w:val="clear" w:pos="4153"/>
        <w:tab w:val="clear" w:pos="8306"/>
        <w:tab w:val="right" w:pos="9639"/>
      </w:tabs>
      <w:rPr>
        <w:rStyle w:val="PageNumber"/>
      </w:rPr>
    </w:pPr>
    <w:r>
      <w:t>P</w:t>
    </w:r>
    <w:r w:rsidR="00457E11" w:rsidRPr="00AE52D5">
      <w:t xml:space="preserve">age </w:t>
    </w:r>
    <w:r w:rsidR="00457E11" w:rsidRPr="00AE52D5">
      <w:rPr>
        <w:rStyle w:val="PageNumber"/>
      </w:rPr>
      <w:fldChar w:fldCharType="begin"/>
    </w:r>
    <w:r w:rsidR="00457E11" w:rsidRPr="00AE52D5">
      <w:rPr>
        <w:rStyle w:val="PageNumber"/>
      </w:rPr>
      <w:instrText xml:space="preserve"> PAGE </w:instrText>
    </w:r>
    <w:r w:rsidR="00457E11" w:rsidRPr="00AE52D5">
      <w:rPr>
        <w:rStyle w:val="PageNumber"/>
      </w:rPr>
      <w:fldChar w:fldCharType="separate"/>
    </w:r>
    <w:r w:rsidR="00D25567">
      <w:rPr>
        <w:rStyle w:val="PageNumber"/>
        <w:noProof/>
      </w:rPr>
      <w:t>1</w:t>
    </w:r>
    <w:r w:rsidR="00457E11" w:rsidRPr="00AE52D5">
      <w:rPr>
        <w:rStyle w:val="PageNumber"/>
      </w:rPr>
      <w:fldChar w:fldCharType="end"/>
    </w:r>
    <w:r w:rsidR="00457E11" w:rsidRPr="00AE52D5">
      <w:rPr>
        <w:rStyle w:val="PageNumber"/>
      </w:rPr>
      <w:t xml:space="preserve"> of </w:t>
    </w:r>
    <w:r w:rsidR="00457E11" w:rsidRPr="00AE52D5">
      <w:rPr>
        <w:rStyle w:val="PageNumber"/>
      </w:rPr>
      <w:fldChar w:fldCharType="begin"/>
    </w:r>
    <w:r w:rsidR="00457E11" w:rsidRPr="00AE52D5">
      <w:rPr>
        <w:rStyle w:val="PageNumber"/>
      </w:rPr>
      <w:instrText xml:space="preserve"> NUMPAGES </w:instrText>
    </w:r>
    <w:r w:rsidR="00457E11" w:rsidRPr="00AE52D5">
      <w:rPr>
        <w:rStyle w:val="PageNumber"/>
      </w:rPr>
      <w:fldChar w:fldCharType="separate"/>
    </w:r>
    <w:r w:rsidR="00D25567">
      <w:rPr>
        <w:rStyle w:val="PageNumber"/>
        <w:noProof/>
      </w:rPr>
      <w:t>6</w:t>
    </w:r>
    <w:r w:rsidR="00457E11" w:rsidRPr="00AE52D5">
      <w:rPr>
        <w:rStyle w:val="PageNumber"/>
      </w:rPr>
      <w:fldChar w:fldCharType="end"/>
    </w:r>
  </w:p>
  <w:p w:rsidR="00457E11" w:rsidRPr="00AE52D5" w:rsidRDefault="00457E11" w:rsidP="00CF324D">
    <w:pPr>
      <w:pStyle w:val="Footer"/>
      <w:pBdr>
        <w:top w:val="single" w:sz="4" w:space="7" w:color="333333"/>
      </w:pBdr>
      <w:tabs>
        <w:tab w:val="clear" w:pos="4153"/>
        <w:tab w:val="clear" w:pos="8306"/>
        <w:tab w:val="right" w:pos="9639"/>
      </w:tabs>
      <w:jc w:val="center"/>
    </w:pPr>
    <w:r w:rsidRPr="00AE52D5">
      <w:rPr>
        <w:rStyle w:val="PageNumber"/>
      </w:rPr>
      <w:t>UNCLASSIFIED</w:t>
    </w:r>
  </w:p>
  <w:p w:rsidR="00457E11" w:rsidRPr="000815FC" w:rsidRDefault="00457E11"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86" w:rsidRDefault="00D15086">
      <w:pPr>
        <w:pStyle w:val="Table-list-number"/>
      </w:pPr>
      <w:r>
        <w:separator/>
      </w:r>
    </w:p>
  </w:footnote>
  <w:footnote w:type="continuationSeparator" w:id="0">
    <w:p w:rsidR="00D15086" w:rsidRDefault="00D15086">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11" w:rsidRPr="00077243" w:rsidRDefault="00457E11"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7E4FF6"/>
    <w:multiLevelType w:val="hybridMultilevel"/>
    <w:tmpl w:val="3570655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5C90418"/>
    <w:multiLevelType w:val="hybridMultilevel"/>
    <w:tmpl w:val="D464C0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3F01F3B"/>
    <w:multiLevelType w:val="hybridMultilevel"/>
    <w:tmpl w:val="D840C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57A17430"/>
    <w:multiLevelType w:val="hybridMultilevel"/>
    <w:tmpl w:val="6332FE52"/>
    <w:lvl w:ilvl="0" w:tplc="E410DCE0">
      <w:start w:val="1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9">
    <w:nsid w:val="750C269C"/>
    <w:multiLevelType w:val="hybridMultilevel"/>
    <w:tmpl w:val="312CAD12"/>
    <w:lvl w:ilvl="0" w:tplc="0C09000F">
      <w:start w:val="1"/>
      <w:numFmt w:val="decimal"/>
      <w:lvlText w:val="%1."/>
      <w:lvlJc w:val="left"/>
      <w:pPr>
        <w:tabs>
          <w:tab w:val="num" w:pos="360"/>
        </w:tabs>
        <w:ind w:left="360" w:hanging="360"/>
      </w:pPr>
      <w:rPr>
        <w:rFonts w:hint="default"/>
      </w:rPr>
    </w:lvl>
    <w:lvl w:ilvl="1" w:tplc="0C090017">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75800B75"/>
    <w:multiLevelType w:val="hybridMultilevel"/>
    <w:tmpl w:val="4C12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A33C22"/>
    <w:multiLevelType w:val="hybridMultilevel"/>
    <w:tmpl w:val="010C740E"/>
    <w:lvl w:ilvl="0" w:tplc="D004D68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CCE4871"/>
    <w:multiLevelType w:val="hybridMultilevel"/>
    <w:tmpl w:val="C44E9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F9A1695"/>
    <w:multiLevelType w:val="hybridMultilevel"/>
    <w:tmpl w:val="2D3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11"/>
  </w:num>
  <w:num w:numId="6">
    <w:abstractNumId w:val="0"/>
  </w:num>
  <w:num w:numId="7">
    <w:abstractNumId w:val="13"/>
  </w:num>
  <w:num w:numId="8">
    <w:abstractNumId w:val="14"/>
  </w:num>
  <w:num w:numId="9">
    <w:abstractNumId w:val="5"/>
  </w:num>
  <w:num w:numId="10">
    <w:abstractNumId w:val="9"/>
  </w:num>
  <w:num w:numId="11">
    <w:abstractNumId w:val="7"/>
  </w:num>
  <w:num w:numId="12">
    <w:abstractNumId w:val="1"/>
  </w:num>
  <w:num w:numId="13">
    <w:abstractNumId w:val="12"/>
  </w:num>
  <w:num w:numId="14">
    <w:abstractNumId w:val="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26"/>
    <w:rsid w:val="000163BD"/>
    <w:rsid w:val="000272E0"/>
    <w:rsid w:val="00031779"/>
    <w:rsid w:val="00035354"/>
    <w:rsid w:val="000412DD"/>
    <w:rsid w:val="00052316"/>
    <w:rsid w:val="00054700"/>
    <w:rsid w:val="00067C95"/>
    <w:rsid w:val="0007162A"/>
    <w:rsid w:val="00071CEC"/>
    <w:rsid w:val="000728D3"/>
    <w:rsid w:val="00072CA7"/>
    <w:rsid w:val="000733A7"/>
    <w:rsid w:val="000765F5"/>
    <w:rsid w:val="00077243"/>
    <w:rsid w:val="000815FC"/>
    <w:rsid w:val="000869CE"/>
    <w:rsid w:val="00094CE2"/>
    <w:rsid w:val="000A77DB"/>
    <w:rsid w:val="000B520A"/>
    <w:rsid w:val="000B7AFD"/>
    <w:rsid w:val="000C4574"/>
    <w:rsid w:val="000D316D"/>
    <w:rsid w:val="000D38AE"/>
    <w:rsid w:val="000D3EDA"/>
    <w:rsid w:val="000E1475"/>
    <w:rsid w:val="000E1958"/>
    <w:rsid w:val="000F51D5"/>
    <w:rsid w:val="000F5FF5"/>
    <w:rsid w:val="0010006D"/>
    <w:rsid w:val="00102362"/>
    <w:rsid w:val="00104963"/>
    <w:rsid w:val="001077BF"/>
    <w:rsid w:val="001107EB"/>
    <w:rsid w:val="00113C84"/>
    <w:rsid w:val="00116D39"/>
    <w:rsid w:val="00121F43"/>
    <w:rsid w:val="001236CF"/>
    <w:rsid w:val="00123C3E"/>
    <w:rsid w:val="0012582F"/>
    <w:rsid w:val="00134B6C"/>
    <w:rsid w:val="001378B7"/>
    <w:rsid w:val="00140289"/>
    <w:rsid w:val="00144AF1"/>
    <w:rsid w:val="001461C8"/>
    <w:rsid w:val="001467C6"/>
    <w:rsid w:val="00151891"/>
    <w:rsid w:val="00153F2A"/>
    <w:rsid w:val="001614B0"/>
    <w:rsid w:val="0016457C"/>
    <w:rsid w:val="00171B08"/>
    <w:rsid w:val="001729E7"/>
    <w:rsid w:val="00173632"/>
    <w:rsid w:val="00175FFC"/>
    <w:rsid w:val="00177AC0"/>
    <w:rsid w:val="00184728"/>
    <w:rsid w:val="001874BC"/>
    <w:rsid w:val="001917F6"/>
    <w:rsid w:val="001B1EE4"/>
    <w:rsid w:val="001B5DEE"/>
    <w:rsid w:val="001B6E21"/>
    <w:rsid w:val="001D7353"/>
    <w:rsid w:val="001E3D24"/>
    <w:rsid w:val="001E4372"/>
    <w:rsid w:val="001E4FCC"/>
    <w:rsid w:val="001F548E"/>
    <w:rsid w:val="00201759"/>
    <w:rsid w:val="00206132"/>
    <w:rsid w:val="00214F7F"/>
    <w:rsid w:val="00220DE9"/>
    <w:rsid w:val="00221D53"/>
    <w:rsid w:val="00223581"/>
    <w:rsid w:val="00232239"/>
    <w:rsid w:val="002425E0"/>
    <w:rsid w:val="00245265"/>
    <w:rsid w:val="00250414"/>
    <w:rsid w:val="00250CB9"/>
    <w:rsid w:val="002524DA"/>
    <w:rsid w:val="002546B7"/>
    <w:rsid w:val="00255DF0"/>
    <w:rsid w:val="00264366"/>
    <w:rsid w:val="00274743"/>
    <w:rsid w:val="00276F45"/>
    <w:rsid w:val="002824B7"/>
    <w:rsid w:val="002839B9"/>
    <w:rsid w:val="00285A42"/>
    <w:rsid w:val="0029717D"/>
    <w:rsid w:val="002B2279"/>
    <w:rsid w:val="002B2BA6"/>
    <w:rsid w:val="002B5216"/>
    <w:rsid w:val="002D0F74"/>
    <w:rsid w:val="002D1173"/>
    <w:rsid w:val="002D4C96"/>
    <w:rsid w:val="002E0726"/>
    <w:rsid w:val="002E0EA2"/>
    <w:rsid w:val="002E7065"/>
    <w:rsid w:val="002E7A09"/>
    <w:rsid w:val="002F001E"/>
    <w:rsid w:val="002F13CD"/>
    <w:rsid w:val="002F3803"/>
    <w:rsid w:val="00301DB2"/>
    <w:rsid w:val="0030264B"/>
    <w:rsid w:val="00310523"/>
    <w:rsid w:val="00310FA6"/>
    <w:rsid w:val="00326D2A"/>
    <w:rsid w:val="00334E51"/>
    <w:rsid w:val="003406B3"/>
    <w:rsid w:val="00342870"/>
    <w:rsid w:val="00345F77"/>
    <w:rsid w:val="00350917"/>
    <w:rsid w:val="0035206B"/>
    <w:rsid w:val="0035724B"/>
    <w:rsid w:val="003645BF"/>
    <w:rsid w:val="00367DA3"/>
    <w:rsid w:val="003719DB"/>
    <w:rsid w:val="00371B8D"/>
    <w:rsid w:val="00373EB2"/>
    <w:rsid w:val="0037535E"/>
    <w:rsid w:val="0039002F"/>
    <w:rsid w:val="00390A59"/>
    <w:rsid w:val="00394C72"/>
    <w:rsid w:val="00397F85"/>
    <w:rsid w:val="003A09AD"/>
    <w:rsid w:val="003A273C"/>
    <w:rsid w:val="003A33C6"/>
    <w:rsid w:val="003A36D5"/>
    <w:rsid w:val="003A4D26"/>
    <w:rsid w:val="003B06B9"/>
    <w:rsid w:val="003B518A"/>
    <w:rsid w:val="003C0A67"/>
    <w:rsid w:val="003C15AA"/>
    <w:rsid w:val="003C24EC"/>
    <w:rsid w:val="003C25ED"/>
    <w:rsid w:val="003D0C24"/>
    <w:rsid w:val="003D1266"/>
    <w:rsid w:val="003D236A"/>
    <w:rsid w:val="003D4CAC"/>
    <w:rsid w:val="003D548A"/>
    <w:rsid w:val="003D5CFC"/>
    <w:rsid w:val="003D6E0A"/>
    <w:rsid w:val="003D7317"/>
    <w:rsid w:val="003D7882"/>
    <w:rsid w:val="003E0DFE"/>
    <w:rsid w:val="003E2603"/>
    <w:rsid w:val="003E3E3E"/>
    <w:rsid w:val="003E51C8"/>
    <w:rsid w:val="003E6561"/>
    <w:rsid w:val="003E70B6"/>
    <w:rsid w:val="003E7BC4"/>
    <w:rsid w:val="003F0F7E"/>
    <w:rsid w:val="003F2997"/>
    <w:rsid w:val="003F43CF"/>
    <w:rsid w:val="003F43F9"/>
    <w:rsid w:val="003F7C64"/>
    <w:rsid w:val="00401C6F"/>
    <w:rsid w:val="004032D0"/>
    <w:rsid w:val="00406563"/>
    <w:rsid w:val="00406867"/>
    <w:rsid w:val="00406CD2"/>
    <w:rsid w:val="00411862"/>
    <w:rsid w:val="00416565"/>
    <w:rsid w:val="004221A5"/>
    <w:rsid w:val="00434134"/>
    <w:rsid w:val="004425FF"/>
    <w:rsid w:val="00444D45"/>
    <w:rsid w:val="00447BB1"/>
    <w:rsid w:val="00454766"/>
    <w:rsid w:val="004555E2"/>
    <w:rsid w:val="00455F94"/>
    <w:rsid w:val="00456E9B"/>
    <w:rsid w:val="00457E11"/>
    <w:rsid w:val="00461D80"/>
    <w:rsid w:val="00466CDA"/>
    <w:rsid w:val="004707CB"/>
    <w:rsid w:val="00473AA7"/>
    <w:rsid w:val="00476FDC"/>
    <w:rsid w:val="0047719C"/>
    <w:rsid w:val="00496DB3"/>
    <w:rsid w:val="004A100E"/>
    <w:rsid w:val="004A56A0"/>
    <w:rsid w:val="004A5A65"/>
    <w:rsid w:val="004B1F19"/>
    <w:rsid w:val="004C00C0"/>
    <w:rsid w:val="004C0851"/>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477B9"/>
    <w:rsid w:val="00550E26"/>
    <w:rsid w:val="00562BAC"/>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C62C0"/>
    <w:rsid w:val="005D008B"/>
    <w:rsid w:val="005D3F4B"/>
    <w:rsid w:val="005E0F91"/>
    <w:rsid w:val="005E3939"/>
    <w:rsid w:val="005F1A93"/>
    <w:rsid w:val="00603D73"/>
    <w:rsid w:val="00611E1D"/>
    <w:rsid w:val="0061231E"/>
    <w:rsid w:val="00614E79"/>
    <w:rsid w:val="00614EC8"/>
    <w:rsid w:val="006153BC"/>
    <w:rsid w:val="00630522"/>
    <w:rsid w:val="00632714"/>
    <w:rsid w:val="00636F15"/>
    <w:rsid w:val="00642F53"/>
    <w:rsid w:val="00654BC0"/>
    <w:rsid w:val="00656E2F"/>
    <w:rsid w:val="00670D9D"/>
    <w:rsid w:val="006775B5"/>
    <w:rsid w:val="00677BF8"/>
    <w:rsid w:val="00681953"/>
    <w:rsid w:val="00681FC6"/>
    <w:rsid w:val="00683EB4"/>
    <w:rsid w:val="006843AB"/>
    <w:rsid w:val="00686AFB"/>
    <w:rsid w:val="00691182"/>
    <w:rsid w:val="00696A03"/>
    <w:rsid w:val="006A069A"/>
    <w:rsid w:val="006A33F8"/>
    <w:rsid w:val="006A6864"/>
    <w:rsid w:val="006B0754"/>
    <w:rsid w:val="006B0F3C"/>
    <w:rsid w:val="006B204D"/>
    <w:rsid w:val="006B4A7A"/>
    <w:rsid w:val="006B5E30"/>
    <w:rsid w:val="006B7BFE"/>
    <w:rsid w:val="006C2142"/>
    <w:rsid w:val="006C5B32"/>
    <w:rsid w:val="006D1CDC"/>
    <w:rsid w:val="006D31BA"/>
    <w:rsid w:val="006D7297"/>
    <w:rsid w:val="006E0843"/>
    <w:rsid w:val="006E08F6"/>
    <w:rsid w:val="006F3CF4"/>
    <w:rsid w:val="007104C5"/>
    <w:rsid w:val="0072064D"/>
    <w:rsid w:val="007336DD"/>
    <w:rsid w:val="00736CC0"/>
    <w:rsid w:val="00741615"/>
    <w:rsid w:val="00743FDA"/>
    <w:rsid w:val="00744139"/>
    <w:rsid w:val="00746BCA"/>
    <w:rsid w:val="007478C2"/>
    <w:rsid w:val="00747B90"/>
    <w:rsid w:val="00755ECE"/>
    <w:rsid w:val="007617BD"/>
    <w:rsid w:val="00762F7B"/>
    <w:rsid w:val="00767EB4"/>
    <w:rsid w:val="007717B2"/>
    <w:rsid w:val="0077265D"/>
    <w:rsid w:val="0077790F"/>
    <w:rsid w:val="007820D0"/>
    <w:rsid w:val="00783EFE"/>
    <w:rsid w:val="00783F58"/>
    <w:rsid w:val="007B042E"/>
    <w:rsid w:val="007C0E48"/>
    <w:rsid w:val="007C202E"/>
    <w:rsid w:val="007C5FAB"/>
    <w:rsid w:val="007D1A90"/>
    <w:rsid w:val="007D2631"/>
    <w:rsid w:val="007E37A6"/>
    <w:rsid w:val="007E4E22"/>
    <w:rsid w:val="007E4FE8"/>
    <w:rsid w:val="007E60A1"/>
    <w:rsid w:val="007E694D"/>
    <w:rsid w:val="007F3EE5"/>
    <w:rsid w:val="007F6339"/>
    <w:rsid w:val="00800650"/>
    <w:rsid w:val="00802A54"/>
    <w:rsid w:val="00803F0B"/>
    <w:rsid w:val="00804AEF"/>
    <w:rsid w:val="00804D49"/>
    <w:rsid w:val="00806888"/>
    <w:rsid w:val="008114FD"/>
    <w:rsid w:val="00814D47"/>
    <w:rsid w:val="0081654C"/>
    <w:rsid w:val="00816584"/>
    <w:rsid w:val="00817570"/>
    <w:rsid w:val="00831FE2"/>
    <w:rsid w:val="00843412"/>
    <w:rsid w:val="00843D42"/>
    <w:rsid w:val="00845B17"/>
    <w:rsid w:val="00847FA2"/>
    <w:rsid w:val="00861F48"/>
    <w:rsid w:val="00864A76"/>
    <w:rsid w:val="0087604D"/>
    <w:rsid w:val="00886689"/>
    <w:rsid w:val="00887304"/>
    <w:rsid w:val="00894472"/>
    <w:rsid w:val="0089753B"/>
    <w:rsid w:val="008B3156"/>
    <w:rsid w:val="008B7666"/>
    <w:rsid w:val="008D105C"/>
    <w:rsid w:val="008D4486"/>
    <w:rsid w:val="008D6B75"/>
    <w:rsid w:val="008D716B"/>
    <w:rsid w:val="008D7666"/>
    <w:rsid w:val="008E0C4C"/>
    <w:rsid w:val="008E53C8"/>
    <w:rsid w:val="008F36C7"/>
    <w:rsid w:val="0091135C"/>
    <w:rsid w:val="00913F5E"/>
    <w:rsid w:val="0091417D"/>
    <w:rsid w:val="00921CBF"/>
    <w:rsid w:val="00923B0C"/>
    <w:rsid w:val="009247FD"/>
    <w:rsid w:val="00933765"/>
    <w:rsid w:val="00936948"/>
    <w:rsid w:val="00944BC2"/>
    <w:rsid w:val="009526A3"/>
    <w:rsid w:val="00953FAD"/>
    <w:rsid w:val="0095688C"/>
    <w:rsid w:val="00963C76"/>
    <w:rsid w:val="00963FE5"/>
    <w:rsid w:val="00975EFF"/>
    <w:rsid w:val="00976406"/>
    <w:rsid w:val="00982318"/>
    <w:rsid w:val="00983442"/>
    <w:rsid w:val="00992117"/>
    <w:rsid w:val="00993D41"/>
    <w:rsid w:val="009A4B0D"/>
    <w:rsid w:val="009A6761"/>
    <w:rsid w:val="009B02E5"/>
    <w:rsid w:val="009B1EDE"/>
    <w:rsid w:val="009B4B2D"/>
    <w:rsid w:val="009B6244"/>
    <w:rsid w:val="009B6A20"/>
    <w:rsid w:val="009C1DBE"/>
    <w:rsid w:val="009C235A"/>
    <w:rsid w:val="009C34DA"/>
    <w:rsid w:val="009C73C2"/>
    <w:rsid w:val="009D62FF"/>
    <w:rsid w:val="009D6DE1"/>
    <w:rsid w:val="009D7187"/>
    <w:rsid w:val="009E623B"/>
    <w:rsid w:val="009E74C0"/>
    <w:rsid w:val="00A02130"/>
    <w:rsid w:val="00A04888"/>
    <w:rsid w:val="00A22908"/>
    <w:rsid w:val="00A236A7"/>
    <w:rsid w:val="00A2540E"/>
    <w:rsid w:val="00A268C7"/>
    <w:rsid w:val="00A32596"/>
    <w:rsid w:val="00A33696"/>
    <w:rsid w:val="00A36EBD"/>
    <w:rsid w:val="00A435F6"/>
    <w:rsid w:val="00A44E49"/>
    <w:rsid w:val="00A5059C"/>
    <w:rsid w:val="00A519CC"/>
    <w:rsid w:val="00A5273A"/>
    <w:rsid w:val="00A53647"/>
    <w:rsid w:val="00A53B76"/>
    <w:rsid w:val="00A558C5"/>
    <w:rsid w:val="00A55C90"/>
    <w:rsid w:val="00A71362"/>
    <w:rsid w:val="00A75B48"/>
    <w:rsid w:val="00A85757"/>
    <w:rsid w:val="00A91D3A"/>
    <w:rsid w:val="00A92FBE"/>
    <w:rsid w:val="00A94B71"/>
    <w:rsid w:val="00AA4991"/>
    <w:rsid w:val="00AB6960"/>
    <w:rsid w:val="00AC3332"/>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161AC"/>
    <w:rsid w:val="00B2593F"/>
    <w:rsid w:val="00B310BF"/>
    <w:rsid w:val="00B35F23"/>
    <w:rsid w:val="00B362C7"/>
    <w:rsid w:val="00B369D1"/>
    <w:rsid w:val="00B40C4E"/>
    <w:rsid w:val="00B41A17"/>
    <w:rsid w:val="00B42D15"/>
    <w:rsid w:val="00B432DE"/>
    <w:rsid w:val="00B4437C"/>
    <w:rsid w:val="00B67F3E"/>
    <w:rsid w:val="00B75863"/>
    <w:rsid w:val="00B766F4"/>
    <w:rsid w:val="00B8200C"/>
    <w:rsid w:val="00B83E17"/>
    <w:rsid w:val="00B84249"/>
    <w:rsid w:val="00B86624"/>
    <w:rsid w:val="00B86E2F"/>
    <w:rsid w:val="00B8746C"/>
    <w:rsid w:val="00B90A1E"/>
    <w:rsid w:val="00B91940"/>
    <w:rsid w:val="00B93E67"/>
    <w:rsid w:val="00B9551F"/>
    <w:rsid w:val="00BA3C47"/>
    <w:rsid w:val="00BB53D4"/>
    <w:rsid w:val="00BC2C84"/>
    <w:rsid w:val="00BC5D5C"/>
    <w:rsid w:val="00BD62A2"/>
    <w:rsid w:val="00BD6868"/>
    <w:rsid w:val="00BF3562"/>
    <w:rsid w:val="00BF3735"/>
    <w:rsid w:val="00BF59B7"/>
    <w:rsid w:val="00C00100"/>
    <w:rsid w:val="00C01019"/>
    <w:rsid w:val="00C0509D"/>
    <w:rsid w:val="00C0520A"/>
    <w:rsid w:val="00C05450"/>
    <w:rsid w:val="00C05FD8"/>
    <w:rsid w:val="00C13229"/>
    <w:rsid w:val="00C16B9D"/>
    <w:rsid w:val="00C20446"/>
    <w:rsid w:val="00C24350"/>
    <w:rsid w:val="00C263B2"/>
    <w:rsid w:val="00C42279"/>
    <w:rsid w:val="00C441FE"/>
    <w:rsid w:val="00C4776D"/>
    <w:rsid w:val="00C51434"/>
    <w:rsid w:val="00C53398"/>
    <w:rsid w:val="00C627E9"/>
    <w:rsid w:val="00C6299D"/>
    <w:rsid w:val="00C64683"/>
    <w:rsid w:val="00C64B11"/>
    <w:rsid w:val="00C65145"/>
    <w:rsid w:val="00C657FB"/>
    <w:rsid w:val="00C65A25"/>
    <w:rsid w:val="00C65DDC"/>
    <w:rsid w:val="00C66DAE"/>
    <w:rsid w:val="00C679C9"/>
    <w:rsid w:val="00C700FD"/>
    <w:rsid w:val="00C745DB"/>
    <w:rsid w:val="00C77C7A"/>
    <w:rsid w:val="00C8100B"/>
    <w:rsid w:val="00C8709B"/>
    <w:rsid w:val="00CA2397"/>
    <w:rsid w:val="00CA5F98"/>
    <w:rsid w:val="00CB0D9F"/>
    <w:rsid w:val="00CB13C6"/>
    <w:rsid w:val="00CB24A3"/>
    <w:rsid w:val="00CC30D7"/>
    <w:rsid w:val="00CC460C"/>
    <w:rsid w:val="00CC5199"/>
    <w:rsid w:val="00CC71B8"/>
    <w:rsid w:val="00CC7AE9"/>
    <w:rsid w:val="00CD0227"/>
    <w:rsid w:val="00CE0C47"/>
    <w:rsid w:val="00CF08F0"/>
    <w:rsid w:val="00CF324D"/>
    <w:rsid w:val="00CF331D"/>
    <w:rsid w:val="00D02F70"/>
    <w:rsid w:val="00D14EF5"/>
    <w:rsid w:val="00D15086"/>
    <w:rsid w:val="00D17961"/>
    <w:rsid w:val="00D2257C"/>
    <w:rsid w:val="00D25567"/>
    <w:rsid w:val="00D273CD"/>
    <w:rsid w:val="00D34B08"/>
    <w:rsid w:val="00D35C20"/>
    <w:rsid w:val="00D36D6F"/>
    <w:rsid w:val="00D4711F"/>
    <w:rsid w:val="00D66ACD"/>
    <w:rsid w:val="00D66AFD"/>
    <w:rsid w:val="00D709F8"/>
    <w:rsid w:val="00D721A2"/>
    <w:rsid w:val="00D72611"/>
    <w:rsid w:val="00D81AE0"/>
    <w:rsid w:val="00D82FCE"/>
    <w:rsid w:val="00D86944"/>
    <w:rsid w:val="00D91610"/>
    <w:rsid w:val="00D9527A"/>
    <w:rsid w:val="00D95EB1"/>
    <w:rsid w:val="00D97070"/>
    <w:rsid w:val="00D97C41"/>
    <w:rsid w:val="00DA2F73"/>
    <w:rsid w:val="00DB1297"/>
    <w:rsid w:val="00DB20B2"/>
    <w:rsid w:val="00DC06C0"/>
    <w:rsid w:val="00DC4205"/>
    <w:rsid w:val="00DC5878"/>
    <w:rsid w:val="00DC73A5"/>
    <w:rsid w:val="00DC7D35"/>
    <w:rsid w:val="00DD092C"/>
    <w:rsid w:val="00DE11AB"/>
    <w:rsid w:val="00DE2470"/>
    <w:rsid w:val="00DF62D0"/>
    <w:rsid w:val="00E10870"/>
    <w:rsid w:val="00E12A1C"/>
    <w:rsid w:val="00E12F7B"/>
    <w:rsid w:val="00E20030"/>
    <w:rsid w:val="00E245E4"/>
    <w:rsid w:val="00E270CA"/>
    <w:rsid w:val="00E27F4A"/>
    <w:rsid w:val="00E30F79"/>
    <w:rsid w:val="00E3163F"/>
    <w:rsid w:val="00E33E4E"/>
    <w:rsid w:val="00E36400"/>
    <w:rsid w:val="00E44075"/>
    <w:rsid w:val="00E50AA1"/>
    <w:rsid w:val="00E5268B"/>
    <w:rsid w:val="00E57B1B"/>
    <w:rsid w:val="00E605EE"/>
    <w:rsid w:val="00E6298A"/>
    <w:rsid w:val="00E64BC6"/>
    <w:rsid w:val="00E67963"/>
    <w:rsid w:val="00E72C76"/>
    <w:rsid w:val="00E77EAF"/>
    <w:rsid w:val="00E80D0F"/>
    <w:rsid w:val="00E854B4"/>
    <w:rsid w:val="00E86F3D"/>
    <w:rsid w:val="00E8715B"/>
    <w:rsid w:val="00E879FB"/>
    <w:rsid w:val="00E9095B"/>
    <w:rsid w:val="00E9260F"/>
    <w:rsid w:val="00E9448D"/>
    <w:rsid w:val="00E96794"/>
    <w:rsid w:val="00EA1AA0"/>
    <w:rsid w:val="00EA5124"/>
    <w:rsid w:val="00EA6987"/>
    <w:rsid w:val="00EA6FCD"/>
    <w:rsid w:val="00EB3E0E"/>
    <w:rsid w:val="00EB3F2D"/>
    <w:rsid w:val="00EB74F2"/>
    <w:rsid w:val="00EC262F"/>
    <w:rsid w:val="00EC54C2"/>
    <w:rsid w:val="00EC6A26"/>
    <w:rsid w:val="00EF02B3"/>
    <w:rsid w:val="00EF116F"/>
    <w:rsid w:val="00EF1177"/>
    <w:rsid w:val="00EF51DB"/>
    <w:rsid w:val="00F00F21"/>
    <w:rsid w:val="00F01177"/>
    <w:rsid w:val="00F0610B"/>
    <w:rsid w:val="00F13AF9"/>
    <w:rsid w:val="00F22FFA"/>
    <w:rsid w:val="00F2417A"/>
    <w:rsid w:val="00F277AE"/>
    <w:rsid w:val="00F316CC"/>
    <w:rsid w:val="00F31F3B"/>
    <w:rsid w:val="00F36188"/>
    <w:rsid w:val="00F3700D"/>
    <w:rsid w:val="00F37B61"/>
    <w:rsid w:val="00F37DD4"/>
    <w:rsid w:val="00F4512D"/>
    <w:rsid w:val="00F52AAB"/>
    <w:rsid w:val="00F52EA1"/>
    <w:rsid w:val="00F548C7"/>
    <w:rsid w:val="00F570DB"/>
    <w:rsid w:val="00F61020"/>
    <w:rsid w:val="00F63B43"/>
    <w:rsid w:val="00F67830"/>
    <w:rsid w:val="00F74DEE"/>
    <w:rsid w:val="00F931EC"/>
    <w:rsid w:val="00FA2BD3"/>
    <w:rsid w:val="00FA5AC3"/>
    <w:rsid w:val="00FA7391"/>
    <w:rsid w:val="00FB4715"/>
    <w:rsid w:val="00FC2E73"/>
    <w:rsid w:val="00FC32FD"/>
    <w:rsid w:val="00FE16B3"/>
    <w:rsid w:val="00FE5571"/>
    <w:rsid w:val="00FE6E26"/>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364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364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ipj.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F5B22-CFAA-4CC6-B12A-BEF4492DFC3E}"/>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customXml/itemProps4.xml><?xml version="1.0" encoding="utf-8"?>
<ds:datastoreItem xmlns:ds="http://schemas.openxmlformats.org/officeDocument/2006/customXml" ds:itemID="{24C90280-221F-484C-8743-4369CBC90702}"/>
</file>

<file path=docProps/app.xml><?xml version="1.0" encoding="utf-8"?>
<Properties xmlns="http://schemas.openxmlformats.org/officeDocument/2006/extended-properties" xmlns:vt="http://schemas.openxmlformats.org/officeDocument/2006/docPropsVTypes">
  <Template>Normal.dotm</Template>
  <TotalTime>32</TotalTime>
  <Pages>6</Pages>
  <Words>2104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Esther Sainsbury</cp:lastModifiedBy>
  <cp:revision>7</cp:revision>
  <cp:lastPrinted>2014-08-08T02:40:00Z</cp:lastPrinted>
  <dcterms:created xsi:type="dcterms:W3CDTF">2014-08-07T09:48:00Z</dcterms:created>
  <dcterms:modified xsi:type="dcterms:W3CDTF">2014-08-08T08:03:00Z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