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D74C8" w14:textId="416ADC2C" w:rsidR="00F55714" w:rsidRPr="00D6676D" w:rsidRDefault="00F55714" w:rsidP="00F26518">
      <w:pPr>
        <w:pStyle w:val="Heading1"/>
        <w:spacing w:before="240" w:after="240" w:line="240" w:lineRule="atLeast"/>
      </w:pPr>
      <w:r w:rsidRPr="00D6676D">
        <w:t>SECTION E</w:t>
      </w:r>
      <w:r w:rsidR="00D6676D" w:rsidRPr="00D6676D">
        <w:t xml:space="preserve"> – </w:t>
      </w:r>
      <w:r w:rsidRPr="00D6676D">
        <w:t>REGULATORY FRAMEWORK</w:t>
      </w:r>
    </w:p>
    <w:p w14:paraId="2AE04754" w14:textId="1B1536E5" w:rsidR="00F55714" w:rsidRPr="00D6676D" w:rsidRDefault="00F55714" w:rsidP="00F26518">
      <w:pPr>
        <w:pStyle w:val="Heading2"/>
        <w:spacing w:before="240" w:after="240" w:line="240" w:lineRule="atLeast"/>
      </w:pPr>
      <w:r w:rsidRPr="00D6676D">
        <w:t>SUB-SECTION 2</w:t>
      </w:r>
      <w:r w:rsidR="00D6676D" w:rsidRPr="00D6676D">
        <w:t xml:space="preserve"> – </w:t>
      </w:r>
      <w:r w:rsidRPr="00D6676D">
        <w:t>PROFESSIONAL SERVICES</w:t>
      </w:r>
    </w:p>
    <w:p w14:paraId="2C9B02B7" w14:textId="41229221" w:rsidR="00F55714" w:rsidRPr="00D6676D" w:rsidRDefault="00F55714" w:rsidP="00F26518">
      <w:pPr>
        <w:pStyle w:val="Heading3"/>
        <w:spacing w:before="240" w:after="240" w:line="240" w:lineRule="atLeast"/>
      </w:pPr>
      <w:r w:rsidRPr="00D6676D">
        <w:t>ARTICLE 9.41</w:t>
      </w:r>
      <w:r w:rsidR="00D6676D" w:rsidRPr="00D6676D">
        <w:t xml:space="preserve"> – </w:t>
      </w:r>
      <w:r w:rsidRPr="00D6676D">
        <w:t>Mutual recognition of professional qualifications</w:t>
      </w:r>
    </w:p>
    <w:p w14:paraId="640B80F7" w14:textId="7DE4C502" w:rsidR="00F55714" w:rsidRPr="00716DAF" w:rsidRDefault="00F55714" w:rsidP="00F26518">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The Parties shall encourage the relevant </w:t>
      </w:r>
      <w:bookmarkStart w:id="0" w:name="_Hlk65576697"/>
      <w:r w:rsidRPr="00716DAF">
        <w:rPr>
          <w:szCs w:val="24"/>
          <w:lang w:eastAsia="en-GB"/>
        </w:rPr>
        <w:t xml:space="preserve">professional bodies or authorities </w:t>
      </w:r>
      <w:bookmarkEnd w:id="0"/>
      <w:r w:rsidRPr="00716DAF">
        <w:rPr>
          <w:szCs w:val="24"/>
          <w:lang w:eastAsia="en-GB"/>
        </w:rPr>
        <w:t>in their respective territories</w:t>
      </w:r>
      <w:r w:rsidRPr="00716DAF">
        <w:rPr>
          <w:rStyle w:val="FootnoteReference"/>
          <w:szCs w:val="24"/>
          <w:lang w:eastAsia="en-GB"/>
        </w:rPr>
        <w:footnoteReference w:id="1"/>
      </w:r>
      <w:r w:rsidRPr="00716DAF">
        <w:rPr>
          <w:szCs w:val="24"/>
          <w:lang w:eastAsia="en-GB"/>
        </w:rPr>
        <w:t xml:space="preserve"> to develop and provide a joint recommendation on mutual recognition of professional qualifications to the Committee on Investment, Services, Digital Trade, Government Procurement and Intellectual Property Rights, including Geographical Indications, established pursuant to point</w:t>
      </w:r>
      <w:r w:rsidR="00F527FA">
        <w:rPr>
          <w:szCs w:val="24"/>
          <w:lang w:eastAsia="en-GB"/>
        </w:rPr>
        <w:t> </w:t>
      </w:r>
      <w:r w:rsidRPr="00716DAF">
        <w:rPr>
          <w:szCs w:val="24"/>
          <w:lang w:eastAsia="en-GB"/>
        </w:rPr>
        <w:t xml:space="preserve">(d) of Article </w:t>
      </w:r>
      <w:r w:rsidRPr="00F10450">
        <w:rPr>
          <w:szCs w:val="24"/>
          <w:lang w:eastAsia="en-GB"/>
        </w:rPr>
        <w:t>22</w:t>
      </w:r>
      <w:r w:rsidRPr="00716DAF">
        <w:rPr>
          <w:szCs w:val="24"/>
          <w:lang w:eastAsia="en-GB"/>
        </w:rPr>
        <w:t>.</w:t>
      </w:r>
      <w:r w:rsidRPr="00F10450">
        <w:rPr>
          <w:szCs w:val="24"/>
          <w:lang w:eastAsia="en-GB"/>
        </w:rPr>
        <w:t>5</w:t>
      </w:r>
      <w:r w:rsidRPr="00716DAF">
        <w:rPr>
          <w:szCs w:val="24"/>
          <w:lang w:eastAsia="en-GB"/>
        </w:rPr>
        <w:t xml:space="preserve"> (Specialised </w:t>
      </w:r>
      <w:r w:rsidRPr="00716DAF">
        <w:rPr>
          <w:szCs w:val="24"/>
        </w:rPr>
        <w:t>committees</w:t>
      </w:r>
      <w:r w:rsidRPr="00716DAF">
        <w:rPr>
          <w:szCs w:val="24"/>
          <w:lang w:eastAsia="en-GB"/>
        </w:rPr>
        <w:t>). Such a joint recommendation shall be supported by an evidence-based assessment of:</w:t>
      </w:r>
    </w:p>
    <w:p w14:paraId="2056C15F" w14:textId="77777777" w:rsidR="00C8433E" w:rsidRDefault="00F55714" w:rsidP="00F26518">
      <w:pPr>
        <w:spacing w:before="240" w:after="240" w:line="240" w:lineRule="atLeast"/>
        <w:ind w:left="567" w:hanging="567"/>
        <w:rPr>
          <w:szCs w:val="24"/>
        </w:rPr>
      </w:pPr>
      <w:r w:rsidRPr="00716DAF">
        <w:rPr>
          <w:szCs w:val="24"/>
        </w:rPr>
        <w:t>(a)</w:t>
      </w:r>
      <w:r w:rsidRPr="00716DAF">
        <w:rPr>
          <w:szCs w:val="24"/>
        </w:rPr>
        <w:tab/>
        <w:t>the economic value of an envisaged understanding on mutual recognition of professional qualifications</w:t>
      </w:r>
      <w:r w:rsidRPr="00716DAF">
        <w:rPr>
          <w:rStyle w:val="FootnoteReference"/>
          <w:szCs w:val="24"/>
        </w:rPr>
        <w:footnoteReference w:id="2"/>
      </w:r>
      <w:r w:rsidRPr="00716DAF">
        <w:rPr>
          <w:szCs w:val="24"/>
        </w:rPr>
        <w:t xml:space="preserve"> (hereinafter referred to as </w:t>
      </w:r>
      <w:bookmarkStart w:id="1" w:name="_Hlk233051360"/>
      <w:r w:rsidRPr="00716DAF">
        <w:rPr>
          <w:szCs w:val="24"/>
        </w:rPr>
        <w:t>"</w:t>
      </w:r>
      <w:bookmarkEnd w:id="1"/>
      <w:r w:rsidRPr="00716DAF">
        <w:rPr>
          <w:szCs w:val="24"/>
        </w:rPr>
        <w:t>understanding on mutual recognition"); and</w:t>
      </w:r>
    </w:p>
    <w:p w14:paraId="05F0AE21" w14:textId="23B7A2E6" w:rsidR="00F55714" w:rsidRPr="00716DAF" w:rsidRDefault="00F55714" w:rsidP="00F26518">
      <w:pPr>
        <w:spacing w:before="240" w:after="240" w:line="240" w:lineRule="atLeast"/>
        <w:ind w:left="567" w:hanging="567"/>
        <w:rPr>
          <w:szCs w:val="24"/>
        </w:rPr>
      </w:pPr>
      <w:r w:rsidRPr="00716DAF">
        <w:rPr>
          <w:szCs w:val="24"/>
        </w:rPr>
        <w:t>(b)</w:t>
      </w:r>
      <w:r w:rsidRPr="00716DAF">
        <w:rPr>
          <w:szCs w:val="24"/>
        </w:rPr>
        <w:tab/>
        <w:t>the compatibility of the respective regimes, i.e. the extent to which the requirements applied in each Party for the authorisation, licensing, operation and certification are compatible and how divergences between the respective regimes would be bridged.</w:t>
      </w:r>
    </w:p>
    <w:p w14:paraId="3CA20853" w14:textId="77777777" w:rsidR="00F55714" w:rsidRPr="00716DAF" w:rsidRDefault="00F55714" w:rsidP="00F26518">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 xml:space="preserve">On receipt of a joint recommendation referred to in paragraph </w:t>
      </w:r>
      <w:r w:rsidRPr="00F10450">
        <w:rPr>
          <w:szCs w:val="24"/>
          <w:lang w:eastAsia="en-GB"/>
        </w:rPr>
        <w:t>1</w:t>
      </w:r>
      <w:r w:rsidRPr="00716DAF">
        <w:rPr>
          <w:szCs w:val="24"/>
          <w:lang w:eastAsia="en-GB"/>
        </w:rPr>
        <w:t>, the Committee</w:t>
      </w:r>
      <w:r w:rsidRPr="00716DAF">
        <w:rPr>
          <w:szCs w:val="24"/>
        </w:rPr>
        <w:t xml:space="preserve"> </w:t>
      </w:r>
      <w:r w:rsidRPr="00716DAF">
        <w:rPr>
          <w:szCs w:val="24"/>
          <w:lang w:eastAsia="en-GB"/>
        </w:rPr>
        <w:t xml:space="preserve">on Investment, Services, Digital Trade, Government Procurement and Intellectual Property Rights, including Geographical Indications shall review that recommendation within a reasonable </w:t>
      </w:r>
      <w:proofErr w:type="gramStart"/>
      <w:r w:rsidRPr="00716DAF">
        <w:rPr>
          <w:szCs w:val="24"/>
          <w:lang w:eastAsia="en-GB"/>
        </w:rPr>
        <w:t>period of time</w:t>
      </w:r>
      <w:proofErr w:type="gramEnd"/>
      <w:r w:rsidRPr="00716DAF">
        <w:rPr>
          <w:szCs w:val="24"/>
          <w:lang w:eastAsia="en-GB"/>
        </w:rPr>
        <w:t>.</w:t>
      </w:r>
    </w:p>
    <w:p w14:paraId="63DC2E66" w14:textId="77777777" w:rsidR="00C8433E" w:rsidRDefault="00F55714" w:rsidP="00F26518">
      <w:pPr>
        <w:spacing w:before="240" w:after="240" w:line="240" w:lineRule="atLeast"/>
        <w:rPr>
          <w:szCs w:val="24"/>
        </w:rPr>
      </w:pPr>
      <w:r w:rsidRPr="00F10450">
        <w:rPr>
          <w:szCs w:val="24"/>
          <w:lang w:eastAsia="en-GB"/>
        </w:rPr>
        <w:t>3</w:t>
      </w:r>
      <w:r w:rsidRPr="00716DAF">
        <w:rPr>
          <w:szCs w:val="24"/>
          <w:lang w:eastAsia="en-GB"/>
        </w:rPr>
        <w:t>.</w:t>
      </w:r>
      <w:r w:rsidRPr="00716DAF">
        <w:rPr>
          <w:szCs w:val="24"/>
        </w:rPr>
        <w:tab/>
        <w:t xml:space="preserve">The Committee </w:t>
      </w:r>
      <w:r w:rsidRPr="00716DAF">
        <w:rPr>
          <w:szCs w:val="24"/>
          <w:lang w:eastAsia="en-GB"/>
        </w:rPr>
        <w:t>on Investment, Services, Digital Trade, Government Procurement and Intellectual Property Rights, including Geographical Indications</w:t>
      </w:r>
      <w:r w:rsidRPr="00716DAF">
        <w:rPr>
          <w:szCs w:val="24"/>
        </w:rPr>
        <w:t xml:space="preserve">, on the basis of its review of the joint recommendation </w:t>
      </w:r>
      <w:r w:rsidRPr="00716DAF">
        <w:rPr>
          <w:szCs w:val="24"/>
          <w:lang w:eastAsia="en-GB"/>
        </w:rPr>
        <w:t xml:space="preserve">referred to in paragraph </w:t>
      </w:r>
      <w:r w:rsidRPr="00F10450">
        <w:rPr>
          <w:szCs w:val="24"/>
          <w:lang w:eastAsia="en-GB"/>
        </w:rPr>
        <w:t>1</w:t>
      </w:r>
      <w:r w:rsidRPr="00716DAF">
        <w:rPr>
          <w:szCs w:val="24"/>
        </w:rPr>
        <w:t xml:space="preserve">, may make a recommendation to the relevant professional bodies or authorities referred to in paragraph </w:t>
      </w:r>
      <w:r w:rsidRPr="00F10450">
        <w:rPr>
          <w:szCs w:val="24"/>
        </w:rPr>
        <w:t>1</w:t>
      </w:r>
      <w:r w:rsidRPr="00716DAF">
        <w:rPr>
          <w:szCs w:val="24"/>
        </w:rPr>
        <w:t xml:space="preserve"> to negotiate an understanding on mutual recognition based on the joint recommendation, if it is satisfied that an understanding on mutual recognition would have significant economic value for the Parties, that their regimes are compatible and that divergences between those regimes can be bridged. The Committee </w:t>
      </w:r>
      <w:r w:rsidRPr="00716DAF">
        <w:rPr>
          <w:szCs w:val="24"/>
          <w:lang w:eastAsia="en-GB"/>
        </w:rPr>
        <w:t xml:space="preserve">on Investment, Services, Digital Trade, Government Procurement and Intellectual Property Rights, including Geographical Indications </w:t>
      </w:r>
      <w:r w:rsidRPr="00716DAF">
        <w:rPr>
          <w:szCs w:val="24"/>
        </w:rPr>
        <w:t>shall abstain from making a recommendation if the joint recommendation contains elements that give rise to concern that any ensuing understanding on mutual recognition would be inconsistent with this Agreement.</w:t>
      </w:r>
    </w:p>
    <w:p w14:paraId="4D36478D" w14:textId="1EFED3EF" w:rsidR="00F55714" w:rsidRPr="00716DAF" w:rsidRDefault="00F55714" w:rsidP="00F26518">
      <w:pPr>
        <w:spacing w:before="240" w:after="240" w:line="240" w:lineRule="atLeast"/>
        <w:rPr>
          <w:szCs w:val="24"/>
          <w:lang w:eastAsia="en-GB"/>
        </w:rPr>
      </w:pPr>
      <w:bookmarkStart w:id="2" w:name="_Hlk65576524"/>
      <w:r w:rsidRPr="00F10450">
        <w:rPr>
          <w:szCs w:val="24"/>
          <w:lang w:eastAsia="en-GB"/>
        </w:rPr>
        <w:t>4</w:t>
      </w:r>
      <w:r w:rsidRPr="00716DAF">
        <w:rPr>
          <w:szCs w:val="24"/>
          <w:lang w:eastAsia="en-GB"/>
        </w:rPr>
        <w:t>.</w:t>
      </w:r>
      <w:r w:rsidRPr="00716DAF">
        <w:rPr>
          <w:szCs w:val="24"/>
          <w:lang w:eastAsia="en-GB"/>
        </w:rPr>
        <w:tab/>
        <w:t xml:space="preserve">The Parties shall encourage the professional bodies and authorities in their respective territories to use the Guidelines for understandings on the recognition of professional qualifications set out in Annex </w:t>
      </w:r>
      <w:r w:rsidRPr="00F10450">
        <w:rPr>
          <w:szCs w:val="24"/>
          <w:lang w:eastAsia="en-GB"/>
        </w:rPr>
        <w:t>9</w:t>
      </w:r>
      <w:r w:rsidRPr="00716DAF">
        <w:rPr>
          <w:szCs w:val="24"/>
          <w:lang w:eastAsia="en-GB"/>
        </w:rPr>
        <w:t xml:space="preserve">-B (Guidelines for understandings on the recognition of professional </w:t>
      </w:r>
      <w:r w:rsidRPr="00716DAF">
        <w:rPr>
          <w:szCs w:val="24"/>
          <w:lang w:eastAsia="en-GB"/>
        </w:rPr>
        <w:lastRenderedPageBreak/>
        <w:t xml:space="preserve">qualifications) in the development of the joint recommendation referred to in paragraph </w:t>
      </w:r>
      <w:r w:rsidRPr="00F10450">
        <w:rPr>
          <w:szCs w:val="24"/>
          <w:lang w:eastAsia="en-GB"/>
        </w:rPr>
        <w:t>1</w:t>
      </w:r>
      <w:r w:rsidRPr="00716DAF">
        <w:rPr>
          <w:szCs w:val="24"/>
          <w:lang w:eastAsia="en-GB"/>
        </w:rPr>
        <w:t>. The Committee</w:t>
      </w:r>
      <w:r w:rsidRPr="00716DAF" w:rsidDel="00C44410">
        <w:rPr>
          <w:szCs w:val="24"/>
          <w:lang w:eastAsia="en-GB"/>
        </w:rPr>
        <w:t xml:space="preserve"> </w:t>
      </w:r>
      <w:r w:rsidRPr="00716DAF">
        <w:rPr>
          <w:szCs w:val="24"/>
          <w:lang w:eastAsia="en-GB"/>
        </w:rPr>
        <w:t xml:space="preserve">on Investment, Services, Digital Trade, Government Procurement and Intellectual Property Rights, including Geographical Indications shall take Annex </w:t>
      </w:r>
      <w:r w:rsidRPr="00F10450">
        <w:rPr>
          <w:szCs w:val="24"/>
          <w:lang w:eastAsia="en-GB"/>
        </w:rPr>
        <w:t>9</w:t>
      </w:r>
      <w:r w:rsidRPr="00716DAF">
        <w:rPr>
          <w:szCs w:val="24"/>
          <w:lang w:eastAsia="en-GB"/>
        </w:rPr>
        <w:t xml:space="preserve">-B (Guidelines for understandings on the recognition of professional qualifications) into account when reviewing the joint recommendation and assessing whether to recommend to the relevant professional bodies or authorities to negotiate, as referred to in paragraph </w:t>
      </w:r>
      <w:r w:rsidRPr="00F10450">
        <w:rPr>
          <w:szCs w:val="24"/>
          <w:lang w:eastAsia="en-GB"/>
        </w:rPr>
        <w:t>3</w:t>
      </w:r>
      <w:r w:rsidRPr="00716DAF">
        <w:rPr>
          <w:szCs w:val="24"/>
          <w:lang w:eastAsia="en-GB"/>
        </w:rPr>
        <w:t>.</w:t>
      </w:r>
    </w:p>
    <w:bookmarkEnd w:id="2"/>
    <w:p w14:paraId="2DF41700" w14:textId="77777777" w:rsidR="00F55714" w:rsidRPr="00716DAF" w:rsidRDefault="00F55714" w:rsidP="00F26518">
      <w:pPr>
        <w:spacing w:before="240" w:after="240" w:line="240" w:lineRule="atLeast"/>
        <w:rPr>
          <w:szCs w:val="24"/>
          <w:lang w:eastAsia="en-GB"/>
        </w:rPr>
      </w:pPr>
      <w:r w:rsidRPr="00F10450">
        <w:rPr>
          <w:szCs w:val="24"/>
          <w:lang w:eastAsia="en-GB"/>
        </w:rPr>
        <w:t>5</w:t>
      </w:r>
      <w:r w:rsidRPr="00716DAF">
        <w:rPr>
          <w:szCs w:val="24"/>
          <w:lang w:eastAsia="en-GB"/>
        </w:rPr>
        <w:t>.</w:t>
      </w:r>
      <w:r w:rsidRPr="00716DAF">
        <w:rPr>
          <w:szCs w:val="24"/>
          <w:lang w:eastAsia="en-GB"/>
        </w:rPr>
        <w:tab/>
        <w:t>Nothing in this Article shall prevent a Party from requiring that natural persons possess the necessary qualifications or professional experience specified in the territory where the service is supplied, for the sector of activity concerned.</w:t>
      </w:r>
    </w:p>
    <w:p w14:paraId="0BE2711C" w14:textId="77FBE6BF" w:rsidR="00F55714" w:rsidRPr="00D6676D" w:rsidRDefault="00F55714" w:rsidP="00F26518">
      <w:pPr>
        <w:pStyle w:val="Heading3"/>
        <w:spacing w:before="240" w:after="240" w:line="240" w:lineRule="atLeast"/>
      </w:pPr>
      <w:r w:rsidRPr="00716DAF">
        <w:t xml:space="preserve">ARTICLE </w:t>
      </w:r>
      <w:r w:rsidRPr="00F10450">
        <w:t>9</w:t>
      </w:r>
      <w:r w:rsidRPr="00716DAF">
        <w:t>.</w:t>
      </w:r>
      <w:r w:rsidRPr="00F10450">
        <w:t>42</w:t>
      </w:r>
      <w:r w:rsidR="00D6676D" w:rsidRPr="00D6676D">
        <w:t xml:space="preserve"> – </w:t>
      </w:r>
      <w:r w:rsidRPr="00716DAF">
        <w:rPr>
          <w:lang w:val="en-AU"/>
        </w:rPr>
        <w:t>Additional recognition disciplines</w:t>
      </w:r>
    </w:p>
    <w:p w14:paraId="461C5DD8" w14:textId="77777777" w:rsidR="00F55714" w:rsidRPr="00716DAF" w:rsidRDefault="00F55714" w:rsidP="00F26518">
      <w:pPr>
        <w:spacing w:before="240" w:after="240" w:line="240" w:lineRule="atLeast"/>
        <w:rPr>
          <w:szCs w:val="24"/>
        </w:rPr>
      </w:pPr>
      <w:r w:rsidRPr="00F10450">
        <w:rPr>
          <w:szCs w:val="24"/>
        </w:rPr>
        <w:t>1</w:t>
      </w:r>
      <w:r w:rsidRPr="00716DAF">
        <w:rPr>
          <w:szCs w:val="24"/>
        </w:rPr>
        <w:t>.</w:t>
      </w:r>
      <w:r w:rsidRPr="00716DAF">
        <w:rPr>
          <w:szCs w:val="24"/>
        </w:rPr>
        <w:tab/>
        <w:t>Each Party shall accord to service suppliers of the other Party treatment no less favourable than that it accords, in like situations, to its own service suppliers with respect to:</w:t>
      </w:r>
    </w:p>
    <w:p w14:paraId="1087A817" w14:textId="77777777" w:rsidR="00F55714" w:rsidRPr="00716DAF" w:rsidRDefault="00F55714" w:rsidP="00F26518">
      <w:pPr>
        <w:spacing w:before="240" w:after="240" w:line="240" w:lineRule="atLeast"/>
        <w:ind w:left="567" w:hanging="567"/>
        <w:rPr>
          <w:szCs w:val="24"/>
        </w:rPr>
      </w:pPr>
      <w:r w:rsidRPr="00716DAF">
        <w:rPr>
          <w:szCs w:val="24"/>
        </w:rPr>
        <w:t>(a)</w:t>
      </w:r>
      <w:r w:rsidRPr="00716DAF">
        <w:rPr>
          <w:szCs w:val="24"/>
        </w:rPr>
        <w:tab/>
        <w:t>for the Union, recognition by one Member State of a professional qualification, or a licence or registration relating to that professional qualification, obtained in another Member State; and</w:t>
      </w:r>
    </w:p>
    <w:p w14:paraId="507A65E2" w14:textId="777D5406" w:rsidR="00F55714" w:rsidRPr="00716DAF" w:rsidRDefault="00F55714" w:rsidP="00F26518">
      <w:pPr>
        <w:spacing w:before="240" w:after="240" w:line="240" w:lineRule="atLeast"/>
        <w:ind w:left="567" w:hanging="567"/>
        <w:rPr>
          <w:szCs w:val="24"/>
        </w:rPr>
      </w:pPr>
      <w:r w:rsidRPr="00716DAF">
        <w:rPr>
          <w:szCs w:val="24"/>
        </w:rPr>
        <w:t>(b)</w:t>
      </w:r>
      <w:r w:rsidRPr="00716DAF">
        <w:rPr>
          <w:szCs w:val="24"/>
        </w:rPr>
        <w:tab/>
        <w:t>for Australia, recognition by one State or Territory of Australia of a professional qualification, or a licence or registration relating to that professional qualification, obtained in another State or Territory of Australia.</w:t>
      </w:r>
      <w:r w:rsidRPr="00716DAF">
        <w:rPr>
          <w:rStyle w:val="FootnoteReference"/>
          <w:szCs w:val="24"/>
        </w:rPr>
        <w:footnoteReference w:id="3"/>
      </w:r>
    </w:p>
    <w:p w14:paraId="6B5D62F0" w14:textId="77777777" w:rsidR="00C8433E" w:rsidRDefault="00F55714" w:rsidP="00F26518">
      <w:pPr>
        <w:spacing w:before="240" w:after="240" w:line="240" w:lineRule="atLeast"/>
        <w:rPr>
          <w:szCs w:val="24"/>
        </w:rPr>
      </w:pPr>
      <w:r w:rsidRPr="00F10450">
        <w:rPr>
          <w:szCs w:val="24"/>
        </w:rPr>
        <w:t>2</w:t>
      </w:r>
      <w:r w:rsidRPr="00716DAF">
        <w:rPr>
          <w:szCs w:val="24"/>
        </w:rPr>
        <w:t>.</w:t>
      </w:r>
      <w:r w:rsidRPr="00716DAF">
        <w:rPr>
          <w:szCs w:val="24"/>
        </w:rPr>
        <w:tab/>
        <w:t>For the Union, this Article applies if the service supplier:</w:t>
      </w:r>
    </w:p>
    <w:p w14:paraId="6D391D78" w14:textId="77777777" w:rsidR="00DA5748" w:rsidRDefault="00F55714" w:rsidP="00F26518">
      <w:pPr>
        <w:spacing w:before="240" w:after="240" w:line="240" w:lineRule="atLeast"/>
        <w:ind w:left="567" w:hanging="567"/>
        <w:rPr>
          <w:szCs w:val="24"/>
        </w:rPr>
      </w:pPr>
      <w:r w:rsidRPr="00716DAF">
        <w:rPr>
          <w:szCs w:val="24"/>
        </w:rPr>
        <w:t>(a)</w:t>
      </w:r>
      <w:r w:rsidRPr="00716DAF">
        <w:rPr>
          <w:szCs w:val="24"/>
        </w:rPr>
        <w:tab/>
        <w:t>has established an enterprise in a Member State where the service is provided,</w:t>
      </w:r>
    </w:p>
    <w:p w14:paraId="3704FA5A" w14:textId="77777777" w:rsidR="00C8433E" w:rsidRDefault="00F55714" w:rsidP="00F26518">
      <w:pPr>
        <w:spacing w:before="240" w:after="240" w:line="240" w:lineRule="atLeast"/>
        <w:ind w:left="567" w:hanging="567"/>
        <w:rPr>
          <w:szCs w:val="24"/>
        </w:rPr>
      </w:pPr>
      <w:r w:rsidRPr="00716DAF">
        <w:rPr>
          <w:szCs w:val="24"/>
        </w:rPr>
        <w:t>(b)</w:t>
      </w:r>
      <w:r w:rsidRPr="00716DAF">
        <w:rPr>
          <w:szCs w:val="24"/>
        </w:rPr>
        <w:tab/>
        <w:t>is established as self-employed in a Member State where the service is provided,</w:t>
      </w:r>
    </w:p>
    <w:p w14:paraId="29AF4B64" w14:textId="77777777" w:rsidR="00F55714" w:rsidRPr="00716DAF" w:rsidRDefault="00F55714" w:rsidP="00F26518">
      <w:pPr>
        <w:spacing w:before="240" w:after="240" w:line="240" w:lineRule="atLeast"/>
        <w:ind w:left="567" w:hanging="567"/>
        <w:rPr>
          <w:szCs w:val="24"/>
        </w:rPr>
      </w:pPr>
      <w:r w:rsidRPr="00716DAF">
        <w:rPr>
          <w:szCs w:val="24"/>
        </w:rPr>
        <w:t>(c)</w:t>
      </w:r>
      <w:r w:rsidRPr="00716DAF">
        <w:rPr>
          <w:szCs w:val="24"/>
        </w:rPr>
        <w:tab/>
        <w:t xml:space="preserve">is employed or contracted by an enterprise established in a Member State where the service is provided as defined in paragraph (d) or (f) of Article </w:t>
      </w:r>
      <w:r w:rsidRPr="00F10450">
        <w:rPr>
          <w:szCs w:val="24"/>
        </w:rPr>
        <w:t>9</w:t>
      </w:r>
      <w:r w:rsidRPr="00716DAF">
        <w:rPr>
          <w:szCs w:val="24"/>
        </w:rPr>
        <w:t>.</w:t>
      </w:r>
      <w:r w:rsidRPr="00F10450">
        <w:rPr>
          <w:szCs w:val="24"/>
        </w:rPr>
        <w:t>19</w:t>
      </w:r>
      <w:r w:rsidRPr="00716DAF">
        <w:rPr>
          <w:szCs w:val="24"/>
        </w:rPr>
        <w:t xml:space="preserve"> (Definitions); or</w:t>
      </w:r>
    </w:p>
    <w:p w14:paraId="2B9F5637" w14:textId="77777777" w:rsidR="00F55714" w:rsidRPr="00716DAF" w:rsidRDefault="00F55714" w:rsidP="00F26518">
      <w:pPr>
        <w:spacing w:before="240" w:after="240" w:line="240" w:lineRule="atLeast"/>
        <w:ind w:left="567" w:hanging="567"/>
        <w:rPr>
          <w:szCs w:val="24"/>
        </w:rPr>
      </w:pPr>
      <w:r w:rsidRPr="00716DAF">
        <w:rPr>
          <w:szCs w:val="24"/>
        </w:rPr>
        <w:t>(d)</w:t>
      </w:r>
      <w:r w:rsidRPr="00716DAF">
        <w:rPr>
          <w:szCs w:val="24"/>
        </w:rPr>
        <w:tab/>
        <w:t xml:space="preserve">is providing a service to a consumer in a Member State under a contractual arrangement defined in paragraph (c) of Article </w:t>
      </w:r>
      <w:r w:rsidRPr="00F10450">
        <w:rPr>
          <w:szCs w:val="24"/>
        </w:rPr>
        <w:t>9</w:t>
      </w:r>
      <w:r w:rsidRPr="00716DAF">
        <w:rPr>
          <w:szCs w:val="24"/>
        </w:rPr>
        <w:t>.</w:t>
      </w:r>
      <w:r w:rsidRPr="00F10450">
        <w:rPr>
          <w:szCs w:val="24"/>
        </w:rPr>
        <w:t>19</w:t>
      </w:r>
      <w:r w:rsidRPr="00716DAF">
        <w:rPr>
          <w:szCs w:val="24"/>
        </w:rPr>
        <w:t xml:space="preserve"> (Definitions).</w:t>
      </w:r>
    </w:p>
    <w:p w14:paraId="1CB34F2D" w14:textId="77777777" w:rsidR="00F55714" w:rsidRPr="00716DAF" w:rsidRDefault="00F55714" w:rsidP="00F26518">
      <w:pPr>
        <w:spacing w:before="240" w:after="240" w:line="240" w:lineRule="atLeast"/>
        <w:rPr>
          <w:szCs w:val="24"/>
        </w:rPr>
      </w:pPr>
      <w:bookmarkStart w:id="3" w:name="_Hlk125110242"/>
      <w:r w:rsidRPr="00F10450">
        <w:rPr>
          <w:szCs w:val="24"/>
        </w:rPr>
        <w:t>3</w:t>
      </w:r>
      <w:r w:rsidRPr="00716DAF">
        <w:rPr>
          <w:szCs w:val="24"/>
        </w:rPr>
        <w:t>.</w:t>
      </w:r>
      <w:r w:rsidRPr="00716DAF">
        <w:rPr>
          <w:szCs w:val="24"/>
        </w:rPr>
        <w:tab/>
        <w:t>This Article does not apply to cross-border trade in services between the territories of the Parties or within the Union.</w:t>
      </w:r>
      <w:bookmarkEnd w:id="3"/>
      <w:r w:rsidRPr="00716DAF">
        <w:rPr>
          <w:rStyle w:val="FootnoteReference"/>
          <w:szCs w:val="24"/>
        </w:rPr>
        <w:footnoteReference w:id="4"/>
      </w:r>
    </w:p>
    <w:p w14:paraId="4D40DE81" w14:textId="4F83E991" w:rsidR="00F55714" w:rsidRPr="00716DAF" w:rsidRDefault="00F55714" w:rsidP="00F26518">
      <w:pPr>
        <w:pStyle w:val="Heading3"/>
        <w:spacing w:before="240" w:after="240" w:line="240" w:lineRule="atLeast"/>
      </w:pPr>
      <w:r w:rsidRPr="00716DAF">
        <w:lastRenderedPageBreak/>
        <w:t xml:space="preserve">ARTICLE </w:t>
      </w:r>
      <w:r w:rsidRPr="00F10450">
        <w:t>9</w:t>
      </w:r>
      <w:r w:rsidRPr="00716DAF">
        <w:t>.</w:t>
      </w:r>
      <w:r w:rsidRPr="00F10450">
        <w:t>43</w:t>
      </w:r>
      <w:r w:rsidR="00D6676D" w:rsidRPr="00D6676D">
        <w:t xml:space="preserve"> – </w:t>
      </w:r>
      <w:r w:rsidRPr="00716DAF">
        <w:t>Regulation of professional services</w:t>
      </w:r>
    </w:p>
    <w:p w14:paraId="6CAB961A" w14:textId="77777777" w:rsidR="00F55714" w:rsidRPr="00716DAF" w:rsidRDefault="00F55714" w:rsidP="00F26518">
      <w:pPr>
        <w:spacing w:before="240" w:after="240" w:line="240" w:lineRule="atLeast"/>
        <w:rPr>
          <w:szCs w:val="24"/>
        </w:rPr>
      </w:pPr>
      <w:r w:rsidRPr="00F10450">
        <w:rPr>
          <w:szCs w:val="24"/>
        </w:rPr>
        <w:t>1</w:t>
      </w:r>
      <w:r w:rsidRPr="00716DAF">
        <w:rPr>
          <w:szCs w:val="24"/>
        </w:rPr>
        <w:t>.</w:t>
      </w:r>
      <w:r w:rsidRPr="00716DAF">
        <w:rPr>
          <w:szCs w:val="24"/>
        </w:rPr>
        <w:tab/>
        <w:t>The Parties recognise that professional services play an essential role in facilitating trade and investment across both goods and services sectors and in promoting economic growth and business confidence.</w:t>
      </w:r>
    </w:p>
    <w:p w14:paraId="42AE98E8" w14:textId="77777777" w:rsidR="00C8433E" w:rsidRDefault="00F55714" w:rsidP="00F26518">
      <w:pPr>
        <w:spacing w:before="240" w:after="240" w:line="240" w:lineRule="atLeast"/>
        <w:rPr>
          <w:szCs w:val="24"/>
        </w:rPr>
      </w:pPr>
      <w:r w:rsidRPr="00F10450">
        <w:rPr>
          <w:szCs w:val="24"/>
        </w:rPr>
        <w:t>2</w:t>
      </w:r>
      <w:r w:rsidRPr="00716DAF">
        <w:rPr>
          <w:szCs w:val="24"/>
        </w:rPr>
        <w:t>.</w:t>
      </w:r>
      <w:r w:rsidRPr="00716DAF">
        <w:rPr>
          <w:szCs w:val="24"/>
        </w:rPr>
        <w:tab/>
        <w:t>If a Party regulates or seeks to regulate the provision of a professional service by foreign service suppliers</w:t>
      </w:r>
      <w:r w:rsidRPr="00716DAF">
        <w:rPr>
          <w:rStyle w:val="FootnoteReference"/>
          <w:szCs w:val="24"/>
        </w:rPr>
        <w:footnoteReference w:id="5"/>
      </w:r>
      <w:r w:rsidRPr="00716DAF">
        <w:rPr>
          <w:szCs w:val="24"/>
        </w:rPr>
        <w:t xml:space="preserve"> (hereinafter referred to as "foreign professionals"), the Party may consider providing for a regulatory framework that allows:</w:t>
      </w:r>
    </w:p>
    <w:p w14:paraId="1626545F" w14:textId="77777777" w:rsidR="00F55714" w:rsidRPr="00716DAF" w:rsidRDefault="00F55714" w:rsidP="00F26518">
      <w:pPr>
        <w:spacing w:before="240" w:after="240" w:line="240" w:lineRule="atLeast"/>
        <w:ind w:left="567" w:hanging="567"/>
        <w:rPr>
          <w:szCs w:val="24"/>
        </w:rPr>
      </w:pPr>
      <w:r w:rsidRPr="00716DAF">
        <w:rPr>
          <w:szCs w:val="24"/>
        </w:rPr>
        <w:t>(a)</w:t>
      </w:r>
      <w:r w:rsidRPr="00716DAF">
        <w:rPr>
          <w:szCs w:val="24"/>
        </w:rPr>
        <w:tab/>
        <w:t xml:space="preserve">the presence of foreign professionals on a temporary basis for business purposes </w:t>
      </w:r>
      <w:proofErr w:type="gramStart"/>
      <w:r w:rsidRPr="00716DAF">
        <w:rPr>
          <w:szCs w:val="24"/>
        </w:rPr>
        <w:t>in order to</w:t>
      </w:r>
      <w:proofErr w:type="gramEnd"/>
      <w:r w:rsidRPr="00716DAF">
        <w:rPr>
          <w:szCs w:val="24"/>
        </w:rPr>
        <w:t xml:space="preserve"> provide professional services in the territory of the Party </w:t>
      </w:r>
      <w:proofErr w:type="gramStart"/>
      <w:r w:rsidRPr="00716DAF">
        <w:rPr>
          <w:szCs w:val="24"/>
        </w:rPr>
        <w:t>on the basis of</w:t>
      </w:r>
      <w:proofErr w:type="gramEnd"/>
      <w:r w:rsidRPr="00716DAF">
        <w:rPr>
          <w:szCs w:val="24"/>
        </w:rPr>
        <w:t xml:space="preserve"> their right to provide those services in their home jurisdiction;</w:t>
      </w:r>
    </w:p>
    <w:p w14:paraId="532C3911" w14:textId="77777777" w:rsidR="00F55714" w:rsidRPr="00716DAF" w:rsidRDefault="00F55714" w:rsidP="00F26518">
      <w:pPr>
        <w:spacing w:before="240" w:after="240" w:line="240" w:lineRule="atLeast"/>
        <w:ind w:left="567" w:hanging="567"/>
        <w:rPr>
          <w:szCs w:val="24"/>
        </w:rPr>
      </w:pPr>
      <w:r w:rsidRPr="00716DAF">
        <w:rPr>
          <w:szCs w:val="24"/>
        </w:rPr>
        <w:t>(b)</w:t>
      </w:r>
      <w:r w:rsidRPr="00716DAF">
        <w:rPr>
          <w:szCs w:val="24"/>
        </w:rPr>
        <w:tab/>
        <w:t>where relevant and appropriate, for local ethical, conduct and disciplinary standards to be applied to foreign professionals in a manner that is not more burdensome for foreign professionals than the requirements applied to domestic (host-country) suppliers of those professional services in like situations;</w:t>
      </w:r>
    </w:p>
    <w:p w14:paraId="367FB8A1" w14:textId="77777777" w:rsidR="00F55714" w:rsidRPr="00716DAF" w:rsidRDefault="00F55714" w:rsidP="00F26518">
      <w:pPr>
        <w:spacing w:before="240" w:after="240" w:line="240" w:lineRule="atLeast"/>
        <w:ind w:left="567" w:hanging="567"/>
        <w:rPr>
          <w:szCs w:val="24"/>
        </w:rPr>
      </w:pPr>
      <w:r w:rsidRPr="00716DAF">
        <w:rPr>
          <w:szCs w:val="24"/>
        </w:rPr>
        <w:t>(c)</w:t>
      </w:r>
      <w:r w:rsidRPr="00716DAF">
        <w:rPr>
          <w:szCs w:val="24"/>
        </w:rPr>
        <w:tab/>
        <w:t>requirements, such as requirements that foreign professionals:</w:t>
      </w:r>
    </w:p>
    <w:p w14:paraId="52B80732" w14:textId="77777777" w:rsidR="00F55714" w:rsidRPr="00716DAF" w:rsidRDefault="00F55714" w:rsidP="00F26518">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are members of a professional organisation;</w:t>
      </w:r>
    </w:p>
    <w:p w14:paraId="7E579879" w14:textId="14F2DFF8" w:rsidR="00F55714" w:rsidRPr="00716DAF" w:rsidRDefault="00F55714" w:rsidP="00F26518">
      <w:pPr>
        <w:spacing w:before="240" w:after="240" w:line="240" w:lineRule="atLeast"/>
        <w:ind w:left="1134" w:hanging="567"/>
        <w:rPr>
          <w:szCs w:val="24"/>
        </w:rPr>
      </w:pPr>
      <w:r w:rsidRPr="00716DAF">
        <w:rPr>
          <w:szCs w:val="24"/>
        </w:rPr>
        <w:t>(ii)</w:t>
      </w:r>
      <w:r w:rsidRPr="00716DAF">
        <w:rPr>
          <w:szCs w:val="24"/>
        </w:rPr>
        <w:tab/>
        <w:t>participate in collective compensation funds for members of professional organisations;</w:t>
      </w:r>
    </w:p>
    <w:p w14:paraId="597573C3" w14:textId="77777777" w:rsidR="00F55714" w:rsidRPr="00716DAF" w:rsidRDefault="00F55714" w:rsidP="00F26518">
      <w:pPr>
        <w:spacing w:before="240" w:after="240" w:line="240" w:lineRule="atLeast"/>
        <w:ind w:left="1134" w:hanging="567"/>
        <w:rPr>
          <w:szCs w:val="24"/>
        </w:rPr>
      </w:pPr>
      <w:r w:rsidRPr="00716DAF">
        <w:rPr>
          <w:szCs w:val="24"/>
        </w:rPr>
        <w:t>(iii)</w:t>
      </w:r>
      <w:r w:rsidRPr="00716DAF">
        <w:rPr>
          <w:szCs w:val="24"/>
        </w:rPr>
        <w:tab/>
        <w:t>post a bond or other form of financial security, or establish or contribute to a trust account;</w:t>
      </w:r>
    </w:p>
    <w:p w14:paraId="7A928A50" w14:textId="77777777" w:rsidR="00F55714" w:rsidRPr="00716DAF" w:rsidRDefault="00F55714" w:rsidP="00F26518">
      <w:pPr>
        <w:spacing w:before="240" w:after="240" w:line="240" w:lineRule="atLeast"/>
        <w:ind w:left="1134" w:hanging="567"/>
        <w:rPr>
          <w:szCs w:val="24"/>
        </w:rPr>
      </w:pPr>
      <w:r w:rsidRPr="00716DAF">
        <w:rPr>
          <w:szCs w:val="24"/>
        </w:rPr>
        <w:t>(iv)</w:t>
      </w:r>
      <w:r w:rsidRPr="00716DAF">
        <w:rPr>
          <w:szCs w:val="24"/>
        </w:rPr>
        <w:tab/>
        <w:t>maintain a particular type and amount of insurance, or provide other similar guarantees; or</w:t>
      </w:r>
    </w:p>
    <w:p w14:paraId="0D8C2FBA" w14:textId="77777777" w:rsidR="00F55714" w:rsidRPr="00716DAF" w:rsidRDefault="00F55714" w:rsidP="00F26518">
      <w:pPr>
        <w:spacing w:before="240" w:after="240" w:line="240" w:lineRule="atLeast"/>
        <w:ind w:left="1134" w:hanging="567"/>
        <w:rPr>
          <w:szCs w:val="24"/>
          <w:lang w:eastAsia="en-GB"/>
        </w:rPr>
      </w:pPr>
      <w:r w:rsidRPr="00716DAF">
        <w:rPr>
          <w:szCs w:val="24"/>
        </w:rPr>
        <w:t>(v)</w:t>
      </w:r>
      <w:r w:rsidRPr="00716DAF">
        <w:rPr>
          <w:szCs w:val="24"/>
        </w:rPr>
        <w:tab/>
        <w:t>provide access to records or alternatively</w:t>
      </w:r>
      <w:r w:rsidRPr="00716DAF">
        <w:rPr>
          <w:szCs w:val="24"/>
          <w:lang w:eastAsia="en-GB"/>
        </w:rPr>
        <w:t xml:space="preserve"> disclose to clients their status as a foreign professional; and</w:t>
      </w:r>
    </w:p>
    <w:p w14:paraId="321703E3" w14:textId="77777777" w:rsidR="00F55714" w:rsidRPr="00716DAF" w:rsidRDefault="00F55714" w:rsidP="00F26518">
      <w:pPr>
        <w:spacing w:before="240" w:after="240" w:line="240" w:lineRule="atLeast"/>
        <w:rPr>
          <w:szCs w:val="24"/>
        </w:rPr>
      </w:pPr>
      <w:r w:rsidRPr="00716DAF">
        <w:rPr>
          <w:szCs w:val="24"/>
        </w:rPr>
        <w:t>(d)</w:t>
      </w:r>
      <w:r w:rsidRPr="00716DAF">
        <w:rPr>
          <w:szCs w:val="24"/>
        </w:rPr>
        <w:tab/>
        <w:t>the supply of professional services through the following modes of supply:</w:t>
      </w:r>
    </w:p>
    <w:p w14:paraId="3589BBA9" w14:textId="77777777" w:rsidR="00C8433E" w:rsidRDefault="00F55714" w:rsidP="00F26518">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through the presence on a temporary basis of a foreign professional in the territory of the other Party;</w:t>
      </w:r>
    </w:p>
    <w:p w14:paraId="411BF55F" w14:textId="77777777" w:rsidR="00F55714" w:rsidRPr="00716DAF" w:rsidRDefault="00F55714" w:rsidP="00F26518">
      <w:pPr>
        <w:spacing w:before="240" w:after="240" w:line="240" w:lineRule="atLeast"/>
        <w:ind w:left="1134" w:hanging="567"/>
        <w:rPr>
          <w:szCs w:val="24"/>
        </w:rPr>
      </w:pPr>
      <w:r w:rsidRPr="00716DAF">
        <w:rPr>
          <w:szCs w:val="24"/>
        </w:rPr>
        <w:lastRenderedPageBreak/>
        <w:t>(ii)</w:t>
      </w:r>
      <w:r w:rsidRPr="00716DAF">
        <w:rPr>
          <w:szCs w:val="24"/>
        </w:rPr>
        <w:tab/>
        <w:t xml:space="preserve">on a cross-border basis </w:t>
      </w:r>
      <w:proofErr w:type="gramStart"/>
      <w:r w:rsidRPr="00716DAF">
        <w:rPr>
          <w:szCs w:val="24"/>
        </w:rPr>
        <w:t>through the use of</w:t>
      </w:r>
      <w:proofErr w:type="gramEnd"/>
      <w:r w:rsidRPr="00716DAF">
        <w:rPr>
          <w:szCs w:val="24"/>
        </w:rPr>
        <w:t xml:space="preserve"> telecommunications technology; or</w:t>
      </w:r>
    </w:p>
    <w:p w14:paraId="04DEE255" w14:textId="77777777" w:rsidR="00F55714" w:rsidRPr="00716DAF" w:rsidRDefault="00F55714" w:rsidP="00F26518">
      <w:pPr>
        <w:spacing w:before="240" w:after="240" w:line="240" w:lineRule="atLeast"/>
        <w:ind w:left="1134" w:hanging="567"/>
        <w:rPr>
          <w:szCs w:val="24"/>
        </w:rPr>
      </w:pPr>
      <w:r w:rsidRPr="00716DAF">
        <w:rPr>
          <w:szCs w:val="24"/>
        </w:rPr>
        <w:t>(iii)</w:t>
      </w:r>
      <w:r w:rsidRPr="00716DAF">
        <w:rPr>
          <w:szCs w:val="24"/>
        </w:rPr>
        <w:tab/>
        <w:t>through the establishment of a commercial presence.</w:t>
      </w:r>
    </w:p>
    <w:p w14:paraId="3636893A" w14:textId="05748CD2" w:rsidR="00F55714" w:rsidRPr="00716DAF" w:rsidRDefault="00F55714" w:rsidP="00F26518">
      <w:pPr>
        <w:spacing w:before="240" w:after="240" w:line="240" w:lineRule="atLeast"/>
        <w:rPr>
          <w:szCs w:val="24"/>
        </w:rPr>
      </w:pPr>
      <w:r w:rsidRPr="00F10450">
        <w:rPr>
          <w:szCs w:val="24"/>
        </w:rPr>
        <w:t>3</w:t>
      </w:r>
      <w:r w:rsidRPr="00716DAF">
        <w:rPr>
          <w:szCs w:val="24"/>
        </w:rPr>
        <w:t>.</w:t>
      </w:r>
      <w:r w:rsidRPr="00716DAF">
        <w:rPr>
          <w:szCs w:val="24"/>
        </w:rPr>
        <w:tab/>
        <w:t>Where feasible, the Parties may consider implementing a temporary, limited or project-specific licensing or registration regime based on a foreign professional’s home licence or recognised professional body membership, without the need for a further written examination. Such a regime should not operate to prevent a foreign professional</w:t>
      </w:r>
      <w:r w:rsidRPr="00716DAF">
        <w:rPr>
          <w:szCs w:val="24"/>
          <w:lang w:eastAsia="en-GB"/>
        </w:rPr>
        <w:t xml:space="preserve"> </w:t>
      </w:r>
      <w:r w:rsidRPr="00716DAF">
        <w:rPr>
          <w:szCs w:val="24"/>
        </w:rPr>
        <w:t>from obtaining a local licence once that foreign professional satisfies the applicable local licensing requirements.</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44B9" w14:textId="77777777" w:rsidR="00411009" w:rsidRDefault="00411009">
      <w:r>
        <w:separator/>
      </w:r>
    </w:p>
  </w:endnote>
  <w:endnote w:type="continuationSeparator" w:id="0">
    <w:p w14:paraId="3B70BDFC" w14:textId="77777777" w:rsidR="00411009" w:rsidRDefault="0041100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F1D2" w14:textId="27D18C02" w:rsidR="00400020" w:rsidRDefault="00400020">
    <w:pPr>
      <w:pStyle w:val="Footer"/>
    </w:pPr>
    <w:r>
      <w:rPr>
        <w:noProof/>
      </w:rPr>
      <mc:AlternateContent>
        <mc:Choice Requires="wps">
          <w:drawing>
            <wp:anchor distT="0" distB="0" distL="0" distR="0" simplePos="0" relativeHeight="251658241" behindDoc="0" locked="0" layoutInCell="1" allowOverlap="1" wp14:anchorId="2CF50377" wp14:editId="62112762">
              <wp:simplePos x="635" y="635"/>
              <wp:positionH relativeFrom="page">
                <wp:align>center</wp:align>
              </wp:positionH>
              <wp:positionV relativeFrom="page">
                <wp:align>bottom</wp:align>
              </wp:positionV>
              <wp:extent cx="622300" cy="469265"/>
              <wp:effectExtent l="0" t="0" r="6350" b="0"/>
              <wp:wrapNone/>
              <wp:docPr id="206521257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20E52DE" w14:textId="6A8DD681" w:rsidR="00400020" w:rsidRPr="00400020" w:rsidRDefault="00400020" w:rsidP="00400020">
                          <w:pPr>
                            <w:rPr>
                              <w:rFonts w:ascii="Aptos" w:eastAsia="Aptos" w:hAnsi="Aptos" w:cs="Aptos"/>
                              <w:noProof/>
                              <w:color w:val="FF0000"/>
                              <w:szCs w:val="24"/>
                            </w:rPr>
                          </w:pPr>
                          <w:r w:rsidRPr="00400020">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F50377"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320E52DE" w14:textId="6A8DD681" w:rsidR="00400020" w:rsidRPr="00400020" w:rsidRDefault="00400020" w:rsidP="00400020">
                    <w:pPr>
                      <w:rPr>
                        <w:rFonts w:ascii="Aptos" w:eastAsia="Aptos" w:hAnsi="Aptos" w:cs="Aptos"/>
                        <w:noProof/>
                        <w:color w:val="FF0000"/>
                        <w:szCs w:val="24"/>
                      </w:rPr>
                    </w:pPr>
                    <w:r w:rsidRPr="00400020">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368482"/>
      <w:docPartObj>
        <w:docPartGallery w:val="Page Numbers (Bottom of Page)"/>
        <w:docPartUnique/>
      </w:docPartObj>
    </w:sdtPr>
    <w:sdtEndPr>
      <w:rPr>
        <w:noProof/>
      </w:rPr>
    </w:sdtEndPr>
    <w:sdtContent>
      <w:p w14:paraId="0E421D53" w14:textId="244070EA" w:rsidR="00D6676D" w:rsidRDefault="00D667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AEC180" w14:textId="77777777" w:rsidR="00D6676D" w:rsidRDefault="00D667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5C2F1" w14:textId="4AB2ED17" w:rsidR="00400020" w:rsidRDefault="00400020">
    <w:pPr>
      <w:pStyle w:val="Footer"/>
    </w:pPr>
    <w:r>
      <w:rPr>
        <w:noProof/>
      </w:rPr>
      <mc:AlternateContent>
        <mc:Choice Requires="wps">
          <w:drawing>
            <wp:anchor distT="0" distB="0" distL="0" distR="0" simplePos="0" relativeHeight="251658243" behindDoc="0" locked="0" layoutInCell="1" allowOverlap="1" wp14:anchorId="4D3E65B8" wp14:editId="3C2D3733">
              <wp:simplePos x="635" y="635"/>
              <wp:positionH relativeFrom="page">
                <wp:align>center</wp:align>
              </wp:positionH>
              <wp:positionV relativeFrom="page">
                <wp:align>bottom</wp:align>
              </wp:positionV>
              <wp:extent cx="622300" cy="469265"/>
              <wp:effectExtent l="0" t="0" r="6350" b="0"/>
              <wp:wrapNone/>
              <wp:docPr id="151541320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EC076FE" w14:textId="68A1EE19" w:rsidR="00400020" w:rsidRPr="00400020" w:rsidRDefault="00400020" w:rsidP="00400020">
                          <w:pPr>
                            <w:rPr>
                              <w:rFonts w:ascii="Aptos" w:eastAsia="Aptos" w:hAnsi="Aptos" w:cs="Aptos"/>
                              <w:noProof/>
                              <w:color w:val="FF0000"/>
                              <w:szCs w:val="24"/>
                            </w:rPr>
                          </w:pPr>
                          <w:r w:rsidRPr="00400020">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3E65B8"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6EC076FE" w14:textId="68A1EE19" w:rsidR="00400020" w:rsidRPr="00400020" w:rsidRDefault="00400020" w:rsidP="00400020">
                    <w:pPr>
                      <w:rPr>
                        <w:rFonts w:ascii="Aptos" w:eastAsia="Aptos" w:hAnsi="Aptos" w:cs="Aptos"/>
                        <w:noProof/>
                        <w:color w:val="FF0000"/>
                        <w:szCs w:val="24"/>
                      </w:rPr>
                    </w:pPr>
                    <w:r w:rsidRPr="00400020">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830B3" w14:textId="77777777" w:rsidR="00411009" w:rsidRDefault="00411009">
      <w:pPr>
        <w:pStyle w:val="FootnoteText"/>
      </w:pPr>
      <w:r>
        <w:separator/>
      </w:r>
    </w:p>
  </w:footnote>
  <w:footnote w:type="continuationSeparator" w:id="0">
    <w:p w14:paraId="5A5E85DF" w14:textId="77777777" w:rsidR="00411009" w:rsidRDefault="00411009">
      <w:pPr>
        <w:pStyle w:val="FootnoteText"/>
      </w:pPr>
      <w:r>
        <w:separator/>
      </w:r>
    </w:p>
  </w:footnote>
  <w:footnote w:id="1">
    <w:p w14:paraId="094492C9" w14:textId="0BBE594F" w:rsidR="00F55714" w:rsidRPr="00917379" w:rsidRDefault="00F55714" w:rsidP="00F55714">
      <w:pPr>
        <w:pStyle w:val="FootnoteText"/>
        <w:rPr>
          <w:szCs w:val="24"/>
        </w:rPr>
      </w:pPr>
      <w:r w:rsidRPr="00917379">
        <w:rPr>
          <w:rStyle w:val="FootnoteReference"/>
          <w:szCs w:val="24"/>
        </w:rPr>
        <w:footnoteRef/>
      </w:r>
      <w:r w:rsidRPr="00917379">
        <w:rPr>
          <w:szCs w:val="24"/>
        </w:rPr>
        <w:tab/>
        <w:t>For the Union, professional bodies or authorities are those covering the territory of the</w:t>
      </w:r>
      <w:r w:rsidRPr="00917379">
        <w:rPr>
          <w:bCs/>
          <w:szCs w:val="24"/>
        </w:rPr>
        <w:t xml:space="preserve"> Union</w:t>
      </w:r>
      <w:r w:rsidRPr="00917379">
        <w:rPr>
          <w:szCs w:val="24"/>
        </w:rPr>
        <w:t xml:space="preserve"> as a whole.</w:t>
      </w:r>
    </w:p>
  </w:footnote>
  <w:footnote w:id="2">
    <w:p w14:paraId="26BFDD52" w14:textId="58835809"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such understandings shall not be legally binding but may set, in the mutual interest of both Parties, recommendations for the professional bodies or authorities granting recognition.</w:t>
      </w:r>
    </w:p>
  </w:footnote>
  <w:footnote w:id="3">
    <w:p w14:paraId="2309FC63" w14:textId="42E06F16" w:rsidR="00F55714" w:rsidRPr="00917379" w:rsidRDefault="00F55714" w:rsidP="00F92646">
      <w:pPr>
        <w:pStyle w:val="FootnoteText"/>
        <w:rPr>
          <w:szCs w:val="24"/>
          <w:lang w:val="en-US"/>
        </w:rPr>
      </w:pPr>
      <w:r w:rsidRPr="00917379">
        <w:rPr>
          <w:rStyle w:val="FootnoteReference"/>
          <w:szCs w:val="24"/>
        </w:rPr>
        <w:footnoteRef/>
      </w:r>
      <w:r w:rsidRPr="00917379">
        <w:rPr>
          <w:szCs w:val="24"/>
        </w:rPr>
        <w:tab/>
        <w:t>For greater certainty, the recognition of a professional qualification, or a licence or registration relating to that professional qualification, pursuant to</w:t>
      </w:r>
      <w:r w:rsidRPr="00917379" w:rsidDel="001D2F55">
        <w:rPr>
          <w:szCs w:val="24"/>
        </w:rPr>
        <w:t xml:space="preserve"> </w:t>
      </w:r>
      <w:r w:rsidRPr="00917379">
        <w:rPr>
          <w:szCs w:val="24"/>
        </w:rPr>
        <w:t>paragraph 1 is without prejudice to measures adopted or maintained by a Party consistent with this Agreement affecting the supply of a service or establishment or operation to perform economic activities.</w:t>
      </w:r>
    </w:p>
  </w:footnote>
  <w:footnote w:id="4">
    <w:p w14:paraId="5124344F" w14:textId="77777777" w:rsidR="00F55714" w:rsidRPr="00917379" w:rsidRDefault="00F55714" w:rsidP="00C239C6">
      <w:pPr>
        <w:pStyle w:val="FootnoteText"/>
        <w:rPr>
          <w:szCs w:val="24"/>
        </w:rPr>
      </w:pPr>
      <w:r w:rsidRPr="00917379">
        <w:rPr>
          <w:rStyle w:val="FootnoteReference"/>
          <w:szCs w:val="24"/>
        </w:rPr>
        <w:footnoteRef/>
      </w:r>
      <w:r w:rsidRPr="00917379">
        <w:rPr>
          <w:szCs w:val="24"/>
        </w:rPr>
        <w:tab/>
        <w:t>For greater certainty, nothing in this Article shall be construed as a commitment on the temporary entry and presence of natural persons.</w:t>
      </w:r>
    </w:p>
  </w:footnote>
  <w:footnote w:id="5">
    <w:p w14:paraId="74F7AC70" w14:textId="77777777" w:rsidR="00F55714" w:rsidRPr="00917379" w:rsidRDefault="00F55714" w:rsidP="00C239C6">
      <w:pPr>
        <w:pStyle w:val="FootnoteText"/>
        <w:rPr>
          <w:szCs w:val="24"/>
        </w:rPr>
      </w:pPr>
      <w:r w:rsidRPr="00917379">
        <w:rPr>
          <w:rStyle w:val="FootnoteReference"/>
          <w:szCs w:val="24"/>
        </w:rPr>
        <w:footnoteRef/>
      </w:r>
      <w:r w:rsidRPr="00917379">
        <w:rPr>
          <w:szCs w:val="24"/>
        </w:rPr>
        <w:tab/>
        <w:t xml:space="preserve">For greater certainty, for the Union, the terms </w:t>
      </w:r>
      <w:r w:rsidRPr="00917379">
        <w:rPr>
          <w:bCs/>
          <w:szCs w:val="24"/>
        </w:rPr>
        <w:t>"foreign service suppliers" and "foreign professionals"</w:t>
      </w:r>
      <w:r w:rsidRPr="00917379">
        <w:rPr>
          <w:szCs w:val="24"/>
        </w:rPr>
        <w:t xml:space="preserve"> in this Article exclude </w:t>
      </w:r>
      <w:r w:rsidRPr="00917379">
        <w:rPr>
          <w:bCs/>
          <w:szCs w:val="24"/>
        </w:rPr>
        <w:t>service suppliers and professionals</w:t>
      </w:r>
      <w:r w:rsidRPr="00917379">
        <w:rPr>
          <w:szCs w:val="24"/>
        </w:rPr>
        <w:t xml:space="preserve"> from the 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8BD71" w14:textId="71FF57CB" w:rsidR="00400020" w:rsidRDefault="00400020">
    <w:pPr>
      <w:pStyle w:val="Header"/>
    </w:pPr>
    <w:r>
      <w:rPr>
        <w:noProof/>
      </w:rPr>
      <mc:AlternateContent>
        <mc:Choice Requires="wps">
          <w:drawing>
            <wp:anchor distT="0" distB="0" distL="0" distR="0" simplePos="0" relativeHeight="251658240" behindDoc="0" locked="0" layoutInCell="1" allowOverlap="1" wp14:anchorId="6BD7F27E" wp14:editId="0E744187">
              <wp:simplePos x="635" y="635"/>
              <wp:positionH relativeFrom="page">
                <wp:align>center</wp:align>
              </wp:positionH>
              <wp:positionV relativeFrom="page">
                <wp:align>top</wp:align>
              </wp:positionV>
              <wp:extent cx="622300" cy="469265"/>
              <wp:effectExtent l="0" t="0" r="6350" b="6985"/>
              <wp:wrapNone/>
              <wp:docPr id="202423463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D4A62A5" w14:textId="19B71EA6" w:rsidR="00400020" w:rsidRPr="00400020" w:rsidRDefault="00400020" w:rsidP="00400020">
                          <w:pPr>
                            <w:rPr>
                              <w:rFonts w:ascii="Aptos" w:eastAsia="Aptos" w:hAnsi="Aptos" w:cs="Aptos"/>
                              <w:noProof/>
                              <w:color w:val="FF0000"/>
                              <w:szCs w:val="24"/>
                            </w:rPr>
                          </w:pPr>
                          <w:r w:rsidRPr="00400020">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D7F27E"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2D4A62A5" w14:textId="19B71EA6" w:rsidR="00400020" w:rsidRPr="00400020" w:rsidRDefault="00400020" w:rsidP="00400020">
                    <w:pPr>
                      <w:rPr>
                        <w:rFonts w:ascii="Aptos" w:eastAsia="Aptos" w:hAnsi="Aptos" w:cs="Aptos"/>
                        <w:noProof/>
                        <w:color w:val="FF0000"/>
                        <w:szCs w:val="24"/>
                      </w:rPr>
                    </w:pPr>
                    <w:r w:rsidRPr="00400020">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2668A" w14:textId="530E045B" w:rsidR="00400020" w:rsidRDefault="00400020">
    <w:pPr>
      <w:pStyle w:val="Header"/>
    </w:pPr>
    <w:r>
      <w:rPr>
        <w:noProof/>
      </w:rPr>
      <mc:AlternateContent>
        <mc:Choice Requires="wps">
          <w:drawing>
            <wp:anchor distT="0" distB="0" distL="0" distR="0" simplePos="0" relativeHeight="251658242" behindDoc="0" locked="0" layoutInCell="1" allowOverlap="1" wp14:anchorId="5BCA0A72" wp14:editId="7236541C">
              <wp:simplePos x="635" y="635"/>
              <wp:positionH relativeFrom="page">
                <wp:align>center</wp:align>
              </wp:positionH>
              <wp:positionV relativeFrom="page">
                <wp:align>top</wp:align>
              </wp:positionV>
              <wp:extent cx="622300" cy="469265"/>
              <wp:effectExtent l="0" t="0" r="6350" b="6985"/>
              <wp:wrapNone/>
              <wp:docPr id="74525844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F8B7563" w14:textId="4423250A" w:rsidR="00400020" w:rsidRPr="00400020" w:rsidRDefault="00400020" w:rsidP="00400020">
                          <w:pPr>
                            <w:rPr>
                              <w:rFonts w:ascii="Aptos" w:eastAsia="Aptos" w:hAnsi="Aptos" w:cs="Aptos"/>
                              <w:noProof/>
                              <w:color w:val="FF0000"/>
                              <w:szCs w:val="24"/>
                            </w:rPr>
                          </w:pPr>
                          <w:r w:rsidRPr="00400020">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CA0A72"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1F8B7563" w14:textId="4423250A" w:rsidR="00400020" w:rsidRPr="00400020" w:rsidRDefault="00400020" w:rsidP="00400020">
                    <w:pPr>
                      <w:rPr>
                        <w:rFonts w:ascii="Aptos" w:eastAsia="Aptos" w:hAnsi="Aptos" w:cs="Aptos"/>
                        <w:noProof/>
                        <w:color w:val="FF0000"/>
                        <w:szCs w:val="24"/>
                      </w:rPr>
                    </w:pPr>
                    <w:r w:rsidRPr="00400020">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14C4"/>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2357"/>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0020"/>
    <w:rsid w:val="004045B5"/>
    <w:rsid w:val="00410588"/>
    <w:rsid w:val="00411009"/>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4C17"/>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B7DEE"/>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35B8"/>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6676D"/>
    <w:rsid w:val="00D77CC0"/>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26518"/>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D6676D"/>
    <w:pPr>
      <w:jc w:val="center"/>
      <w:outlineLvl w:val="0"/>
    </w:pPr>
    <w:rPr>
      <w:szCs w:val="24"/>
    </w:rPr>
  </w:style>
  <w:style w:type="paragraph" w:styleId="Heading2">
    <w:name w:val="heading 2"/>
    <w:basedOn w:val="Normal"/>
    <w:next w:val="Normal"/>
    <w:link w:val="Heading2Char"/>
    <w:uiPriority w:val="9"/>
    <w:qFormat/>
    <w:rsid w:val="00D6676D"/>
    <w:pPr>
      <w:jc w:val="center"/>
      <w:outlineLvl w:val="1"/>
    </w:pPr>
    <w:rPr>
      <w:szCs w:val="24"/>
    </w:rPr>
  </w:style>
  <w:style w:type="paragraph" w:styleId="Heading3">
    <w:name w:val="heading 3"/>
    <w:basedOn w:val="Normal"/>
    <w:next w:val="Normal"/>
    <w:link w:val="Heading3Char"/>
    <w:uiPriority w:val="9"/>
    <w:qFormat/>
    <w:rsid w:val="00D6676D"/>
    <w:pPr>
      <w:jc w:val="center"/>
      <w:outlineLvl w:val="2"/>
    </w:pPr>
    <w:rPr>
      <w:szCs w:val="24"/>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D6676D"/>
    <w:rPr>
      <w:sz w:val="24"/>
      <w:szCs w:val="24"/>
      <w:lang w:eastAsia="fr-BE"/>
    </w:rPr>
  </w:style>
  <w:style w:type="character" w:customStyle="1" w:styleId="Heading2Char">
    <w:name w:val="Heading 2 Char"/>
    <w:basedOn w:val="DefaultParagraphFont"/>
    <w:link w:val="Heading2"/>
    <w:uiPriority w:val="9"/>
    <w:rsid w:val="00D6676D"/>
    <w:rPr>
      <w:sz w:val="24"/>
      <w:szCs w:val="24"/>
      <w:lang w:eastAsia="fr-BE"/>
    </w:rPr>
  </w:style>
  <w:style w:type="character" w:customStyle="1" w:styleId="Heading3Char">
    <w:name w:val="Heading 3 Char"/>
    <w:basedOn w:val="DefaultParagraphFont"/>
    <w:link w:val="Heading3"/>
    <w:uiPriority w:val="9"/>
    <w:rsid w:val="00D6676D"/>
    <w:rPr>
      <w:sz w:val="24"/>
      <w:szCs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spacing w:after="240"/>
      <w:outlineLvl w:val="9"/>
    </w:pPr>
    <w:rPr>
      <w:i/>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26A8E-A6A9-4CA5-8A24-ED8E96FBE4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7187BA-604C-4899-9EA5-0B6932D87CA3}">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700555EA-D42A-46ED-846A-0A07271B1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1019</Words>
  <Characters>6100</Characters>
  <Application>Microsoft Office Word</Application>
  <DocSecurity>0</DocSecurity>
  <Lines>112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9 Section E Subsection 2 Professional Services</dc:title>
  <dc:subject/>
  <dc:creator/>
  <cp:keywords/>
  <cp:lastModifiedBy/>
  <cp:revision>1</cp:revision>
  <dcterms:created xsi:type="dcterms:W3CDTF">2026-10-02T06:21:00Z</dcterms:created>
  <dcterms:modified xsi:type="dcterms:W3CDTF">2026-10-07T23:56:00Z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5a535ed1,7b18a4a0,4a08430d</vt:lpwstr>
  </property>
  <property fmtid="{D5CDD505-2E9C-101B-9397-08002B2CF9AE}" pid="7" name="ClassificationContentMarkingHeaderShapeIds">
    <vt:lpwstr>2c6bbdcd,78a75e8e,29a97488</vt:lpwstr>
  </property>
  <property fmtid="{D5CDD505-2E9C-101B-9397-08002B2CF9AE}" pid="8" name="ClassificationContentMarkingFooterFontProps">
    <vt:lpwstr>#ff0000,12,Aptos</vt:lpwstr>
  </property>
  <property fmtid="{D5CDD505-2E9C-101B-9397-08002B2CF9AE}" pid="9" name="docLang">
    <vt:lpwstr>en</vt:lpwstr>
  </property>
</Properties>
</file>