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90D7" w14:textId="4665E3E5" w:rsidR="00F55714" w:rsidRPr="00F564DE" w:rsidRDefault="00F55714" w:rsidP="003C3F90">
      <w:pPr>
        <w:pStyle w:val="Heading1"/>
        <w:spacing w:before="240" w:after="240" w:line="240" w:lineRule="atLeast"/>
      </w:pPr>
      <w:r w:rsidRPr="00F564DE">
        <w:t>SECTION C</w:t>
      </w:r>
      <w:r w:rsidR="00F564DE" w:rsidRPr="00F564DE">
        <w:t xml:space="preserve"> – </w:t>
      </w:r>
      <w:r w:rsidRPr="00F564DE">
        <w:t>CROSS-BORDER TRADE IN SERVICES</w:t>
      </w:r>
    </w:p>
    <w:p w14:paraId="339BDEF6" w14:textId="548D3D3E" w:rsidR="00F55714" w:rsidRPr="00F564DE" w:rsidRDefault="00F55714" w:rsidP="003C3F90">
      <w:pPr>
        <w:pStyle w:val="Heading2"/>
        <w:spacing w:before="240" w:after="240" w:line="240" w:lineRule="atLeast"/>
      </w:pPr>
      <w:r w:rsidRPr="00F564DE">
        <w:t>ARTICLE 9.12</w:t>
      </w:r>
      <w:r w:rsidR="00F564DE" w:rsidRPr="00F564DE">
        <w:t xml:space="preserve"> – </w:t>
      </w:r>
      <w:r w:rsidRPr="00F564DE">
        <w:t>Scope</w:t>
      </w:r>
    </w:p>
    <w:p w14:paraId="704A216D" w14:textId="77777777" w:rsidR="00C8433E" w:rsidRDefault="00F55714" w:rsidP="003C3F90">
      <w:pPr>
        <w:spacing w:before="240" w:after="240" w:line="240" w:lineRule="atLeast"/>
        <w:rPr>
          <w:szCs w:val="24"/>
        </w:rPr>
      </w:pPr>
      <w:r w:rsidRPr="00716DAF">
        <w:rPr>
          <w:szCs w:val="24"/>
        </w:rPr>
        <w:t>This Section applies to measures of a Party affecting cross-border trade in services by service suppliers of the other Party. Such measures include measures affecting:</w:t>
      </w:r>
    </w:p>
    <w:p w14:paraId="528F5964" w14:textId="77777777" w:rsidR="00C8433E" w:rsidRDefault="00F55714" w:rsidP="003C3F90">
      <w:pPr>
        <w:spacing w:before="240" w:after="240" w:line="240" w:lineRule="atLeast"/>
        <w:ind w:left="567" w:hanging="567"/>
        <w:rPr>
          <w:szCs w:val="24"/>
        </w:rPr>
      </w:pPr>
      <w:r w:rsidRPr="00716DAF">
        <w:rPr>
          <w:szCs w:val="24"/>
        </w:rPr>
        <w:t>(a)</w:t>
      </w:r>
      <w:r w:rsidRPr="00716DAF">
        <w:rPr>
          <w:szCs w:val="24"/>
        </w:rPr>
        <w:tab/>
        <w:t>the production, distribution, marketing, sale or delivery of a service;</w:t>
      </w:r>
    </w:p>
    <w:p w14:paraId="31A1EED2" w14:textId="54A394DB" w:rsidR="00F55714" w:rsidRPr="00716DAF" w:rsidRDefault="00F55714" w:rsidP="003C3F90">
      <w:pPr>
        <w:spacing w:before="240" w:after="240" w:line="240" w:lineRule="atLeast"/>
        <w:ind w:left="567" w:hanging="567"/>
        <w:rPr>
          <w:szCs w:val="24"/>
        </w:rPr>
      </w:pPr>
      <w:r w:rsidRPr="00716DAF">
        <w:rPr>
          <w:szCs w:val="24"/>
        </w:rPr>
        <w:t>(b)</w:t>
      </w:r>
      <w:r w:rsidRPr="00716DAF">
        <w:rPr>
          <w:szCs w:val="24"/>
        </w:rPr>
        <w:tab/>
        <w:t>the purchase or use of, or payment for, a service; and</w:t>
      </w:r>
    </w:p>
    <w:p w14:paraId="2525EC2E" w14:textId="7A6C3D73" w:rsidR="00F55714" w:rsidRPr="00716DAF" w:rsidRDefault="00F55714" w:rsidP="003C3F90">
      <w:pPr>
        <w:spacing w:before="240" w:after="240" w:line="240" w:lineRule="atLeast"/>
        <w:ind w:left="567" w:hanging="567"/>
        <w:rPr>
          <w:szCs w:val="24"/>
        </w:rPr>
      </w:pPr>
      <w:r w:rsidRPr="00716DAF">
        <w:rPr>
          <w:szCs w:val="24"/>
        </w:rPr>
        <w:t>(c)</w:t>
      </w:r>
      <w:r w:rsidRPr="00716DAF">
        <w:rPr>
          <w:szCs w:val="24"/>
        </w:rPr>
        <w:tab/>
        <w:t>the access to and use of distribution, transport or telecommunications networks and services in connection with the supply of a service.</w:t>
      </w:r>
    </w:p>
    <w:p w14:paraId="6B6E62D9" w14:textId="4F086E4F" w:rsidR="00F55714" w:rsidRPr="00716DAF" w:rsidRDefault="00F55714" w:rsidP="003C3F90">
      <w:pPr>
        <w:pStyle w:val="Heading2"/>
        <w:spacing w:before="240" w:after="240" w:line="240" w:lineRule="atLeast"/>
      </w:pPr>
      <w:r w:rsidRPr="00716DAF">
        <w:t xml:space="preserve">ARTICLE </w:t>
      </w:r>
      <w:r w:rsidRPr="00F10450">
        <w:t>9</w:t>
      </w:r>
      <w:r w:rsidRPr="00716DAF">
        <w:t>.</w:t>
      </w:r>
      <w:r w:rsidRPr="00F10450">
        <w:t>13</w:t>
      </w:r>
      <w:r w:rsidR="00F564DE" w:rsidRPr="00F564DE">
        <w:t xml:space="preserve"> – </w:t>
      </w:r>
      <w:r w:rsidRPr="00716DAF">
        <w:t>Market access</w:t>
      </w:r>
    </w:p>
    <w:p w14:paraId="309CE1FD" w14:textId="77777777" w:rsidR="00F55714" w:rsidRPr="00716DAF" w:rsidRDefault="00F55714" w:rsidP="003C3F90">
      <w:pPr>
        <w:spacing w:before="240" w:after="240" w:line="240" w:lineRule="atLeast"/>
        <w:rPr>
          <w:szCs w:val="24"/>
        </w:rPr>
      </w:pPr>
      <w:r w:rsidRPr="00716DAF">
        <w:rPr>
          <w:szCs w:val="24"/>
        </w:rPr>
        <w:t xml:space="preserve">A Party shall not adopt or maintain, either </w:t>
      </w:r>
      <w:proofErr w:type="gramStart"/>
      <w:r w:rsidRPr="00716DAF">
        <w:rPr>
          <w:szCs w:val="24"/>
        </w:rPr>
        <w:t>on the basis of</w:t>
      </w:r>
      <w:proofErr w:type="gramEnd"/>
      <w:r w:rsidRPr="00716DAF">
        <w:rPr>
          <w:szCs w:val="24"/>
        </w:rPr>
        <w:t xml:space="preserve"> its entire territory or </w:t>
      </w:r>
      <w:proofErr w:type="gramStart"/>
      <w:r w:rsidRPr="00716DAF">
        <w:rPr>
          <w:szCs w:val="24"/>
        </w:rPr>
        <w:t>on the basis of</w:t>
      </w:r>
      <w:proofErr w:type="gramEnd"/>
      <w:r w:rsidRPr="00716DAF">
        <w:rPr>
          <w:szCs w:val="24"/>
        </w:rPr>
        <w:t xml:space="preserve"> the territory of a central, regional or local level of government, a measure that:</w:t>
      </w:r>
    </w:p>
    <w:p w14:paraId="5FC24F58" w14:textId="77777777" w:rsidR="00F55714" w:rsidRPr="00716DAF" w:rsidRDefault="00F55714" w:rsidP="003C3F90">
      <w:pPr>
        <w:spacing w:before="240" w:after="240" w:line="240" w:lineRule="atLeast"/>
        <w:ind w:left="567" w:hanging="567"/>
        <w:rPr>
          <w:szCs w:val="24"/>
        </w:rPr>
      </w:pPr>
      <w:r w:rsidRPr="00716DAF">
        <w:rPr>
          <w:szCs w:val="24"/>
        </w:rPr>
        <w:t>(a)</w:t>
      </w:r>
      <w:r w:rsidRPr="00716DAF">
        <w:rPr>
          <w:szCs w:val="24"/>
        </w:rPr>
        <w:tab/>
        <w:t>imposes limitations on:</w:t>
      </w:r>
    </w:p>
    <w:p w14:paraId="6ACDC9D6" w14:textId="77777777" w:rsidR="00F55714" w:rsidRPr="00716DAF" w:rsidRDefault="00F55714" w:rsidP="003C3F90">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the number of service suppliers, whether in the form of numerical quotas, monopolies, exclusive service suppliers or the requirement of an economic needs test;</w:t>
      </w:r>
    </w:p>
    <w:p w14:paraId="68D7CD36" w14:textId="391F63E4" w:rsidR="00F55714" w:rsidRPr="00716DAF" w:rsidRDefault="00F55714" w:rsidP="003C3F90">
      <w:pPr>
        <w:spacing w:before="240" w:after="240" w:line="240" w:lineRule="atLeast"/>
        <w:ind w:left="1134" w:hanging="567"/>
        <w:rPr>
          <w:szCs w:val="24"/>
        </w:rPr>
      </w:pPr>
      <w:r w:rsidRPr="00716DAF">
        <w:rPr>
          <w:szCs w:val="24"/>
        </w:rPr>
        <w:t>(ii)</w:t>
      </w:r>
      <w:r w:rsidR="00190CFE">
        <w:rPr>
          <w:szCs w:val="24"/>
        </w:rPr>
        <w:tab/>
      </w:r>
      <w:r w:rsidRPr="00716DAF">
        <w:rPr>
          <w:szCs w:val="24"/>
        </w:rPr>
        <w:t xml:space="preserve">the total value of service transactions or assets in the form of numerical quotas or the requirement of an economic needs test; </w:t>
      </w:r>
      <w:r w:rsidRPr="00716DAF">
        <w:rPr>
          <w:szCs w:val="24"/>
          <w:lang w:eastAsia="en-GB"/>
        </w:rPr>
        <w:t>or</w:t>
      </w:r>
    </w:p>
    <w:p w14:paraId="273FBA09" w14:textId="77777777" w:rsidR="00F55714" w:rsidRPr="00716DAF" w:rsidRDefault="00F55714" w:rsidP="003C3F90">
      <w:pPr>
        <w:spacing w:before="240" w:after="240" w:line="240" w:lineRule="atLeast"/>
        <w:ind w:left="1134" w:hanging="567"/>
        <w:rPr>
          <w:szCs w:val="24"/>
        </w:rPr>
      </w:pPr>
      <w:r w:rsidRPr="00716DAF">
        <w:rPr>
          <w:szCs w:val="24"/>
        </w:rPr>
        <w:t>(iii)</w:t>
      </w:r>
      <w:r w:rsidRPr="00716DAF">
        <w:rPr>
          <w:szCs w:val="24"/>
        </w:rPr>
        <w:tab/>
        <w:t>the total number of service operations or the total quantity of service output expressed in terms of designated numerical units in the form of quotas or the requirement of an economic needs test; or</w:t>
      </w:r>
    </w:p>
    <w:p w14:paraId="2C046D6B" w14:textId="4FAC529B" w:rsidR="00F55714" w:rsidRPr="00716DAF" w:rsidRDefault="00F55714" w:rsidP="003C3F90">
      <w:pPr>
        <w:spacing w:before="240" w:after="240" w:line="240" w:lineRule="atLeast"/>
        <w:ind w:left="567" w:hanging="567"/>
        <w:rPr>
          <w:szCs w:val="24"/>
        </w:rPr>
      </w:pPr>
      <w:r w:rsidRPr="00716DAF">
        <w:rPr>
          <w:szCs w:val="24"/>
        </w:rPr>
        <w:t>(b)</w:t>
      </w:r>
      <w:r w:rsidRPr="00716DAF">
        <w:rPr>
          <w:szCs w:val="24"/>
        </w:rPr>
        <w:tab/>
        <w:t>restricts or requires specific types of legal entity or joint venture through which a service supplier may supply a service.</w:t>
      </w:r>
    </w:p>
    <w:p w14:paraId="40826AA2" w14:textId="4824AC2B" w:rsidR="00F55714" w:rsidRPr="00716DAF" w:rsidRDefault="00F55714" w:rsidP="003C3F90">
      <w:pPr>
        <w:pStyle w:val="Heading2"/>
        <w:spacing w:before="240" w:after="240" w:line="240" w:lineRule="atLeast"/>
      </w:pPr>
      <w:r w:rsidRPr="00716DAF">
        <w:t xml:space="preserve">ARTICLE </w:t>
      </w:r>
      <w:r w:rsidRPr="00F10450">
        <w:t>9</w:t>
      </w:r>
      <w:r w:rsidRPr="00716DAF">
        <w:t>.</w:t>
      </w:r>
      <w:r w:rsidRPr="00F10450">
        <w:t>14</w:t>
      </w:r>
      <w:r w:rsidR="00F564DE" w:rsidRPr="00F564DE">
        <w:t xml:space="preserve"> – </w:t>
      </w:r>
      <w:r w:rsidRPr="00716DAF">
        <w:t>National treatment</w:t>
      </w:r>
    </w:p>
    <w:p w14:paraId="7F6FCD71" w14:textId="77777777" w:rsidR="00F55714" w:rsidRPr="00716DAF" w:rsidRDefault="00F55714" w:rsidP="003C3F90">
      <w:pPr>
        <w:spacing w:before="240" w:after="240" w:line="240" w:lineRule="atLeast"/>
        <w:rPr>
          <w:szCs w:val="24"/>
        </w:rPr>
      </w:pPr>
      <w:r w:rsidRPr="00716DAF">
        <w:rPr>
          <w:szCs w:val="24"/>
        </w:rPr>
        <w:t xml:space="preserve">Each Party shall accord to services and service suppliers of the other Party treatment no less favourable than that </w:t>
      </w:r>
      <w:r w:rsidRPr="00716DAF">
        <w:rPr>
          <w:szCs w:val="24"/>
          <w:lang w:eastAsia="en-GB"/>
        </w:rPr>
        <w:t>which</w:t>
      </w:r>
      <w:r w:rsidRPr="00716DAF">
        <w:rPr>
          <w:szCs w:val="24"/>
        </w:rPr>
        <w:t xml:space="preserve"> it accords, in like situations, to its own services and service suppliers.</w:t>
      </w:r>
    </w:p>
    <w:p w14:paraId="50804AB3" w14:textId="78B8D3AE" w:rsidR="00F55714" w:rsidRPr="00716DAF" w:rsidRDefault="00F55714" w:rsidP="003C3F90">
      <w:pPr>
        <w:pStyle w:val="Heading2"/>
        <w:spacing w:before="240" w:after="240" w:line="240" w:lineRule="atLeast"/>
      </w:pPr>
      <w:r w:rsidRPr="00716DAF">
        <w:t xml:space="preserve">ARTICLE </w:t>
      </w:r>
      <w:r w:rsidRPr="00F10450">
        <w:t>9</w:t>
      </w:r>
      <w:r w:rsidRPr="00716DAF">
        <w:t>.</w:t>
      </w:r>
      <w:r w:rsidRPr="00F10450">
        <w:t>15</w:t>
      </w:r>
      <w:r w:rsidR="00F564DE" w:rsidRPr="00F564DE">
        <w:t xml:space="preserve"> – </w:t>
      </w:r>
      <w:r w:rsidRPr="00716DAF">
        <w:rPr>
          <w:lang w:eastAsia="en-GB"/>
        </w:rPr>
        <w:t>Most-favoured-nation</w:t>
      </w:r>
      <w:r w:rsidRPr="00716DAF">
        <w:t xml:space="preserve"> treatment</w:t>
      </w:r>
    </w:p>
    <w:p w14:paraId="7BC1003C" w14:textId="77777777" w:rsidR="00F55714" w:rsidRPr="00716DAF" w:rsidRDefault="00F55714" w:rsidP="003C3F90">
      <w:pPr>
        <w:spacing w:before="240" w:after="240" w:line="240" w:lineRule="atLeast"/>
        <w:rPr>
          <w:szCs w:val="24"/>
        </w:rPr>
      </w:pPr>
      <w:r w:rsidRPr="00F10450">
        <w:rPr>
          <w:szCs w:val="24"/>
        </w:rPr>
        <w:lastRenderedPageBreak/>
        <w:t>1</w:t>
      </w:r>
      <w:r w:rsidRPr="00716DAF">
        <w:rPr>
          <w:szCs w:val="24"/>
        </w:rPr>
        <w:t>.</w:t>
      </w:r>
      <w:r w:rsidRPr="00716DAF">
        <w:rPr>
          <w:szCs w:val="24"/>
        </w:rPr>
        <w:tab/>
        <w:t xml:space="preserve">Each Party shall accord to services and service suppliers of the other Party treatment no less favourable than that </w:t>
      </w:r>
      <w:r w:rsidRPr="00716DAF">
        <w:rPr>
          <w:szCs w:val="24"/>
          <w:lang w:eastAsia="en-GB"/>
        </w:rPr>
        <w:t>which</w:t>
      </w:r>
      <w:r w:rsidRPr="00716DAF">
        <w:rPr>
          <w:szCs w:val="24"/>
        </w:rPr>
        <w:t xml:space="preserve"> it accords, in like situations, to services and service suppliers of a third country.</w:t>
      </w:r>
    </w:p>
    <w:p w14:paraId="5A9536C9" w14:textId="0FBD9A9F" w:rsidR="00F55714" w:rsidRPr="00716DAF" w:rsidRDefault="00F55714" w:rsidP="003C3F90">
      <w:pPr>
        <w:spacing w:before="240" w:after="240" w:line="240" w:lineRule="atLeast"/>
        <w:rPr>
          <w:szCs w:val="24"/>
        </w:rPr>
      </w:pPr>
      <w:r w:rsidRPr="00F10450">
        <w:rPr>
          <w:szCs w:val="24"/>
        </w:rPr>
        <w:t>2</w:t>
      </w:r>
      <w:r w:rsidRPr="00716DAF">
        <w:rPr>
          <w:szCs w:val="24"/>
        </w:rPr>
        <w:t>.</w:t>
      </w:r>
      <w:r w:rsidRPr="00716DAF">
        <w:rPr>
          <w:szCs w:val="24"/>
        </w:rPr>
        <w:tab/>
        <w:t xml:space="preserve">Paragraph </w:t>
      </w:r>
      <w:r w:rsidRPr="00F10450">
        <w:rPr>
          <w:szCs w:val="24"/>
        </w:rPr>
        <w:t>1</w:t>
      </w:r>
      <w:r w:rsidRPr="00716DAF">
        <w:rPr>
          <w:szCs w:val="24"/>
        </w:rPr>
        <w:t xml:space="preserve"> shall not be construed as obliging a Party to extend to services or service suppliers of the other Party the benefit of any treatment resulting from measures providing for recognition,</w:t>
      </w:r>
      <w:r w:rsidRPr="00716DAF">
        <w:rPr>
          <w:rStyle w:val="FootnoteReference"/>
          <w:szCs w:val="24"/>
        </w:rPr>
        <w:footnoteReference w:id="1"/>
      </w:r>
      <w:r w:rsidRPr="00716DAF">
        <w:rPr>
          <w:szCs w:val="24"/>
        </w:rPr>
        <w:t xml:space="preserve"> including of the standards or criteria for the authorisation, licencing, or certification of a natural person or enterprise to carry out an economic activity, or of prudential measures as referred to in paragraph </w:t>
      </w:r>
      <w:r w:rsidRPr="00F10450">
        <w:rPr>
          <w:szCs w:val="24"/>
        </w:rPr>
        <w:t>3</w:t>
      </w:r>
      <w:r w:rsidRPr="00716DAF">
        <w:rPr>
          <w:szCs w:val="24"/>
        </w:rPr>
        <w:t xml:space="preserve"> of the Annex on Financial Services to GATS or Article </w:t>
      </w:r>
      <w:r w:rsidRPr="00F10450">
        <w:rPr>
          <w:szCs w:val="24"/>
        </w:rPr>
        <w:t>9</w:t>
      </w:r>
      <w:r w:rsidRPr="00716DAF">
        <w:rPr>
          <w:szCs w:val="24"/>
        </w:rPr>
        <w:t>.</w:t>
      </w:r>
      <w:r w:rsidRPr="00F10450">
        <w:rPr>
          <w:szCs w:val="24"/>
        </w:rPr>
        <w:t>75</w:t>
      </w:r>
      <w:r w:rsidRPr="00716DAF">
        <w:rPr>
          <w:szCs w:val="24"/>
        </w:rPr>
        <w:t xml:space="preserve"> (Recognition).</w:t>
      </w:r>
    </w:p>
    <w:p w14:paraId="6C576AD3" w14:textId="45ABD89C" w:rsidR="00F55714" w:rsidRPr="00716DAF" w:rsidRDefault="00F55714" w:rsidP="003C3F90">
      <w:pPr>
        <w:spacing w:before="240" w:after="240" w:line="240" w:lineRule="atLeast"/>
        <w:rPr>
          <w:szCs w:val="24"/>
        </w:rPr>
      </w:pPr>
      <w:r w:rsidRPr="00F10450">
        <w:rPr>
          <w:szCs w:val="24"/>
        </w:rPr>
        <w:t>3</w:t>
      </w:r>
      <w:r w:rsidRPr="00716DAF">
        <w:rPr>
          <w:szCs w:val="24"/>
        </w:rPr>
        <w:t>.</w:t>
      </w:r>
      <w:r w:rsidRPr="00716DAF">
        <w:rPr>
          <w:szCs w:val="24"/>
        </w:rPr>
        <w:tab/>
        <w:t xml:space="preserve">Substantive obligations in other international agreements concluded by a Party with a third country do not in themselves constitute treatment referred to in paragraphs </w:t>
      </w:r>
      <w:r w:rsidRPr="00F10450">
        <w:rPr>
          <w:szCs w:val="24"/>
        </w:rPr>
        <w:t>1</w:t>
      </w:r>
      <w:r w:rsidRPr="00716DAF">
        <w:rPr>
          <w:szCs w:val="24"/>
        </w:rPr>
        <w:t xml:space="preserve"> and </w:t>
      </w:r>
      <w:r w:rsidRPr="00F10450">
        <w:rPr>
          <w:szCs w:val="24"/>
        </w:rPr>
        <w:t>2</w:t>
      </w:r>
      <w:r w:rsidRPr="00716DAF">
        <w:rPr>
          <w:szCs w:val="24"/>
        </w:rPr>
        <w:t xml:space="preserve"> of this Article. Measures of a Party in relation to </w:t>
      </w:r>
      <w:r w:rsidRPr="00716DAF">
        <w:rPr>
          <w:szCs w:val="24"/>
          <w:lang w:eastAsia="en-GB"/>
        </w:rPr>
        <w:t>such</w:t>
      </w:r>
      <w:r w:rsidRPr="00716DAF">
        <w:rPr>
          <w:szCs w:val="24"/>
        </w:rPr>
        <w:t xml:space="preserve"> obligations may constitute such treatment and thus can give rise to a breach of this Article.</w:t>
      </w:r>
      <w:r w:rsidRPr="00716DAF">
        <w:rPr>
          <w:rStyle w:val="FootnoteReference"/>
          <w:szCs w:val="24"/>
        </w:rPr>
        <w:footnoteReference w:id="2"/>
      </w:r>
    </w:p>
    <w:p w14:paraId="3AAB29C3" w14:textId="744E64AF" w:rsidR="00F55714" w:rsidRPr="00716DAF" w:rsidRDefault="00F55714" w:rsidP="003C3F90">
      <w:pPr>
        <w:pStyle w:val="Heading2"/>
        <w:spacing w:before="240" w:after="240" w:line="240" w:lineRule="atLeast"/>
      </w:pPr>
      <w:r w:rsidRPr="00716DAF">
        <w:t xml:space="preserve">ARTICLE </w:t>
      </w:r>
      <w:r w:rsidRPr="00F10450">
        <w:t>9</w:t>
      </w:r>
      <w:r w:rsidRPr="00716DAF">
        <w:t>.</w:t>
      </w:r>
      <w:r w:rsidRPr="00F10450">
        <w:t>16</w:t>
      </w:r>
      <w:r w:rsidR="00F564DE" w:rsidRPr="00F564DE">
        <w:t xml:space="preserve"> – </w:t>
      </w:r>
      <w:r w:rsidRPr="00716DAF">
        <w:t>Local presence</w:t>
      </w:r>
    </w:p>
    <w:p w14:paraId="3900AB35" w14:textId="77777777" w:rsidR="00F55714" w:rsidRPr="00716DAF" w:rsidRDefault="00F55714" w:rsidP="003C3F90">
      <w:pPr>
        <w:spacing w:before="240" w:after="240" w:line="240" w:lineRule="atLeast"/>
        <w:rPr>
          <w:szCs w:val="24"/>
        </w:rPr>
      </w:pPr>
      <w:r w:rsidRPr="00716DAF">
        <w:rPr>
          <w:szCs w:val="24"/>
        </w:rPr>
        <w:t>A Party shall not require a service supplier of the other Party to establish or maintain a representative office or any form of enterprise, or to be resident, in its territory as a condition for the cross-border supply of a service.</w:t>
      </w:r>
    </w:p>
    <w:p w14:paraId="700C2491" w14:textId="48DAD419" w:rsidR="00F55714" w:rsidRPr="00716DAF" w:rsidRDefault="00F55714" w:rsidP="003C3F90">
      <w:pPr>
        <w:pStyle w:val="Heading2"/>
        <w:spacing w:before="240" w:after="240" w:line="240" w:lineRule="atLeast"/>
      </w:pPr>
      <w:r w:rsidRPr="00716DAF">
        <w:t xml:space="preserve">ARTICLE </w:t>
      </w:r>
      <w:r w:rsidRPr="00F10450">
        <w:t>9</w:t>
      </w:r>
      <w:r w:rsidRPr="00716DAF">
        <w:t>.</w:t>
      </w:r>
      <w:r w:rsidRPr="00F10450">
        <w:t>17</w:t>
      </w:r>
      <w:r w:rsidR="00F564DE" w:rsidRPr="00F564DE">
        <w:t xml:space="preserve"> – </w:t>
      </w:r>
      <w:r w:rsidRPr="00716DAF">
        <w:t>Non-conforming measures</w:t>
      </w:r>
    </w:p>
    <w:p w14:paraId="69620C9F" w14:textId="77777777" w:rsidR="00F55714" w:rsidRPr="00716DAF" w:rsidRDefault="00F55714" w:rsidP="003C3F90">
      <w:pPr>
        <w:spacing w:before="240" w:after="240" w:line="240" w:lineRule="atLeast"/>
        <w:rPr>
          <w:szCs w:val="24"/>
        </w:rPr>
      </w:pPr>
      <w:r w:rsidRPr="00F10450">
        <w:rPr>
          <w:szCs w:val="24"/>
        </w:rPr>
        <w:t>1</w:t>
      </w:r>
      <w:r w:rsidRPr="00716DAF">
        <w:rPr>
          <w:szCs w:val="24"/>
        </w:rPr>
        <w:t>.</w:t>
      </w:r>
      <w:r w:rsidRPr="00716DAF">
        <w:rPr>
          <w:szCs w:val="24"/>
        </w:rPr>
        <w:tab/>
        <w:t xml:space="preserve">Articles </w:t>
      </w:r>
      <w:r w:rsidRPr="00F10450">
        <w:rPr>
          <w:szCs w:val="24"/>
        </w:rPr>
        <w:t>9</w:t>
      </w:r>
      <w:r w:rsidRPr="00716DAF">
        <w:rPr>
          <w:szCs w:val="24"/>
        </w:rPr>
        <w:t>.</w:t>
      </w:r>
      <w:r w:rsidRPr="00F10450">
        <w:rPr>
          <w:szCs w:val="24"/>
        </w:rPr>
        <w:t>13</w:t>
      </w:r>
      <w:r w:rsidRPr="00716DAF" w:rsidDel="00CE6AE8">
        <w:rPr>
          <w:szCs w:val="24"/>
        </w:rPr>
        <w:t xml:space="preserve"> (Market access)</w:t>
      </w:r>
      <w:r w:rsidRPr="00716DAF">
        <w:rPr>
          <w:szCs w:val="24"/>
        </w:rPr>
        <w:t xml:space="preserve">, </w:t>
      </w:r>
      <w:r w:rsidRPr="00F10450">
        <w:rPr>
          <w:szCs w:val="24"/>
        </w:rPr>
        <w:t>9</w:t>
      </w:r>
      <w:r w:rsidRPr="00716DAF">
        <w:rPr>
          <w:szCs w:val="24"/>
        </w:rPr>
        <w:t>.</w:t>
      </w:r>
      <w:r w:rsidRPr="00F10450">
        <w:rPr>
          <w:szCs w:val="24"/>
        </w:rPr>
        <w:t>14</w:t>
      </w:r>
      <w:r w:rsidRPr="00716DAF" w:rsidDel="00CE6AE8">
        <w:rPr>
          <w:szCs w:val="24"/>
        </w:rPr>
        <w:t xml:space="preserve"> (National treatment)</w:t>
      </w:r>
      <w:r w:rsidRPr="00716DAF">
        <w:rPr>
          <w:szCs w:val="24"/>
        </w:rPr>
        <w:t xml:space="preserve">, </w:t>
      </w:r>
      <w:r w:rsidRPr="00F10450">
        <w:rPr>
          <w:szCs w:val="24"/>
        </w:rPr>
        <w:t>9</w:t>
      </w:r>
      <w:r w:rsidRPr="00716DAF">
        <w:rPr>
          <w:szCs w:val="24"/>
        </w:rPr>
        <w:t>.</w:t>
      </w:r>
      <w:r w:rsidRPr="00F10450">
        <w:rPr>
          <w:szCs w:val="24"/>
        </w:rPr>
        <w:t>15</w:t>
      </w:r>
      <w:r w:rsidRPr="00716DAF" w:rsidDel="00CE6AE8">
        <w:rPr>
          <w:szCs w:val="24"/>
        </w:rPr>
        <w:t xml:space="preserve"> (Most-favoured-nation treatment)</w:t>
      </w:r>
      <w:r w:rsidRPr="00716DAF">
        <w:rPr>
          <w:szCs w:val="24"/>
        </w:rPr>
        <w:t xml:space="preserve"> or </w:t>
      </w:r>
      <w:r w:rsidRPr="00F10450">
        <w:rPr>
          <w:szCs w:val="24"/>
        </w:rPr>
        <w:t>9</w:t>
      </w:r>
      <w:r w:rsidRPr="00716DAF">
        <w:rPr>
          <w:szCs w:val="24"/>
        </w:rPr>
        <w:t>.</w:t>
      </w:r>
      <w:r w:rsidRPr="00F10450">
        <w:rPr>
          <w:szCs w:val="24"/>
        </w:rPr>
        <w:t>16</w:t>
      </w:r>
      <w:r w:rsidRPr="00716DAF" w:rsidDel="00CE6AE8">
        <w:rPr>
          <w:szCs w:val="24"/>
        </w:rPr>
        <w:t xml:space="preserve"> (Local presence)</w:t>
      </w:r>
      <w:r w:rsidRPr="00716DAF">
        <w:rPr>
          <w:szCs w:val="24"/>
        </w:rPr>
        <w:t xml:space="preserve"> do not apply to:</w:t>
      </w:r>
    </w:p>
    <w:p w14:paraId="7F243D4B" w14:textId="77777777" w:rsidR="00F55714" w:rsidRPr="00716DAF" w:rsidRDefault="00F55714" w:rsidP="003C3F90">
      <w:pPr>
        <w:spacing w:before="240" w:after="240" w:line="240" w:lineRule="atLeast"/>
        <w:ind w:left="567" w:hanging="567"/>
        <w:rPr>
          <w:szCs w:val="24"/>
        </w:rPr>
      </w:pPr>
      <w:r w:rsidRPr="00716DAF">
        <w:rPr>
          <w:szCs w:val="24"/>
        </w:rPr>
        <w:t>(a)</w:t>
      </w:r>
      <w:r w:rsidRPr="00716DAF">
        <w:rPr>
          <w:szCs w:val="24"/>
        </w:rPr>
        <w:tab/>
        <w:t xml:space="preserve">any existing non-conforming measure </w:t>
      </w:r>
      <w:r w:rsidRPr="00716DAF">
        <w:rPr>
          <w:szCs w:val="24"/>
          <w:lang w:eastAsia="en-GB"/>
        </w:rPr>
        <w:t xml:space="preserve">that is maintained by </w:t>
      </w:r>
      <w:r w:rsidRPr="00716DAF">
        <w:rPr>
          <w:szCs w:val="24"/>
        </w:rPr>
        <w:t>a Party at the level of:</w:t>
      </w:r>
    </w:p>
    <w:p w14:paraId="2309E071" w14:textId="77777777" w:rsidR="00F55714" w:rsidRPr="00716DAF" w:rsidRDefault="00F55714" w:rsidP="003C3F90">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for the Union:</w:t>
      </w:r>
    </w:p>
    <w:p w14:paraId="49849608" w14:textId="77777777" w:rsidR="00F55714" w:rsidRPr="00716DAF" w:rsidRDefault="00F55714" w:rsidP="003C3F90">
      <w:pPr>
        <w:spacing w:before="240" w:after="240" w:line="240" w:lineRule="atLeast"/>
        <w:ind w:left="1701" w:hanging="567"/>
        <w:rPr>
          <w:szCs w:val="24"/>
        </w:rPr>
      </w:pPr>
      <w:r w:rsidRPr="00716DAF">
        <w:rPr>
          <w:szCs w:val="24"/>
        </w:rPr>
        <w:t>(A)</w:t>
      </w:r>
      <w:r w:rsidRPr="00716DAF">
        <w:rPr>
          <w:szCs w:val="24"/>
        </w:rPr>
        <w:tab/>
        <w:t>the Union, as set out in the Schedule</w:t>
      </w:r>
      <w:r w:rsidRPr="00716DAF">
        <w:rPr>
          <w:szCs w:val="24"/>
          <w:lang w:eastAsia="en-GB"/>
        </w:rPr>
        <w:t xml:space="preserve"> of the European Union in Annex </w:t>
      </w:r>
      <w:r w:rsidRPr="00F10450">
        <w:rPr>
          <w:szCs w:val="24"/>
          <w:lang w:eastAsia="en-GB"/>
        </w:rPr>
        <w:t>9</w:t>
      </w:r>
      <w:r w:rsidRPr="00716DAF">
        <w:rPr>
          <w:szCs w:val="24"/>
          <w:lang w:eastAsia="en-GB"/>
        </w:rPr>
        <w:t>-C (Existing measures)</w:t>
      </w:r>
      <w:r w:rsidRPr="00716DAF">
        <w:rPr>
          <w:szCs w:val="24"/>
        </w:rPr>
        <w:t>;</w:t>
      </w:r>
    </w:p>
    <w:p w14:paraId="0BA42A66" w14:textId="77777777" w:rsidR="00F55714" w:rsidRPr="00716DAF" w:rsidRDefault="00F55714" w:rsidP="003C3F90">
      <w:pPr>
        <w:spacing w:before="240" w:after="240" w:line="240" w:lineRule="atLeast"/>
        <w:ind w:left="1701" w:hanging="567"/>
        <w:rPr>
          <w:szCs w:val="24"/>
        </w:rPr>
      </w:pPr>
      <w:r w:rsidRPr="00716DAF">
        <w:rPr>
          <w:szCs w:val="24"/>
        </w:rPr>
        <w:t>(B)</w:t>
      </w:r>
      <w:r w:rsidRPr="00716DAF">
        <w:rPr>
          <w:szCs w:val="24"/>
        </w:rPr>
        <w:tab/>
        <w:t xml:space="preserve">the central government of a Member State, as set out in the Schedule </w:t>
      </w:r>
      <w:r w:rsidRPr="00716DAF">
        <w:rPr>
          <w:szCs w:val="24"/>
          <w:lang w:eastAsia="en-GB"/>
        </w:rPr>
        <w:t xml:space="preserve">of the European Union in Annex </w:t>
      </w:r>
      <w:r w:rsidRPr="00F10450">
        <w:rPr>
          <w:szCs w:val="24"/>
          <w:lang w:eastAsia="en-GB"/>
        </w:rPr>
        <w:t>9</w:t>
      </w:r>
      <w:r w:rsidRPr="00716DAF">
        <w:rPr>
          <w:szCs w:val="24"/>
          <w:lang w:eastAsia="en-GB"/>
        </w:rPr>
        <w:t>-C (Existing measures)</w:t>
      </w:r>
      <w:r w:rsidRPr="00716DAF">
        <w:rPr>
          <w:szCs w:val="24"/>
        </w:rPr>
        <w:t>;</w:t>
      </w:r>
    </w:p>
    <w:p w14:paraId="476A06C9" w14:textId="77777777" w:rsidR="00F55714" w:rsidRPr="00716DAF" w:rsidRDefault="00F55714" w:rsidP="003C3F90">
      <w:pPr>
        <w:spacing w:before="240" w:after="240" w:line="240" w:lineRule="atLeast"/>
        <w:ind w:left="1701" w:hanging="567"/>
        <w:rPr>
          <w:szCs w:val="24"/>
        </w:rPr>
      </w:pPr>
      <w:r w:rsidRPr="00716DAF">
        <w:rPr>
          <w:szCs w:val="24"/>
        </w:rPr>
        <w:lastRenderedPageBreak/>
        <w:t>(C)</w:t>
      </w:r>
      <w:r w:rsidRPr="00716DAF">
        <w:rPr>
          <w:szCs w:val="24"/>
        </w:rPr>
        <w:tab/>
        <w:t xml:space="preserve">a regional government of a Member State, as set out in the Schedule </w:t>
      </w:r>
      <w:r w:rsidRPr="00716DAF">
        <w:rPr>
          <w:szCs w:val="24"/>
          <w:lang w:eastAsia="en-GB"/>
        </w:rPr>
        <w:t xml:space="preserve">of the European Union in Annex </w:t>
      </w:r>
      <w:r w:rsidRPr="00F10450">
        <w:rPr>
          <w:szCs w:val="24"/>
          <w:lang w:eastAsia="en-GB"/>
        </w:rPr>
        <w:t>9</w:t>
      </w:r>
      <w:r w:rsidRPr="00716DAF">
        <w:rPr>
          <w:szCs w:val="24"/>
          <w:lang w:eastAsia="en-GB"/>
        </w:rPr>
        <w:t>-C (Existing measures)</w:t>
      </w:r>
      <w:r w:rsidRPr="00716DAF">
        <w:rPr>
          <w:szCs w:val="24"/>
        </w:rPr>
        <w:t>; or</w:t>
      </w:r>
    </w:p>
    <w:p w14:paraId="2F6E7EC4" w14:textId="77777777" w:rsidR="00F55714" w:rsidRPr="00716DAF" w:rsidRDefault="00F55714" w:rsidP="003C3F90">
      <w:pPr>
        <w:spacing w:before="240" w:after="240" w:line="240" w:lineRule="atLeast"/>
        <w:ind w:left="1701" w:hanging="567"/>
        <w:rPr>
          <w:szCs w:val="24"/>
        </w:rPr>
      </w:pPr>
      <w:r w:rsidRPr="00716DAF">
        <w:rPr>
          <w:szCs w:val="24"/>
        </w:rPr>
        <w:t>(D)</w:t>
      </w:r>
      <w:r w:rsidRPr="00716DAF">
        <w:rPr>
          <w:szCs w:val="24"/>
        </w:rPr>
        <w:tab/>
        <w:t>a local government, other than that referred to in point (C); and</w:t>
      </w:r>
    </w:p>
    <w:p w14:paraId="0CF904D5" w14:textId="0BDF70B8" w:rsidR="00F55714" w:rsidRPr="00716DAF" w:rsidRDefault="00F55714" w:rsidP="003C3F90">
      <w:pPr>
        <w:spacing w:before="240" w:after="240" w:line="240" w:lineRule="atLeast"/>
        <w:ind w:left="1134" w:hanging="567"/>
        <w:rPr>
          <w:szCs w:val="24"/>
        </w:rPr>
      </w:pPr>
      <w:r w:rsidRPr="00716DAF">
        <w:rPr>
          <w:szCs w:val="24"/>
        </w:rPr>
        <w:t>(ii)</w:t>
      </w:r>
      <w:r w:rsidRPr="00716DAF">
        <w:rPr>
          <w:szCs w:val="24"/>
        </w:rPr>
        <w:tab/>
        <w:t>for Australia:</w:t>
      </w:r>
    </w:p>
    <w:p w14:paraId="1D5AACB7" w14:textId="77777777" w:rsidR="00F55714" w:rsidRPr="00716DAF" w:rsidRDefault="00F55714" w:rsidP="003C3F90">
      <w:pPr>
        <w:spacing w:before="240" w:after="240" w:line="240" w:lineRule="atLeast"/>
        <w:ind w:left="1701" w:hanging="567"/>
        <w:rPr>
          <w:szCs w:val="24"/>
        </w:rPr>
      </w:pPr>
      <w:r w:rsidRPr="00716DAF">
        <w:rPr>
          <w:szCs w:val="24"/>
        </w:rPr>
        <w:t>(A)</w:t>
      </w:r>
      <w:r w:rsidRPr="00716DAF">
        <w:rPr>
          <w:szCs w:val="24"/>
        </w:rPr>
        <w:tab/>
        <w:t xml:space="preserve">the central government, as set out in the Schedule </w:t>
      </w:r>
      <w:r w:rsidRPr="00716DAF">
        <w:rPr>
          <w:szCs w:val="24"/>
          <w:lang w:eastAsia="en-GB"/>
        </w:rPr>
        <w:t xml:space="preserve">of Australia in Annex </w:t>
      </w:r>
      <w:r w:rsidRPr="00F10450">
        <w:rPr>
          <w:szCs w:val="24"/>
          <w:lang w:eastAsia="en-GB"/>
        </w:rPr>
        <w:t>9</w:t>
      </w:r>
      <w:r w:rsidRPr="00716DAF">
        <w:rPr>
          <w:szCs w:val="24"/>
          <w:lang w:eastAsia="en-GB"/>
        </w:rPr>
        <w:t>-C (Existing measures)</w:t>
      </w:r>
      <w:r w:rsidRPr="00716DAF">
        <w:rPr>
          <w:szCs w:val="24"/>
        </w:rPr>
        <w:t>;</w:t>
      </w:r>
    </w:p>
    <w:p w14:paraId="41C1F2B0" w14:textId="43BD1D7C" w:rsidR="00F55714" w:rsidRPr="00716DAF" w:rsidRDefault="00F55714" w:rsidP="003C3F90">
      <w:pPr>
        <w:spacing w:before="240" w:after="240" w:line="240" w:lineRule="atLeast"/>
        <w:ind w:left="1701" w:hanging="567"/>
        <w:rPr>
          <w:szCs w:val="24"/>
        </w:rPr>
      </w:pPr>
      <w:r w:rsidRPr="00716DAF">
        <w:rPr>
          <w:szCs w:val="24"/>
        </w:rPr>
        <w:t>(B)</w:t>
      </w:r>
      <w:r w:rsidRPr="00716DAF">
        <w:rPr>
          <w:szCs w:val="24"/>
        </w:rPr>
        <w:tab/>
        <w:t xml:space="preserve">a regional government, as set out in the Schedule </w:t>
      </w:r>
      <w:r w:rsidRPr="00716DAF">
        <w:rPr>
          <w:szCs w:val="24"/>
          <w:lang w:eastAsia="en-GB"/>
        </w:rPr>
        <w:t xml:space="preserve">of Australia in Annex </w:t>
      </w:r>
      <w:r w:rsidRPr="00F10450">
        <w:rPr>
          <w:szCs w:val="24"/>
          <w:lang w:eastAsia="en-GB"/>
        </w:rPr>
        <w:t>9</w:t>
      </w:r>
      <w:r w:rsidRPr="00716DAF">
        <w:rPr>
          <w:szCs w:val="24"/>
          <w:lang w:eastAsia="en-GB"/>
        </w:rPr>
        <w:t>-C (Existing measures)</w:t>
      </w:r>
      <w:r w:rsidRPr="00716DAF">
        <w:rPr>
          <w:szCs w:val="24"/>
        </w:rPr>
        <w:t>; or</w:t>
      </w:r>
    </w:p>
    <w:p w14:paraId="2B584961" w14:textId="77777777" w:rsidR="00F55714" w:rsidRPr="00716DAF" w:rsidRDefault="00F55714" w:rsidP="003C3F90">
      <w:pPr>
        <w:spacing w:before="240" w:after="240" w:line="240" w:lineRule="atLeast"/>
        <w:ind w:left="1701" w:hanging="567"/>
        <w:rPr>
          <w:szCs w:val="24"/>
        </w:rPr>
      </w:pPr>
      <w:r w:rsidRPr="00716DAF">
        <w:rPr>
          <w:szCs w:val="24"/>
        </w:rPr>
        <w:t>(C)</w:t>
      </w:r>
      <w:r w:rsidRPr="00716DAF">
        <w:rPr>
          <w:szCs w:val="24"/>
        </w:rPr>
        <w:tab/>
        <w:t>a local government;</w:t>
      </w:r>
    </w:p>
    <w:p w14:paraId="2E590211" w14:textId="77777777" w:rsidR="00F55714" w:rsidRPr="00716DAF" w:rsidRDefault="00F55714" w:rsidP="003C3F90">
      <w:pPr>
        <w:spacing w:before="240" w:after="240" w:line="240" w:lineRule="atLeast"/>
        <w:ind w:left="567" w:hanging="567"/>
        <w:rPr>
          <w:szCs w:val="24"/>
        </w:rPr>
      </w:pPr>
      <w:r w:rsidRPr="00716DAF">
        <w:rPr>
          <w:szCs w:val="24"/>
        </w:rPr>
        <w:t>(b)</w:t>
      </w:r>
      <w:r w:rsidRPr="00716DAF">
        <w:rPr>
          <w:szCs w:val="24"/>
        </w:rPr>
        <w:tab/>
        <w:t xml:space="preserve">the continuation or prompt renewal of any </w:t>
      </w:r>
      <w:r w:rsidRPr="00716DAF">
        <w:rPr>
          <w:szCs w:val="24"/>
          <w:lang w:eastAsia="en-GB"/>
        </w:rPr>
        <w:t>existing</w:t>
      </w:r>
      <w:r w:rsidRPr="00716DAF">
        <w:rPr>
          <w:szCs w:val="24"/>
        </w:rPr>
        <w:t xml:space="preserve"> non-conforming measure referred to in point (a); or</w:t>
      </w:r>
    </w:p>
    <w:p w14:paraId="4C40C383" w14:textId="77777777" w:rsidR="00F55714" w:rsidRPr="00716DAF" w:rsidRDefault="00F55714" w:rsidP="003C3F90">
      <w:pPr>
        <w:spacing w:before="240" w:after="240" w:line="240" w:lineRule="atLeast"/>
        <w:ind w:left="567" w:hanging="567"/>
        <w:rPr>
          <w:szCs w:val="24"/>
        </w:rPr>
      </w:pPr>
      <w:r w:rsidRPr="00716DAF">
        <w:rPr>
          <w:szCs w:val="24"/>
        </w:rPr>
        <w:t>(c)</w:t>
      </w:r>
      <w:r w:rsidRPr="00716DAF">
        <w:rPr>
          <w:szCs w:val="24"/>
        </w:rPr>
        <w:tab/>
        <w:t xml:space="preserve">a modification of any </w:t>
      </w:r>
      <w:r w:rsidRPr="00716DAF">
        <w:rPr>
          <w:szCs w:val="24"/>
          <w:lang w:eastAsia="en-GB"/>
        </w:rPr>
        <w:t>existing</w:t>
      </w:r>
      <w:r w:rsidRPr="00716DAF">
        <w:rPr>
          <w:szCs w:val="24"/>
        </w:rPr>
        <w:t xml:space="preserve"> non-conforming measure referred to in points (a) and (b) to the extent that </w:t>
      </w:r>
      <w:r w:rsidRPr="00716DAF">
        <w:rPr>
          <w:szCs w:val="24"/>
          <w:lang w:eastAsia="en-GB"/>
        </w:rPr>
        <w:t>it</w:t>
      </w:r>
      <w:r w:rsidRPr="00716DAF">
        <w:rPr>
          <w:szCs w:val="24"/>
        </w:rPr>
        <w:t xml:space="preserve"> does not decrease the conformity of </w:t>
      </w:r>
      <w:r w:rsidRPr="00716DAF">
        <w:rPr>
          <w:szCs w:val="24"/>
          <w:lang w:eastAsia="en-GB"/>
        </w:rPr>
        <w:t>such a</w:t>
      </w:r>
      <w:r w:rsidRPr="00716DAF">
        <w:rPr>
          <w:szCs w:val="24"/>
        </w:rPr>
        <w:t xml:space="preserve"> measure, as it existed immediately before the modification, with Articles </w:t>
      </w:r>
      <w:r w:rsidRPr="00F10450">
        <w:rPr>
          <w:szCs w:val="24"/>
        </w:rPr>
        <w:t>9</w:t>
      </w:r>
      <w:r w:rsidRPr="00716DAF">
        <w:rPr>
          <w:szCs w:val="24"/>
        </w:rPr>
        <w:t>.</w:t>
      </w:r>
      <w:r w:rsidRPr="00F10450">
        <w:rPr>
          <w:szCs w:val="24"/>
        </w:rPr>
        <w:t>13</w:t>
      </w:r>
      <w:r w:rsidRPr="00716DAF" w:rsidDel="003242A7">
        <w:rPr>
          <w:szCs w:val="24"/>
        </w:rPr>
        <w:t xml:space="preserve"> (Market access)</w:t>
      </w:r>
      <w:r w:rsidRPr="00716DAF">
        <w:rPr>
          <w:szCs w:val="24"/>
        </w:rPr>
        <w:t xml:space="preserve">, </w:t>
      </w:r>
      <w:r w:rsidRPr="00F10450">
        <w:rPr>
          <w:szCs w:val="24"/>
        </w:rPr>
        <w:t>9</w:t>
      </w:r>
      <w:r w:rsidRPr="00716DAF">
        <w:rPr>
          <w:szCs w:val="24"/>
        </w:rPr>
        <w:t>.</w:t>
      </w:r>
      <w:r w:rsidRPr="00F10450">
        <w:rPr>
          <w:szCs w:val="24"/>
        </w:rPr>
        <w:t>14</w:t>
      </w:r>
      <w:r w:rsidRPr="00716DAF" w:rsidDel="003242A7">
        <w:rPr>
          <w:szCs w:val="24"/>
        </w:rPr>
        <w:t xml:space="preserve"> (National treatment)</w:t>
      </w:r>
      <w:r w:rsidRPr="00716DAF">
        <w:rPr>
          <w:szCs w:val="24"/>
        </w:rPr>
        <w:t xml:space="preserve">, </w:t>
      </w:r>
      <w:r w:rsidRPr="00F10450">
        <w:rPr>
          <w:szCs w:val="24"/>
        </w:rPr>
        <w:t>9</w:t>
      </w:r>
      <w:r w:rsidRPr="00716DAF">
        <w:rPr>
          <w:szCs w:val="24"/>
        </w:rPr>
        <w:t>.</w:t>
      </w:r>
      <w:r w:rsidRPr="00F10450">
        <w:rPr>
          <w:szCs w:val="24"/>
        </w:rPr>
        <w:t>15</w:t>
      </w:r>
      <w:r w:rsidRPr="00716DAF" w:rsidDel="003242A7">
        <w:rPr>
          <w:szCs w:val="24"/>
        </w:rPr>
        <w:t xml:space="preserve"> (Most-favoured-nation treatment)</w:t>
      </w:r>
      <w:r w:rsidRPr="00716DAF">
        <w:rPr>
          <w:szCs w:val="24"/>
        </w:rPr>
        <w:t xml:space="preserve">, or </w:t>
      </w:r>
      <w:r w:rsidRPr="00F10450">
        <w:rPr>
          <w:szCs w:val="24"/>
        </w:rPr>
        <w:t>9</w:t>
      </w:r>
      <w:r w:rsidRPr="00716DAF">
        <w:rPr>
          <w:szCs w:val="24"/>
        </w:rPr>
        <w:t>.</w:t>
      </w:r>
      <w:r w:rsidRPr="00F10450">
        <w:rPr>
          <w:szCs w:val="24"/>
        </w:rPr>
        <w:t>16</w:t>
      </w:r>
      <w:r w:rsidRPr="00716DAF" w:rsidDel="003242A7">
        <w:rPr>
          <w:szCs w:val="24"/>
        </w:rPr>
        <w:t xml:space="preserve"> (Local presence)</w:t>
      </w:r>
      <w:r w:rsidRPr="00716DAF">
        <w:rPr>
          <w:szCs w:val="24"/>
        </w:rPr>
        <w:t>.</w:t>
      </w:r>
    </w:p>
    <w:p w14:paraId="72F96345" w14:textId="77777777" w:rsidR="00F55714" w:rsidRPr="00716DAF" w:rsidRDefault="00F55714" w:rsidP="003C3F90">
      <w:pPr>
        <w:spacing w:before="240" w:after="240" w:line="240" w:lineRule="atLeast"/>
        <w:rPr>
          <w:szCs w:val="24"/>
        </w:rPr>
      </w:pPr>
      <w:r w:rsidRPr="00F10450">
        <w:rPr>
          <w:szCs w:val="24"/>
        </w:rPr>
        <w:t>2</w:t>
      </w:r>
      <w:r w:rsidRPr="00716DAF">
        <w:rPr>
          <w:szCs w:val="24"/>
        </w:rPr>
        <w:t>.</w:t>
      </w:r>
      <w:r w:rsidRPr="00716DAF">
        <w:rPr>
          <w:szCs w:val="24"/>
        </w:rPr>
        <w:tab/>
        <w:t xml:space="preserve">Articles </w:t>
      </w:r>
      <w:r w:rsidRPr="00F10450">
        <w:rPr>
          <w:szCs w:val="24"/>
        </w:rPr>
        <w:t>9</w:t>
      </w:r>
      <w:r w:rsidRPr="00716DAF">
        <w:rPr>
          <w:szCs w:val="24"/>
        </w:rPr>
        <w:t>.</w:t>
      </w:r>
      <w:r w:rsidRPr="00F10450">
        <w:rPr>
          <w:szCs w:val="24"/>
        </w:rPr>
        <w:t>13</w:t>
      </w:r>
      <w:r w:rsidRPr="00716DAF" w:rsidDel="003242A7">
        <w:rPr>
          <w:szCs w:val="24"/>
        </w:rPr>
        <w:t xml:space="preserve"> (Market access)</w:t>
      </w:r>
      <w:r w:rsidRPr="00716DAF">
        <w:rPr>
          <w:szCs w:val="24"/>
        </w:rPr>
        <w:t xml:space="preserve">, </w:t>
      </w:r>
      <w:r w:rsidRPr="00F10450">
        <w:rPr>
          <w:szCs w:val="24"/>
        </w:rPr>
        <w:t>9</w:t>
      </w:r>
      <w:r w:rsidRPr="00716DAF">
        <w:rPr>
          <w:szCs w:val="24"/>
        </w:rPr>
        <w:t>.</w:t>
      </w:r>
      <w:r w:rsidRPr="00F10450">
        <w:rPr>
          <w:szCs w:val="24"/>
        </w:rPr>
        <w:t>14</w:t>
      </w:r>
      <w:r w:rsidRPr="00716DAF" w:rsidDel="003242A7">
        <w:rPr>
          <w:szCs w:val="24"/>
        </w:rPr>
        <w:t xml:space="preserve"> (National treatment)</w:t>
      </w:r>
      <w:r w:rsidRPr="00716DAF">
        <w:rPr>
          <w:szCs w:val="24"/>
        </w:rPr>
        <w:t xml:space="preserve">, </w:t>
      </w:r>
      <w:r w:rsidRPr="00F10450">
        <w:rPr>
          <w:szCs w:val="24"/>
        </w:rPr>
        <w:t>9</w:t>
      </w:r>
      <w:r w:rsidRPr="00716DAF">
        <w:rPr>
          <w:szCs w:val="24"/>
        </w:rPr>
        <w:t>.</w:t>
      </w:r>
      <w:r w:rsidRPr="00F10450">
        <w:rPr>
          <w:szCs w:val="24"/>
        </w:rPr>
        <w:t>15</w:t>
      </w:r>
      <w:r w:rsidRPr="00716DAF" w:rsidDel="003242A7">
        <w:rPr>
          <w:szCs w:val="24"/>
        </w:rPr>
        <w:t xml:space="preserve"> (Most-favoured-nation treatment)</w:t>
      </w:r>
      <w:r w:rsidRPr="00716DAF">
        <w:rPr>
          <w:szCs w:val="24"/>
        </w:rPr>
        <w:t xml:space="preserve"> or </w:t>
      </w:r>
      <w:r w:rsidRPr="00F10450">
        <w:rPr>
          <w:szCs w:val="24"/>
        </w:rPr>
        <w:t>9</w:t>
      </w:r>
      <w:r w:rsidRPr="00716DAF">
        <w:rPr>
          <w:szCs w:val="24"/>
        </w:rPr>
        <w:t>.</w:t>
      </w:r>
      <w:r w:rsidRPr="00F10450">
        <w:rPr>
          <w:szCs w:val="24"/>
        </w:rPr>
        <w:t>16</w:t>
      </w:r>
      <w:r w:rsidRPr="00716DAF" w:rsidDel="003242A7">
        <w:rPr>
          <w:szCs w:val="24"/>
        </w:rPr>
        <w:t xml:space="preserve"> (Local presence)</w:t>
      </w:r>
      <w:r w:rsidRPr="00716DAF">
        <w:rPr>
          <w:szCs w:val="24"/>
        </w:rPr>
        <w:t xml:space="preserve"> do not apply to any measure of a Party with respect to sectors, subsectors or activities as set out in its Schedule to Annex </w:t>
      </w:r>
      <w:r w:rsidRPr="00F10450">
        <w:rPr>
          <w:szCs w:val="24"/>
        </w:rPr>
        <w:t>9</w:t>
      </w:r>
      <w:r w:rsidRPr="00716DAF">
        <w:rPr>
          <w:szCs w:val="24"/>
        </w:rPr>
        <w:t>-D (Future measures).</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ACC6" w14:textId="77777777" w:rsidR="00771929" w:rsidRDefault="00771929">
      <w:r>
        <w:separator/>
      </w:r>
    </w:p>
  </w:endnote>
  <w:endnote w:type="continuationSeparator" w:id="0">
    <w:p w14:paraId="3AA9CE1B" w14:textId="77777777" w:rsidR="00771929" w:rsidRDefault="0077192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D237" w14:textId="49ADB3C0" w:rsidR="005F0739" w:rsidRDefault="005F0739">
    <w:pPr>
      <w:pStyle w:val="Footer"/>
    </w:pPr>
    <w:r>
      <w:rPr>
        <w:noProof/>
      </w:rPr>
      <mc:AlternateContent>
        <mc:Choice Requires="wps">
          <w:drawing>
            <wp:anchor distT="0" distB="0" distL="0" distR="0" simplePos="0" relativeHeight="251658241" behindDoc="0" locked="0" layoutInCell="1" allowOverlap="1" wp14:anchorId="27D5B068" wp14:editId="6DC9D7D1">
              <wp:simplePos x="635" y="635"/>
              <wp:positionH relativeFrom="page">
                <wp:align>center</wp:align>
              </wp:positionH>
              <wp:positionV relativeFrom="page">
                <wp:align>bottom</wp:align>
              </wp:positionV>
              <wp:extent cx="622300" cy="469265"/>
              <wp:effectExtent l="0" t="0" r="6350" b="0"/>
              <wp:wrapNone/>
              <wp:docPr id="177105875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A017F1D" w14:textId="46764650"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D5B068"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A017F1D" w14:textId="46764650"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497979"/>
      <w:docPartObj>
        <w:docPartGallery w:val="Page Numbers (Bottom of Page)"/>
        <w:docPartUnique/>
      </w:docPartObj>
    </w:sdtPr>
    <w:sdtEndPr>
      <w:rPr>
        <w:noProof/>
      </w:rPr>
    </w:sdtEndPr>
    <w:sdtContent>
      <w:p w14:paraId="7C19039C" w14:textId="46F7F556" w:rsidR="00F564DE" w:rsidRDefault="00F564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1FF57A" w14:textId="77777777" w:rsidR="00F564DE" w:rsidRDefault="00F564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EE18D" w14:textId="00FCA9FD" w:rsidR="005F0739" w:rsidRDefault="005F0739">
    <w:pPr>
      <w:pStyle w:val="Footer"/>
    </w:pPr>
    <w:r>
      <w:rPr>
        <w:noProof/>
      </w:rPr>
      <mc:AlternateContent>
        <mc:Choice Requires="wps">
          <w:drawing>
            <wp:anchor distT="0" distB="0" distL="0" distR="0" simplePos="0" relativeHeight="251658243" behindDoc="0" locked="0" layoutInCell="1" allowOverlap="1" wp14:anchorId="7812024F" wp14:editId="7D1E0819">
              <wp:simplePos x="635" y="635"/>
              <wp:positionH relativeFrom="page">
                <wp:align>center</wp:align>
              </wp:positionH>
              <wp:positionV relativeFrom="page">
                <wp:align>bottom</wp:align>
              </wp:positionV>
              <wp:extent cx="622300" cy="469265"/>
              <wp:effectExtent l="0" t="0" r="6350" b="0"/>
              <wp:wrapNone/>
              <wp:docPr id="154828023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A6EDB49" w14:textId="69DF5C34"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12024F"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A6EDB49" w14:textId="69DF5C34"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5EA19" w14:textId="77777777" w:rsidR="00771929" w:rsidRDefault="00771929">
      <w:pPr>
        <w:pStyle w:val="FootnoteText"/>
      </w:pPr>
      <w:r>
        <w:separator/>
      </w:r>
    </w:p>
  </w:footnote>
  <w:footnote w:type="continuationSeparator" w:id="0">
    <w:p w14:paraId="5ED6B077" w14:textId="77777777" w:rsidR="00771929" w:rsidRDefault="00771929">
      <w:pPr>
        <w:pStyle w:val="FootnoteText"/>
      </w:pPr>
      <w:r>
        <w:separator/>
      </w:r>
    </w:p>
  </w:footnote>
  <w:footnote w:id="1">
    <w:p w14:paraId="1476B4C6" w14:textId="65A7CEFB" w:rsidR="00F55714" w:rsidRPr="00917379" w:rsidRDefault="00F55714" w:rsidP="00C239C6">
      <w:pPr>
        <w:pStyle w:val="FootnoteText"/>
        <w:rPr>
          <w:szCs w:val="24"/>
        </w:rPr>
      </w:pPr>
      <w:r w:rsidRPr="00917379">
        <w:rPr>
          <w:rStyle w:val="FootnoteReference"/>
          <w:szCs w:val="24"/>
        </w:rPr>
        <w:footnoteRef/>
      </w:r>
      <w:r w:rsidRPr="00917379">
        <w:rPr>
          <w:szCs w:val="24"/>
        </w:rPr>
        <w:tab/>
        <w:t>The Parties affirm their rights and obligations under Article VII of GATS regarding measures providing for recognition of the education or experience obtained, requirements met, or licences or certifications granted in a particular country.</w:t>
      </w:r>
    </w:p>
  </w:footnote>
  <w:footnote w:id="2">
    <w:p w14:paraId="2901C01C" w14:textId="230A796B"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For greater certainty, the process of implementing </w:t>
      </w:r>
      <w:r w:rsidRPr="00917379">
        <w:rPr>
          <w:rFonts w:eastAsia="MS Mincho"/>
          <w:bCs/>
          <w:szCs w:val="24"/>
        </w:rPr>
        <w:t>substantive obligations in international agreements concluded by a Party with a third country</w:t>
      </w:r>
      <w:r w:rsidRPr="00917379">
        <w:rPr>
          <w:szCs w:val="24"/>
        </w:rPr>
        <w:t xml:space="preserve"> into a Party's law, to the extent that it is necessary in order to incorporate </w:t>
      </w:r>
      <w:r w:rsidRPr="00917379">
        <w:rPr>
          <w:rFonts w:eastAsia="MS Mincho"/>
          <w:bCs/>
          <w:szCs w:val="24"/>
        </w:rPr>
        <w:t>such obligations</w:t>
      </w:r>
      <w:r w:rsidRPr="00917379">
        <w:rPr>
          <w:szCs w:val="24"/>
        </w:rPr>
        <w:t xml:space="preserve"> into a Party's law, does not in itself qualify as a measure </w:t>
      </w:r>
      <w:r w:rsidRPr="00917379">
        <w:rPr>
          <w:rFonts w:eastAsia="MS Mincho"/>
          <w:bCs/>
          <w:szCs w:val="24"/>
        </w:rPr>
        <w:t xml:space="preserve">within the meaning of </w:t>
      </w:r>
      <w:r w:rsidRPr="00917379">
        <w:rPr>
          <w:rFonts w:eastAsia="MS Mincho"/>
          <w:szCs w:val="24"/>
        </w:rPr>
        <w:t>Article 9.15(3)</w:t>
      </w:r>
      <w:r w:rsidRPr="00917379" w:rsidDel="00D4556B">
        <w:rPr>
          <w:rFonts w:eastAsia="MS Mincho"/>
          <w:szCs w:val="24"/>
        </w:rPr>
        <w:t xml:space="preserve"> (Most-favoured-nation treatment)</w:t>
      </w:r>
      <w:r w:rsidRPr="00917379">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49D6" w14:textId="7E357F6E" w:rsidR="005F0739" w:rsidRDefault="005F0739">
    <w:pPr>
      <w:pStyle w:val="Header"/>
    </w:pPr>
    <w:r>
      <w:rPr>
        <w:noProof/>
      </w:rPr>
      <mc:AlternateContent>
        <mc:Choice Requires="wps">
          <w:drawing>
            <wp:anchor distT="0" distB="0" distL="0" distR="0" simplePos="0" relativeHeight="251658240" behindDoc="0" locked="0" layoutInCell="1" allowOverlap="1" wp14:anchorId="6566AD79" wp14:editId="6E38EAA2">
              <wp:simplePos x="635" y="635"/>
              <wp:positionH relativeFrom="page">
                <wp:align>center</wp:align>
              </wp:positionH>
              <wp:positionV relativeFrom="page">
                <wp:align>top</wp:align>
              </wp:positionV>
              <wp:extent cx="622300" cy="469265"/>
              <wp:effectExtent l="0" t="0" r="6350" b="6985"/>
              <wp:wrapNone/>
              <wp:docPr id="86742189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7A1D1ED" w14:textId="15FF75E0"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66AD79"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77A1D1ED" w14:textId="15FF75E0"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A3F1" w14:textId="113D7C9C" w:rsidR="005F0739" w:rsidRDefault="005F0739">
    <w:pPr>
      <w:pStyle w:val="Header"/>
    </w:pPr>
    <w:r>
      <w:rPr>
        <w:noProof/>
      </w:rPr>
      <mc:AlternateContent>
        <mc:Choice Requires="wps">
          <w:drawing>
            <wp:anchor distT="0" distB="0" distL="0" distR="0" simplePos="0" relativeHeight="251658242" behindDoc="0" locked="0" layoutInCell="1" allowOverlap="1" wp14:anchorId="7EE21534" wp14:editId="712DC986">
              <wp:simplePos x="635" y="635"/>
              <wp:positionH relativeFrom="page">
                <wp:align>center</wp:align>
              </wp:positionH>
              <wp:positionV relativeFrom="page">
                <wp:align>top</wp:align>
              </wp:positionV>
              <wp:extent cx="622300" cy="469265"/>
              <wp:effectExtent l="0" t="0" r="6350" b="6985"/>
              <wp:wrapNone/>
              <wp:docPr id="21254206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F81CEBD" w14:textId="11E503DA"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E2153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5F81CEBD" w14:textId="11E503DA" w:rsidR="005F0739" w:rsidRPr="005F0739" w:rsidRDefault="005F0739" w:rsidP="005F0739">
                    <w:pPr>
                      <w:rPr>
                        <w:rFonts w:ascii="Aptos" w:eastAsia="Aptos" w:hAnsi="Aptos" w:cs="Aptos"/>
                        <w:noProof/>
                        <w:color w:val="FF0000"/>
                        <w:szCs w:val="24"/>
                      </w:rPr>
                    </w:pPr>
                    <w:r w:rsidRPr="005F0739">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3F90"/>
    <w:rsid w:val="003C691F"/>
    <w:rsid w:val="003D12D6"/>
    <w:rsid w:val="003D5361"/>
    <w:rsid w:val="003F010B"/>
    <w:rsid w:val="003F460E"/>
    <w:rsid w:val="003F6A06"/>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0739"/>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1929"/>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347AE"/>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20F1"/>
    <w:rsid w:val="00C548E9"/>
    <w:rsid w:val="00C55246"/>
    <w:rsid w:val="00C55591"/>
    <w:rsid w:val="00C568C4"/>
    <w:rsid w:val="00C57681"/>
    <w:rsid w:val="00C6225E"/>
    <w:rsid w:val="00C66DC8"/>
    <w:rsid w:val="00C81680"/>
    <w:rsid w:val="00C82663"/>
    <w:rsid w:val="00C83670"/>
    <w:rsid w:val="00C8433E"/>
    <w:rsid w:val="00C86DDC"/>
    <w:rsid w:val="00CA259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564DE"/>
    <w:rsid w:val="00F631F5"/>
    <w:rsid w:val="00F64303"/>
    <w:rsid w:val="00F661B4"/>
    <w:rsid w:val="00F71710"/>
    <w:rsid w:val="00F75257"/>
    <w:rsid w:val="00F91457"/>
    <w:rsid w:val="00F92646"/>
    <w:rsid w:val="00FA264E"/>
    <w:rsid w:val="00FA3AF5"/>
    <w:rsid w:val="00FB16BD"/>
    <w:rsid w:val="00FD5EC9"/>
    <w:rsid w:val="00FF036B"/>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F564DE"/>
    <w:pPr>
      <w:jc w:val="center"/>
      <w:outlineLvl w:val="0"/>
    </w:pPr>
    <w:rPr>
      <w:szCs w:val="24"/>
    </w:rPr>
  </w:style>
  <w:style w:type="paragraph" w:styleId="Heading2">
    <w:name w:val="heading 2"/>
    <w:basedOn w:val="Normal"/>
    <w:next w:val="Normal"/>
    <w:link w:val="Heading2Char"/>
    <w:uiPriority w:val="9"/>
    <w:qFormat/>
    <w:rsid w:val="00F564DE"/>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F564DE"/>
    <w:rPr>
      <w:sz w:val="24"/>
      <w:szCs w:val="24"/>
      <w:lang w:eastAsia="fr-BE"/>
    </w:rPr>
  </w:style>
  <w:style w:type="character" w:customStyle="1" w:styleId="Heading2Char">
    <w:name w:val="Heading 2 Char"/>
    <w:basedOn w:val="DefaultParagraphFont"/>
    <w:link w:val="Heading2"/>
    <w:uiPriority w:val="9"/>
    <w:rsid w:val="00F564DE"/>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B72D6-DC4A-4A8C-A7F5-D3C7F485EF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253D58-8621-46E7-88C6-9028DE1C8C6E}">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179A0DDD-3AD5-41E8-A58A-737499EC5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3889</Characters>
  <Application>Microsoft Office Word</Application>
  <DocSecurity>0</DocSecurity>
  <Lines>92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C Cross border trade in services</dc:title>
  <dc:subject/>
  <dc:creator/>
  <cp:keywords/>
  <cp:lastModifiedBy/>
  <cp:revision>1</cp:revision>
  <dcterms:created xsi:type="dcterms:W3CDTF">2026-10-02T06:11:00Z</dcterms:created>
  <dcterms:modified xsi:type="dcterms:W3CDTF">2026-10-07T23:48:00Z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5c48e1ab,69903644,17a65d9d</vt:lpwstr>
  </property>
  <property fmtid="{D5CDD505-2E9C-101B-9397-08002B2CF9AE}" pid="7" name="ClassificationContentMarkingHeaderShapeIds">
    <vt:lpwstr>7eaf5870,33b3cec3,6ce88385</vt:lpwstr>
  </property>
  <property fmtid="{D5CDD505-2E9C-101B-9397-08002B2CF9AE}" pid="8" name="ClassificationContentMarkingFooterFontProps">
    <vt:lpwstr>#ff0000,12,Aptos</vt:lpwstr>
  </property>
</Properties>
</file>