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4F491" w14:textId="770984EE" w:rsidR="00F55714" w:rsidRPr="00716DAF" w:rsidRDefault="00F55714" w:rsidP="0055603C">
      <w:pPr>
        <w:pStyle w:val="Heading1"/>
        <w:spacing w:before="240" w:after="240" w:line="240" w:lineRule="atLeast"/>
      </w:pPr>
      <w:r w:rsidRPr="00716DAF">
        <w:t xml:space="preserve">CHAPTER </w:t>
      </w:r>
      <w:r w:rsidRPr="00F10450">
        <w:t>5</w:t>
      </w:r>
      <w:r w:rsidR="00077485" w:rsidRPr="00077485">
        <w:t xml:space="preserve"> – </w:t>
      </w:r>
      <w:r w:rsidRPr="00716DAF">
        <w:t>TRADE REMEDIES</w:t>
      </w:r>
    </w:p>
    <w:p w14:paraId="1E671E08" w14:textId="08DBCFB1" w:rsidR="00F55714" w:rsidRPr="00716DAF" w:rsidRDefault="00F55714" w:rsidP="0055603C">
      <w:pPr>
        <w:pStyle w:val="Heading2"/>
        <w:spacing w:before="240" w:after="240" w:line="240" w:lineRule="atLeast"/>
      </w:pPr>
      <w:r w:rsidRPr="00716DAF">
        <w:t>SECTION A</w:t>
      </w:r>
      <w:r w:rsidR="00077485" w:rsidRPr="00077485">
        <w:t xml:space="preserve"> – </w:t>
      </w:r>
      <w:r w:rsidRPr="00716DAF">
        <w:t>ANTI-DUMPING AND COUNTERVAILING DUTIES</w:t>
      </w:r>
    </w:p>
    <w:p w14:paraId="18DCC6B7" w14:textId="3D3A208D" w:rsidR="00F55714" w:rsidRPr="00716DAF" w:rsidRDefault="00F55714" w:rsidP="0055603C">
      <w:pPr>
        <w:pStyle w:val="Heading3"/>
        <w:spacing w:before="240" w:after="240" w:line="240" w:lineRule="atLeast"/>
      </w:pPr>
      <w:r w:rsidRPr="00716DAF">
        <w:t xml:space="preserve">ARTICLE </w:t>
      </w:r>
      <w:r w:rsidRPr="00F10450">
        <w:t>5</w:t>
      </w:r>
      <w:r w:rsidRPr="00716DAF">
        <w:t>.</w:t>
      </w:r>
      <w:r w:rsidRPr="00F10450">
        <w:t>1</w:t>
      </w:r>
      <w:r w:rsidR="00A77F4C" w:rsidRPr="00A77F4C">
        <w:t xml:space="preserve"> – </w:t>
      </w:r>
      <w:r w:rsidRPr="00716DAF">
        <w:t>General provisions</w:t>
      </w:r>
    </w:p>
    <w:p w14:paraId="2F734D2C" w14:textId="77777777" w:rsidR="00F55714" w:rsidRPr="00716DAF" w:rsidRDefault="00F55714" w:rsidP="0055603C">
      <w:pPr>
        <w:spacing w:before="240" w:after="240" w:line="240" w:lineRule="atLeast"/>
        <w:rPr>
          <w:szCs w:val="24"/>
        </w:rPr>
      </w:pPr>
      <w:r w:rsidRPr="00F10450">
        <w:rPr>
          <w:szCs w:val="24"/>
        </w:rPr>
        <w:t>1</w:t>
      </w:r>
      <w:r w:rsidRPr="00716DAF">
        <w:rPr>
          <w:szCs w:val="24"/>
        </w:rPr>
        <w:t>.</w:t>
      </w:r>
      <w:r w:rsidRPr="00716DAF">
        <w:rPr>
          <w:szCs w:val="24"/>
        </w:rPr>
        <w:tab/>
        <w:t>Each Party affirms its rights and obligations under the Anti-dumping Agreement and the SCM Agreement</w:t>
      </w:r>
      <w:r w:rsidRPr="00716DAF">
        <w:rPr>
          <w:szCs w:val="24"/>
          <w:lang w:eastAsia="en-AU"/>
        </w:rPr>
        <w:t>.</w:t>
      </w:r>
    </w:p>
    <w:p w14:paraId="24CB1BB6" w14:textId="1F09544B" w:rsidR="00F55714" w:rsidRPr="00716DAF" w:rsidRDefault="00F55714" w:rsidP="0055603C">
      <w:pPr>
        <w:spacing w:before="240" w:after="240" w:line="240" w:lineRule="atLeast"/>
        <w:rPr>
          <w:szCs w:val="24"/>
        </w:rPr>
      </w:pPr>
      <w:r w:rsidRPr="00F10450">
        <w:rPr>
          <w:szCs w:val="24"/>
        </w:rPr>
        <w:t>2</w:t>
      </w:r>
      <w:r w:rsidRPr="00716DAF">
        <w:rPr>
          <w:szCs w:val="24"/>
        </w:rPr>
        <w:t>.</w:t>
      </w:r>
      <w:r w:rsidRPr="00716DAF">
        <w:rPr>
          <w:szCs w:val="24"/>
        </w:rPr>
        <w:tab/>
        <w:t>For the purposes of this Section, origin shall be determined in accordance with the non-preferential rules of origin of each Party.</w:t>
      </w:r>
    </w:p>
    <w:p w14:paraId="105D642A" w14:textId="59B4F3AA" w:rsidR="00F55714" w:rsidRPr="00716DAF" w:rsidRDefault="00F55714" w:rsidP="0055603C">
      <w:pPr>
        <w:pStyle w:val="Heading3"/>
        <w:spacing w:before="240" w:after="240" w:line="240" w:lineRule="atLeast"/>
      </w:pPr>
      <w:r w:rsidRPr="00716DAF">
        <w:t xml:space="preserve">ARTICLE </w:t>
      </w:r>
      <w:r w:rsidRPr="00F10450">
        <w:t>5</w:t>
      </w:r>
      <w:r w:rsidRPr="00716DAF">
        <w:t>.</w:t>
      </w:r>
      <w:r w:rsidRPr="00F10450">
        <w:t>2</w:t>
      </w:r>
      <w:r w:rsidR="00A77F4C" w:rsidRPr="00A77F4C">
        <w:t xml:space="preserve"> – </w:t>
      </w:r>
      <w:r w:rsidRPr="00716DAF">
        <w:t>Transparency</w:t>
      </w:r>
    </w:p>
    <w:p w14:paraId="2EBC1C00" w14:textId="77777777" w:rsidR="00F55714" w:rsidRPr="00716DAF" w:rsidRDefault="00F55714" w:rsidP="0055603C">
      <w:pPr>
        <w:spacing w:before="240" w:after="240" w:line="240" w:lineRule="atLeast"/>
        <w:rPr>
          <w:szCs w:val="24"/>
        </w:rPr>
      </w:pPr>
      <w:r w:rsidRPr="00F10450">
        <w:rPr>
          <w:szCs w:val="24"/>
        </w:rPr>
        <w:t>1</w:t>
      </w:r>
      <w:r w:rsidRPr="00716DAF">
        <w:rPr>
          <w:szCs w:val="24"/>
        </w:rPr>
        <w:t>.</w:t>
      </w:r>
      <w:r w:rsidRPr="00716DAF">
        <w:rPr>
          <w:szCs w:val="24"/>
        </w:rPr>
        <w:tab/>
        <w:t>Each Party shall conduct its anti-dumping and countervailing duty investigations in a fair and transparent manner in accordance with the requirements in the Anti-dumping Agreement and SCM Agreement.</w:t>
      </w:r>
    </w:p>
    <w:p w14:paraId="4A583E36" w14:textId="7B9BB205" w:rsidR="00F55714" w:rsidRPr="00716DAF" w:rsidRDefault="00F55714" w:rsidP="0055603C">
      <w:pPr>
        <w:spacing w:before="240" w:after="240" w:line="240" w:lineRule="atLeast"/>
        <w:rPr>
          <w:szCs w:val="24"/>
        </w:rPr>
      </w:pPr>
      <w:r w:rsidRPr="00F10450">
        <w:rPr>
          <w:szCs w:val="24"/>
        </w:rPr>
        <w:t>2</w:t>
      </w:r>
      <w:r w:rsidRPr="00716DAF">
        <w:rPr>
          <w:szCs w:val="24"/>
        </w:rPr>
        <w:t>.</w:t>
      </w:r>
      <w:r w:rsidRPr="00716DAF">
        <w:rPr>
          <w:szCs w:val="24"/>
        </w:rPr>
        <w:tab/>
        <w:t>Each Party shall ensure that meaningful disclosure is made on the date of the imposition of provisional measures or immediately thereafter, and before a final determination is made. Each Party shall ensure that any disclosure:</w:t>
      </w:r>
    </w:p>
    <w:p w14:paraId="56FB84B4" w14:textId="77777777" w:rsidR="00F55714" w:rsidRPr="00716DAF" w:rsidRDefault="00F55714" w:rsidP="0055603C">
      <w:pPr>
        <w:spacing w:before="240" w:after="240" w:line="240" w:lineRule="atLeast"/>
        <w:ind w:left="567" w:hanging="567"/>
        <w:rPr>
          <w:szCs w:val="24"/>
          <w:lang w:eastAsia="en-AU"/>
        </w:rPr>
      </w:pPr>
      <w:r w:rsidRPr="00716DAF">
        <w:rPr>
          <w:szCs w:val="24"/>
          <w:lang w:eastAsia="en-AU"/>
        </w:rPr>
        <w:t>(a)</w:t>
      </w:r>
      <w:r w:rsidRPr="00716DAF">
        <w:rPr>
          <w:szCs w:val="24"/>
          <w:lang w:eastAsia="en-AU"/>
        </w:rPr>
        <w:tab/>
        <w:t xml:space="preserve">at the </w:t>
      </w:r>
      <w:r w:rsidRPr="00716DAF">
        <w:rPr>
          <w:szCs w:val="24"/>
        </w:rPr>
        <w:t>provisional</w:t>
      </w:r>
      <w:r w:rsidRPr="00716DAF">
        <w:rPr>
          <w:szCs w:val="24"/>
          <w:lang w:eastAsia="en-AU"/>
        </w:rPr>
        <w:t xml:space="preserve"> stage, includes at least sufficient explanations of the reasons in fact and law which have led to arguments being accepted or rejected;</w:t>
      </w:r>
    </w:p>
    <w:p w14:paraId="6161E336" w14:textId="77777777" w:rsidR="00C8433E" w:rsidRDefault="00F55714" w:rsidP="0055603C">
      <w:pPr>
        <w:spacing w:before="240" w:after="240" w:line="240" w:lineRule="atLeast"/>
        <w:ind w:left="567" w:hanging="567"/>
        <w:rPr>
          <w:szCs w:val="24"/>
          <w:lang w:eastAsia="en-AU"/>
        </w:rPr>
      </w:pPr>
      <w:r w:rsidRPr="00716DAF">
        <w:rPr>
          <w:szCs w:val="24"/>
          <w:lang w:eastAsia="en-AU"/>
        </w:rPr>
        <w:t>(b)</w:t>
      </w:r>
      <w:r w:rsidRPr="00716DAF">
        <w:rPr>
          <w:szCs w:val="24"/>
          <w:lang w:eastAsia="en-AU"/>
        </w:rPr>
        <w:tab/>
        <w:t xml:space="preserve">at the final stage, is a full and meaningful disclosure of all essential facts and considerations, which form </w:t>
      </w:r>
      <w:r w:rsidRPr="00716DAF">
        <w:rPr>
          <w:szCs w:val="24"/>
        </w:rPr>
        <w:t>the</w:t>
      </w:r>
      <w:r w:rsidRPr="00716DAF">
        <w:rPr>
          <w:szCs w:val="24"/>
          <w:lang w:eastAsia="en-AU"/>
        </w:rPr>
        <w:t xml:space="preserve"> basis for the decision to apply definitive measures;</w:t>
      </w:r>
    </w:p>
    <w:p w14:paraId="5AFEA391" w14:textId="77777777" w:rsidR="00F55714" w:rsidRPr="00716DAF" w:rsidRDefault="00F55714" w:rsidP="0055603C">
      <w:pPr>
        <w:spacing w:before="240" w:after="240" w:line="240" w:lineRule="atLeast"/>
        <w:ind w:left="567" w:hanging="567"/>
        <w:rPr>
          <w:szCs w:val="24"/>
          <w:lang w:eastAsia="en-AU"/>
        </w:rPr>
      </w:pPr>
      <w:r w:rsidRPr="00716DAF">
        <w:rPr>
          <w:szCs w:val="24"/>
          <w:lang w:eastAsia="en-AU"/>
        </w:rPr>
        <w:t>(c)</w:t>
      </w:r>
      <w:r w:rsidRPr="00716DAF">
        <w:rPr>
          <w:szCs w:val="24"/>
          <w:lang w:eastAsia="en-AU"/>
        </w:rPr>
        <w:tab/>
        <w:t>is made in writing; and</w:t>
      </w:r>
    </w:p>
    <w:p w14:paraId="291AD407" w14:textId="35C5C5D4" w:rsidR="00F55714" w:rsidRPr="00716DAF" w:rsidRDefault="00F55714" w:rsidP="0055603C">
      <w:pPr>
        <w:spacing w:before="240" w:after="240" w:line="240" w:lineRule="atLeast"/>
        <w:ind w:left="567" w:hanging="567"/>
        <w:rPr>
          <w:szCs w:val="24"/>
          <w:lang w:eastAsia="en-AU"/>
        </w:rPr>
      </w:pPr>
      <w:r w:rsidRPr="00716DAF">
        <w:rPr>
          <w:szCs w:val="24"/>
          <w:lang w:eastAsia="en-AU"/>
        </w:rPr>
        <w:t>(d)</w:t>
      </w:r>
      <w:r w:rsidR="00190CFE">
        <w:rPr>
          <w:szCs w:val="24"/>
          <w:lang w:eastAsia="en-AU"/>
        </w:rPr>
        <w:tab/>
      </w:r>
      <w:r w:rsidRPr="00716DAF">
        <w:rPr>
          <w:szCs w:val="24"/>
          <w:lang w:eastAsia="en-AU"/>
        </w:rPr>
        <w:t>allows interested parties sufficient time to make their comments.</w:t>
      </w:r>
    </w:p>
    <w:p w14:paraId="3D84DE6F" w14:textId="63FF385B" w:rsidR="00F55714" w:rsidRPr="00716DAF" w:rsidRDefault="00F55714" w:rsidP="0055603C">
      <w:pPr>
        <w:spacing w:before="240" w:after="240" w:line="240" w:lineRule="atLeast"/>
        <w:rPr>
          <w:szCs w:val="24"/>
          <w:lang w:eastAsia="en-AU"/>
        </w:rPr>
      </w:pPr>
      <w:r w:rsidRPr="00F10450">
        <w:rPr>
          <w:szCs w:val="24"/>
          <w:lang w:eastAsia="en-AU"/>
        </w:rPr>
        <w:t>3</w:t>
      </w:r>
      <w:r w:rsidRPr="00716DAF">
        <w:rPr>
          <w:szCs w:val="24"/>
          <w:lang w:eastAsia="en-AU"/>
        </w:rPr>
        <w:t>.</w:t>
      </w:r>
      <w:r w:rsidRPr="00716DAF">
        <w:rPr>
          <w:szCs w:val="24"/>
          <w:lang w:eastAsia="en-AU"/>
        </w:rPr>
        <w:tab/>
      </w:r>
      <w:r w:rsidRPr="00716DAF">
        <w:rPr>
          <w:szCs w:val="24"/>
        </w:rPr>
        <w:t xml:space="preserve">Both Parties reaffirm that non-confidential summaries shall be in sufficient detail to permit a reasonable understanding of the substance of the information submitted in confidence. This Article is without prejudice to Article </w:t>
      </w:r>
      <w:r w:rsidRPr="00F10450">
        <w:rPr>
          <w:szCs w:val="24"/>
        </w:rPr>
        <w:t>6</w:t>
      </w:r>
      <w:r w:rsidRPr="00716DAF">
        <w:rPr>
          <w:szCs w:val="24"/>
        </w:rPr>
        <w:t>.</w:t>
      </w:r>
      <w:r w:rsidRPr="00F10450">
        <w:rPr>
          <w:szCs w:val="24"/>
        </w:rPr>
        <w:t>5</w:t>
      </w:r>
      <w:r w:rsidRPr="00716DAF">
        <w:rPr>
          <w:szCs w:val="24"/>
        </w:rPr>
        <w:t xml:space="preserve"> of the Anti-dumping Agreement and Article </w:t>
      </w:r>
      <w:r w:rsidRPr="00F10450">
        <w:rPr>
          <w:szCs w:val="24"/>
        </w:rPr>
        <w:t>12</w:t>
      </w:r>
      <w:r w:rsidRPr="00716DAF">
        <w:rPr>
          <w:szCs w:val="24"/>
        </w:rPr>
        <w:t>.</w:t>
      </w:r>
      <w:r w:rsidRPr="00F10450">
        <w:rPr>
          <w:szCs w:val="24"/>
        </w:rPr>
        <w:t>4</w:t>
      </w:r>
      <w:r w:rsidRPr="00716DAF">
        <w:rPr>
          <w:szCs w:val="24"/>
        </w:rPr>
        <w:t xml:space="preserve"> of the SCM Agreement.</w:t>
      </w:r>
    </w:p>
    <w:p w14:paraId="59CE94EF" w14:textId="77777777" w:rsidR="00F55714" w:rsidRPr="00716DAF" w:rsidRDefault="00F55714" w:rsidP="0055603C">
      <w:pPr>
        <w:spacing w:before="240" w:after="240" w:line="240" w:lineRule="atLeast"/>
        <w:rPr>
          <w:szCs w:val="24"/>
        </w:rPr>
      </w:pPr>
      <w:r w:rsidRPr="00F10450">
        <w:rPr>
          <w:szCs w:val="24"/>
        </w:rPr>
        <w:t>4</w:t>
      </w:r>
      <w:r w:rsidRPr="00716DAF">
        <w:rPr>
          <w:szCs w:val="24"/>
        </w:rPr>
        <w:t>.</w:t>
      </w:r>
      <w:r w:rsidRPr="00716DAF">
        <w:rPr>
          <w:szCs w:val="24"/>
        </w:rPr>
        <w:tab/>
        <w:t xml:space="preserve">Provided it does not unnecessarily delay the investigation, each interested party shall be granted the possibility to provide information orally in order to express its views during trade remedy investigations. The Parties reaffirm their rights and obligations under Article </w:t>
      </w:r>
      <w:r w:rsidRPr="00F10450">
        <w:rPr>
          <w:szCs w:val="24"/>
        </w:rPr>
        <w:t>6</w:t>
      </w:r>
      <w:r w:rsidRPr="00716DAF">
        <w:rPr>
          <w:szCs w:val="24"/>
        </w:rPr>
        <w:t>.</w:t>
      </w:r>
      <w:r w:rsidRPr="00F10450">
        <w:rPr>
          <w:szCs w:val="24"/>
        </w:rPr>
        <w:t>2</w:t>
      </w:r>
      <w:r w:rsidRPr="00716DAF">
        <w:rPr>
          <w:szCs w:val="24"/>
        </w:rPr>
        <w:t xml:space="preserve"> of the Anti-dumping Agreement relating to hearings and the right to provide information orally.</w:t>
      </w:r>
    </w:p>
    <w:p w14:paraId="65346B37" w14:textId="77777777" w:rsidR="00F55714" w:rsidRPr="00716DAF" w:rsidRDefault="00F55714" w:rsidP="0055603C">
      <w:pPr>
        <w:spacing w:before="240" w:after="240" w:line="240" w:lineRule="atLeast"/>
        <w:rPr>
          <w:szCs w:val="24"/>
        </w:rPr>
      </w:pPr>
    </w:p>
    <w:p w14:paraId="27020761" w14:textId="13925738" w:rsidR="00F55714" w:rsidRPr="00716DAF" w:rsidRDefault="00F55714" w:rsidP="0055603C">
      <w:pPr>
        <w:spacing w:before="240" w:after="240" w:line="240" w:lineRule="atLeast"/>
        <w:rPr>
          <w:szCs w:val="24"/>
        </w:rPr>
      </w:pPr>
      <w:r w:rsidRPr="00F10450">
        <w:rPr>
          <w:szCs w:val="24"/>
        </w:rPr>
        <w:t>5</w:t>
      </w:r>
      <w:r w:rsidRPr="00716DAF">
        <w:rPr>
          <w:szCs w:val="24"/>
        </w:rPr>
        <w:t>.</w:t>
      </w:r>
      <w:r w:rsidRPr="00716DAF">
        <w:rPr>
          <w:szCs w:val="24"/>
        </w:rPr>
        <w:tab/>
        <w:t>When making a final determination, each Party shall take into account the information duly provided by all interested parties, including the domestic industry, importers and their representative associations, representative users and representative consumer organisations, as defined pursuant to each Party's laws and regulations.</w:t>
      </w:r>
    </w:p>
    <w:p w14:paraId="00736FBF" w14:textId="1456B8F8" w:rsidR="00F55714" w:rsidRPr="00716DAF" w:rsidRDefault="00F55714" w:rsidP="0055603C">
      <w:pPr>
        <w:pStyle w:val="Heading3"/>
        <w:spacing w:before="240" w:after="240" w:line="240" w:lineRule="atLeast"/>
      </w:pPr>
      <w:r w:rsidRPr="00716DAF">
        <w:t xml:space="preserve">ARTICLE </w:t>
      </w:r>
      <w:r w:rsidRPr="00F10450">
        <w:t>5</w:t>
      </w:r>
      <w:r w:rsidRPr="00716DAF">
        <w:t>.</w:t>
      </w:r>
      <w:r w:rsidRPr="00F10450">
        <w:t>3</w:t>
      </w:r>
      <w:r w:rsidR="00A77F4C" w:rsidRPr="00A77F4C">
        <w:t xml:space="preserve"> – </w:t>
      </w:r>
      <w:r w:rsidRPr="00716DAF">
        <w:t>Lesser duty rule</w:t>
      </w:r>
    </w:p>
    <w:p w14:paraId="23642F99" w14:textId="35B316A0" w:rsidR="00036136" w:rsidRDefault="00F55714" w:rsidP="0055603C">
      <w:pPr>
        <w:spacing w:before="240" w:after="240" w:line="240" w:lineRule="atLeast"/>
        <w:rPr>
          <w:szCs w:val="24"/>
        </w:rPr>
      </w:pPr>
      <w:r w:rsidRPr="00716DAF">
        <w:rPr>
          <w:szCs w:val="24"/>
        </w:rPr>
        <w:t>Should a Party decide to impose an anti-dumping duty, the amount of such duty shall not exceed the margin of dumping and, subject to each Party's laws and regulations, should in principle be less than that margin of dumping if such lesser duty would be adequate to remove the injury to the domestic industry.</w:t>
      </w:r>
    </w:p>
    <w:p w14:paraId="6F7A20D5" w14:textId="05324BC8" w:rsidR="00F55714" w:rsidRPr="00716DAF" w:rsidRDefault="00F55714" w:rsidP="0055603C">
      <w:pPr>
        <w:pStyle w:val="Heading3"/>
        <w:spacing w:before="240" w:after="240" w:line="240" w:lineRule="atLeast"/>
      </w:pPr>
      <w:r w:rsidRPr="00716DAF">
        <w:t xml:space="preserve">ARTICLE </w:t>
      </w:r>
      <w:r w:rsidRPr="00F10450">
        <w:t>5</w:t>
      </w:r>
      <w:r w:rsidRPr="00716DAF">
        <w:t>.</w:t>
      </w:r>
      <w:r w:rsidRPr="00F10450">
        <w:t>4</w:t>
      </w:r>
      <w:r w:rsidR="00A77F4C" w:rsidRPr="00A77F4C">
        <w:t xml:space="preserve"> – </w:t>
      </w:r>
      <w:r w:rsidRPr="00716DAF">
        <w:t>Non-application of dispute settlement</w:t>
      </w:r>
    </w:p>
    <w:p w14:paraId="35E5245C" w14:textId="77777777" w:rsidR="00F55714" w:rsidRPr="00716DAF" w:rsidRDefault="00F55714" w:rsidP="0055603C">
      <w:pPr>
        <w:spacing w:before="240" w:after="240" w:line="240" w:lineRule="atLeast"/>
        <w:rPr>
          <w:szCs w:val="24"/>
        </w:rPr>
      </w:pPr>
      <w:r w:rsidRPr="00716DAF">
        <w:rPr>
          <w:szCs w:val="24"/>
        </w:rPr>
        <w:t xml:space="preserve">Chapter </w:t>
      </w:r>
      <w:r w:rsidRPr="00F10450">
        <w:rPr>
          <w:szCs w:val="24"/>
        </w:rPr>
        <w:t>24</w:t>
      </w:r>
      <w:r w:rsidRPr="00716DAF">
        <w:rPr>
          <w:szCs w:val="24"/>
        </w:rPr>
        <w:t xml:space="preserve"> (Dispute settlement) does not apply to this Section.</w:t>
      </w:r>
    </w:p>
    <w:sectPr w:rsidR="00F55714" w:rsidRPr="00716DAF" w:rsidSect="00341455">
      <w:headerReference w:type="even"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21868" w14:textId="77777777" w:rsidR="00CB3063" w:rsidRDefault="00CB3063">
      <w:r>
        <w:separator/>
      </w:r>
    </w:p>
  </w:endnote>
  <w:endnote w:type="continuationSeparator" w:id="0">
    <w:p w14:paraId="7819C439" w14:textId="77777777" w:rsidR="00CB3063" w:rsidRDefault="00CB3063">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E218C" w14:textId="3B84CD4B" w:rsidR="00077485" w:rsidRDefault="00077485">
    <w:pPr>
      <w:pStyle w:val="Footer"/>
    </w:pPr>
    <w:r>
      <w:rPr>
        <w:noProof/>
      </w:rPr>
      <mc:AlternateContent>
        <mc:Choice Requires="wps">
          <w:drawing>
            <wp:anchor distT="0" distB="0" distL="0" distR="0" simplePos="0" relativeHeight="251658241" behindDoc="0" locked="0" layoutInCell="1" allowOverlap="1" wp14:anchorId="70C49421" wp14:editId="3DEC0C31">
              <wp:simplePos x="635" y="635"/>
              <wp:positionH relativeFrom="page">
                <wp:align>center</wp:align>
              </wp:positionH>
              <wp:positionV relativeFrom="page">
                <wp:align>bottom</wp:align>
              </wp:positionV>
              <wp:extent cx="622300" cy="469265"/>
              <wp:effectExtent l="0" t="0" r="6350" b="0"/>
              <wp:wrapNone/>
              <wp:docPr id="164598705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6D026FB" w14:textId="4A743896" w:rsidR="00077485" w:rsidRPr="00077485" w:rsidRDefault="00077485" w:rsidP="00077485">
                          <w:pPr>
                            <w:rPr>
                              <w:rFonts w:ascii="Aptos" w:eastAsia="Aptos" w:hAnsi="Aptos" w:cs="Aptos"/>
                              <w:noProof/>
                              <w:color w:val="FF0000"/>
                              <w:szCs w:val="24"/>
                            </w:rPr>
                          </w:pPr>
                          <w:r w:rsidRPr="00077485">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C49421"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16D026FB" w14:textId="4A743896" w:rsidR="00077485" w:rsidRPr="00077485" w:rsidRDefault="00077485" w:rsidP="00077485">
                    <w:pPr>
                      <w:rPr>
                        <w:rFonts w:ascii="Aptos" w:eastAsia="Aptos" w:hAnsi="Aptos" w:cs="Aptos"/>
                        <w:noProof/>
                        <w:color w:val="FF0000"/>
                        <w:szCs w:val="24"/>
                      </w:rPr>
                    </w:pPr>
                    <w:r w:rsidRPr="00077485">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2558384"/>
      <w:docPartObj>
        <w:docPartGallery w:val="Page Numbers (Bottom of Page)"/>
        <w:docPartUnique/>
      </w:docPartObj>
    </w:sdtPr>
    <w:sdtEndPr>
      <w:rPr>
        <w:noProof/>
      </w:rPr>
    </w:sdtEndPr>
    <w:sdtContent>
      <w:p w14:paraId="5BFBC751" w14:textId="57BB7942" w:rsidR="002F1637" w:rsidRDefault="002F163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532D40" w14:textId="77777777" w:rsidR="002F1637" w:rsidRDefault="002F16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8018" w14:textId="7F867E07" w:rsidR="00077485" w:rsidRDefault="00077485">
    <w:pPr>
      <w:pStyle w:val="Footer"/>
    </w:pPr>
    <w:r>
      <w:rPr>
        <w:noProof/>
      </w:rPr>
      <mc:AlternateContent>
        <mc:Choice Requires="wps">
          <w:drawing>
            <wp:anchor distT="0" distB="0" distL="0" distR="0" simplePos="0" relativeHeight="251658243" behindDoc="0" locked="0" layoutInCell="1" allowOverlap="1" wp14:anchorId="659DDE0F" wp14:editId="00F27AFB">
              <wp:simplePos x="635" y="635"/>
              <wp:positionH relativeFrom="page">
                <wp:align>center</wp:align>
              </wp:positionH>
              <wp:positionV relativeFrom="page">
                <wp:align>bottom</wp:align>
              </wp:positionV>
              <wp:extent cx="622300" cy="469265"/>
              <wp:effectExtent l="0" t="0" r="6350" b="0"/>
              <wp:wrapNone/>
              <wp:docPr id="119907655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4E4B3E2" w14:textId="24D59E80" w:rsidR="00077485" w:rsidRPr="00077485" w:rsidRDefault="00077485" w:rsidP="00077485">
                          <w:pPr>
                            <w:rPr>
                              <w:rFonts w:ascii="Aptos" w:eastAsia="Aptos" w:hAnsi="Aptos" w:cs="Aptos"/>
                              <w:noProof/>
                              <w:color w:val="FF0000"/>
                              <w:szCs w:val="24"/>
                            </w:rPr>
                          </w:pPr>
                          <w:r w:rsidRPr="00077485">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59DDE0F"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14E4B3E2" w14:textId="24D59E80" w:rsidR="00077485" w:rsidRPr="00077485" w:rsidRDefault="00077485" w:rsidP="00077485">
                    <w:pPr>
                      <w:rPr>
                        <w:rFonts w:ascii="Aptos" w:eastAsia="Aptos" w:hAnsi="Aptos" w:cs="Aptos"/>
                        <w:noProof/>
                        <w:color w:val="FF0000"/>
                        <w:szCs w:val="24"/>
                      </w:rPr>
                    </w:pPr>
                    <w:r w:rsidRPr="00077485">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04C60" w14:textId="77777777" w:rsidR="00CB3063" w:rsidRDefault="00CB3063">
      <w:pPr>
        <w:pStyle w:val="FootnoteText"/>
      </w:pPr>
      <w:r>
        <w:separator/>
      </w:r>
    </w:p>
  </w:footnote>
  <w:footnote w:type="continuationSeparator" w:id="0">
    <w:p w14:paraId="60918349" w14:textId="77777777" w:rsidR="00CB3063" w:rsidRDefault="00CB3063">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65C2A" w14:textId="0523393B" w:rsidR="00077485" w:rsidRDefault="00077485">
    <w:pPr>
      <w:pStyle w:val="Header"/>
    </w:pPr>
    <w:r>
      <w:rPr>
        <w:noProof/>
      </w:rPr>
      <mc:AlternateContent>
        <mc:Choice Requires="wps">
          <w:drawing>
            <wp:anchor distT="0" distB="0" distL="0" distR="0" simplePos="0" relativeHeight="251658240" behindDoc="0" locked="0" layoutInCell="1" allowOverlap="1" wp14:anchorId="33575231" wp14:editId="1B5F820E">
              <wp:simplePos x="635" y="635"/>
              <wp:positionH relativeFrom="page">
                <wp:align>center</wp:align>
              </wp:positionH>
              <wp:positionV relativeFrom="page">
                <wp:align>top</wp:align>
              </wp:positionV>
              <wp:extent cx="622300" cy="469265"/>
              <wp:effectExtent l="0" t="0" r="6350" b="6985"/>
              <wp:wrapNone/>
              <wp:docPr id="52445195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E96F4A0" w14:textId="403380F5" w:rsidR="00077485" w:rsidRPr="00077485" w:rsidRDefault="00077485" w:rsidP="00077485">
                          <w:pPr>
                            <w:rPr>
                              <w:rFonts w:ascii="Aptos" w:eastAsia="Aptos" w:hAnsi="Aptos" w:cs="Aptos"/>
                              <w:noProof/>
                              <w:color w:val="FF0000"/>
                              <w:szCs w:val="24"/>
                            </w:rPr>
                          </w:pPr>
                          <w:r w:rsidRPr="00077485">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575231"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3E96F4A0" w14:textId="403380F5" w:rsidR="00077485" w:rsidRPr="00077485" w:rsidRDefault="00077485" w:rsidP="00077485">
                    <w:pPr>
                      <w:rPr>
                        <w:rFonts w:ascii="Aptos" w:eastAsia="Aptos" w:hAnsi="Aptos" w:cs="Aptos"/>
                        <w:noProof/>
                        <w:color w:val="FF0000"/>
                        <w:szCs w:val="24"/>
                      </w:rPr>
                    </w:pPr>
                    <w:r w:rsidRPr="00077485">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5E301" w14:textId="42AE809D" w:rsidR="00077485" w:rsidRDefault="00077485">
    <w:pPr>
      <w:pStyle w:val="Header"/>
    </w:pPr>
    <w:r>
      <w:rPr>
        <w:noProof/>
      </w:rPr>
      <mc:AlternateContent>
        <mc:Choice Requires="wps">
          <w:drawing>
            <wp:anchor distT="0" distB="0" distL="0" distR="0" simplePos="0" relativeHeight="251658242" behindDoc="0" locked="0" layoutInCell="1" allowOverlap="1" wp14:anchorId="3B88D795" wp14:editId="5D5FE9D2">
              <wp:simplePos x="635" y="635"/>
              <wp:positionH relativeFrom="page">
                <wp:align>center</wp:align>
              </wp:positionH>
              <wp:positionV relativeFrom="page">
                <wp:align>top</wp:align>
              </wp:positionV>
              <wp:extent cx="622300" cy="469265"/>
              <wp:effectExtent l="0" t="0" r="6350" b="6985"/>
              <wp:wrapNone/>
              <wp:docPr id="91772713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F31C6D5" w14:textId="23A5B3D2" w:rsidR="00077485" w:rsidRPr="00077485" w:rsidRDefault="00077485" w:rsidP="00077485">
                          <w:pPr>
                            <w:rPr>
                              <w:rFonts w:ascii="Aptos" w:eastAsia="Aptos" w:hAnsi="Aptos" w:cs="Aptos"/>
                              <w:noProof/>
                              <w:color w:val="FF0000"/>
                              <w:szCs w:val="24"/>
                            </w:rPr>
                          </w:pPr>
                          <w:r w:rsidRPr="00077485">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B88D795"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2F31C6D5" w14:textId="23A5B3D2" w:rsidR="00077485" w:rsidRPr="00077485" w:rsidRDefault="00077485" w:rsidP="00077485">
                    <w:pPr>
                      <w:rPr>
                        <w:rFonts w:ascii="Aptos" w:eastAsia="Aptos" w:hAnsi="Aptos" w:cs="Aptos"/>
                        <w:noProof/>
                        <w:color w:val="FF0000"/>
                        <w:szCs w:val="24"/>
                      </w:rPr>
                    </w:pPr>
                    <w:r w:rsidRPr="00077485">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77485"/>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2F1637"/>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5E2D"/>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5603C"/>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0550"/>
    <w:rsid w:val="00923FBF"/>
    <w:rsid w:val="00924474"/>
    <w:rsid w:val="00925BB6"/>
    <w:rsid w:val="0092756E"/>
    <w:rsid w:val="00950B14"/>
    <w:rsid w:val="009700CD"/>
    <w:rsid w:val="009820DF"/>
    <w:rsid w:val="009846A3"/>
    <w:rsid w:val="00995506"/>
    <w:rsid w:val="009A1D2C"/>
    <w:rsid w:val="009D15C2"/>
    <w:rsid w:val="009E7878"/>
    <w:rsid w:val="009F0FE5"/>
    <w:rsid w:val="00A034A1"/>
    <w:rsid w:val="00A12F9B"/>
    <w:rsid w:val="00A16A16"/>
    <w:rsid w:val="00A31017"/>
    <w:rsid w:val="00A3456F"/>
    <w:rsid w:val="00A43509"/>
    <w:rsid w:val="00A55EB4"/>
    <w:rsid w:val="00A56535"/>
    <w:rsid w:val="00A56CF2"/>
    <w:rsid w:val="00A76A38"/>
    <w:rsid w:val="00A776F7"/>
    <w:rsid w:val="00A77F4C"/>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70B75"/>
    <w:rsid w:val="00B722DD"/>
    <w:rsid w:val="00B845E7"/>
    <w:rsid w:val="00B9096D"/>
    <w:rsid w:val="00B97461"/>
    <w:rsid w:val="00BC3FE8"/>
    <w:rsid w:val="00BC4D29"/>
    <w:rsid w:val="00BE0095"/>
    <w:rsid w:val="00BE0D86"/>
    <w:rsid w:val="00BE7C2A"/>
    <w:rsid w:val="00BF0C3E"/>
    <w:rsid w:val="00BF1051"/>
    <w:rsid w:val="00BF1218"/>
    <w:rsid w:val="00C04C65"/>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063"/>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1ED2"/>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134"/>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A264E"/>
    <w:rsid w:val="00FA3AF5"/>
    <w:rsid w:val="00FB16BD"/>
    <w:rsid w:val="00FD5EC9"/>
    <w:rsid w:val="00FD67FE"/>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077485"/>
    <w:pPr>
      <w:jc w:val="center"/>
      <w:outlineLvl w:val="0"/>
    </w:pPr>
    <w:rPr>
      <w:szCs w:val="24"/>
    </w:rPr>
  </w:style>
  <w:style w:type="paragraph" w:styleId="Heading2">
    <w:name w:val="heading 2"/>
    <w:basedOn w:val="Normal"/>
    <w:next w:val="Normal"/>
    <w:link w:val="Heading2Char"/>
    <w:uiPriority w:val="9"/>
    <w:qFormat/>
    <w:rsid w:val="00077485"/>
    <w:pPr>
      <w:jc w:val="center"/>
      <w:outlineLvl w:val="1"/>
    </w:pPr>
    <w:rPr>
      <w:szCs w:val="24"/>
    </w:rPr>
  </w:style>
  <w:style w:type="paragraph" w:styleId="Heading3">
    <w:name w:val="heading 3"/>
    <w:basedOn w:val="Normal"/>
    <w:next w:val="Normal"/>
    <w:link w:val="Heading3Char"/>
    <w:uiPriority w:val="9"/>
    <w:qFormat/>
    <w:rsid w:val="00077485"/>
    <w:pPr>
      <w:jc w:val="center"/>
      <w:outlineLvl w:val="2"/>
    </w:pPr>
    <w:rPr>
      <w:szCs w:val="24"/>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077485"/>
    <w:rPr>
      <w:sz w:val="24"/>
      <w:szCs w:val="24"/>
      <w:lang w:eastAsia="fr-BE"/>
    </w:rPr>
  </w:style>
  <w:style w:type="character" w:customStyle="1" w:styleId="Heading2Char">
    <w:name w:val="Heading 2 Char"/>
    <w:basedOn w:val="DefaultParagraphFont"/>
    <w:link w:val="Heading2"/>
    <w:uiPriority w:val="9"/>
    <w:rsid w:val="00077485"/>
    <w:rPr>
      <w:sz w:val="24"/>
      <w:szCs w:val="24"/>
      <w:lang w:eastAsia="fr-BE"/>
    </w:rPr>
  </w:style>
  <w:style w:type="character" w:customStyle="1" w:styleId="Heading3Char">
    <w:name w:val="Heading 3 Char"/>
    <w:basedOn w:val="DefaultParagraphFont"/>
    <w:link w:val="Heading3"/>
    <w:uiPriority w:val="9"/>
    <w:rsid w:val="00077485"/>
    <w:rPr>
      <w:sz w:val="24"/>
      <w:szCs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spacing w:after="240"/>
      <w:outlineLvl w:val="9"/>
    </w:pPr>
    <w:rPr>
      <w:i/>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69C0B0-3FBE-4DBE-9EAC-C1EC6DF97F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3.xml><?xml version="1.0" encoding="utf-8"?>
<ds:datastoreItem xmlns:ds="http://schemas.openxmlformats.org/officeDocument/2006/customXml" ds:itemID="{B0DAEC49-1568-452A-91A4-B04D91BE8074}">
  <ds:schemaRefs>
    <ds:schemaRef ds:uri="http://schemas.microsoft.com/sharepoint/v3/contenttype/forms"/>
  </ds:schemaRefs>
</ds:datastoreItem>
</file>

<file path=customXml/itemProps4.xml><?xml version="1.0" encoding="utf-8"?>
<ds:datastoreItem xmlns:ds="http://schemas.openxmlformats.org/officeDocument/2006/customXml" ds:itemID="{4D89B6A6-6B48-45D7-8698-C3ACD7886001}">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410</Words>
  <Characters>2300</Characters>
  <Application>Microsoft Office Word</Application>
  <DocSecurity>0</DocSecurity>
  <Lines>48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A-EUFTA Chapter 5 Section A Anti Dumping and Countervailing Duties</dc:title>
  <dc:subject/>
  <dc:creator/>
  <cp:keywords/>
  <cp:lastModifiedBy/>
  <cp:revision>1</cp:revision>
  <dcterms:created xsi:type="dcterms:W3CDTF">2026-10-02T04:03:00Z</dcterms:created>
  <dcterms:modified xsi:type="dcterms:W3CDTF">2026-10-07T03:16:00Z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ClassificationContentMarkingFooterShapeIds">
    <vt:lpwstr>477874ce,621bc4ea,4e31826d</vt:lpwstr>
  </property>
  <property fmtid="{D5CDD505-2E9C-101B-9397-08002B2CF9AE}" pid="7" name="ClassificationContentMarkingHeaderShapeIds">
    <vt:lpwstr>36b3679e,1f428073,4e28ba6b</vt:lpwstr>
  </property>
  <property fmtid="{D5CDD505-2E9C-101B-9397-08002B2CF9AE}" pid="8" name="ClassificationContentMarkingFooterFontProps">
    <vt:lpwstr>#ff0000,12,Aptos</vt:lpwstr>
  </property>
</Properties>
</file>