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0A124" w14:textId="417B4B2E" w:rsidR="00F55714" w:rsidRPr="005A7121" w:rsidRDefault="00F55714" w:rsidP="00471661">
      <w:pPr>
        <w:pStyle w:val="Heading1"/>
        <w:spacing w:before="240" w:after="240" w:line="240" w:lineRule="atLeast"/>
      </w:pPr>
      <w:r w:rsidRPr="005A7121">
        <w:t>SECTION C</w:t>
      </w:r>
      <w:r w:rsidR="000D6D9F" w:rsidRPr="005A7121">
        <w:t xml:space="preserve"> </w:t>
      </w:r>
      <w:r w:rsidR="005A7121" w:rsidRPr="005A7121">
        <w:t>–</w:t>
      </w:r>
      <w:r w:rsidR="000D6D9F" w:rsidRPr="005A7121">
        <w:t xml:space="preserve"> </w:t>
      </w:r>
      <w:r w:rsidRPr="005A7121">
        <w:t>FINAL PROVISIONS</w:t>
      </w:r>
    </w:p>
    <w:p w14:paraId="69743DDD" w14:textId="269A34E2" w:rsidR="00F55714" w:rsidRPr="00716DAF" w:rsidRDefault="00F55714" w:rsidP="00471661">
      <w:pPr>
        <w:pStyle w:val="Heading2"/>
        <w:spacing w:before="240" w:after="240" w:line="240" w:lineRule="atLeast"/>
      </w:pPr>
      <w:r w:rsidRPr="005A7121">
        <w:t>ARTICLE 3.28</w:t>
      </w:r>
      <w:r w:rsidR="002C35C7" w:rsidRPr="002C35C7">
        <w:rPr>
          <w:lang w:val="en-GB"/>
        </w:rPr>
        <w:t xml:space="preserve"> – </w:t>
      </w:r>
      <w:r w:rsidRPr="00716DAF">
        <w:t>Ceuta and Melilla</w:t>
      </w:r>
    </w:p>
    <w:p w14:paraId="70657D53" w14:textId="77777777" w:rsidR="00F55714" w:rsidRPr="00716DAF" w:rsidRDefault="00F55714" w:rsidP="00471661">
      <w:pPr>
        <w:spacing w:before="240" w:after="240" w:line="240" w:lineRule="atLeast"/>
        <w:rPr>
          <w:szCs w:val="24"/>
        </w:rPr>
      </w:pPr>
      <w:r w:rsidRPr="00F10450">
        <w:rPr>
          <w:szCs w:val="24"/>
        </w:rPr>
        <w:t>1</w:t>
      </w:r>
      <w:r w:rsidRPr="00716DAF">
        <w:rPr>
          <w:szCs w:val="24"/>
        </w:rPr>
        <w:t>.</w:t>
      </w:r>
      <w:r w:rsidRPr="00716DAF">
        <w:rPr>
          <w:szCs w:val="24"/>
        </w:rPr>
        <w:tab/>
        <w:t>For the purpose of this Chapter, the term "Party" when referring to the Union does not include Ceuta and Melilla.</w:t>
      </w:r>
    </w:p>
    <w:p w14:paraId="29830EB9" w14:textId="77777777" w:rsidR="00F55714" w:rsidRPr="00716DAF" w:rsidRDefault="00F55714" w:rsidP="00471661">
      <w:pPr>
        <w:spacing w:before="240" w:after="240" w:line="240" w:lineRule="atLeast"/>
        <w:rPr>
          <w:szCs w:val="24"/>
        </w:rPr>
      </w:pPr>
      <w:r w:rsidRPr="00F10450">
        <w:rPr>
          <w:szCs w:val="24"/>
        </w:rPr>
        <w:t>2</w:t>
      </w:r>
      <w:r w:rsidRPr="00716DAF">
        <w:rPr>
          <w:szCs w:val="24"/>
        </w:rPr>
        <w:t>.</w:t>
      </w:r>
      <w:r w:rsidRPr="00716DAF">
        <w:rPr>
          <w:szCs w:val="24"/>
        </w:rPr>
        <w:tab/>
        <w:t xml:space="preserve">Products originating in Australia, when imported into Ceuta and Melilla, shall in all respects be subject to the same customs regime, including preferential tariff treatment, as that which is applied to products originating in the customs territory of the Union under Protocol </w:t>
      </w:r>
      <w:r w:rsidRPr="00F10450">
        <w:rPr>
          <w:szCs w:val="24"/>
        </w:rPr>
        <w:t>2</w:t>
      </w:r>
      <w:r w:rsidRPr="00716DAF">
        <w:rPr>
          <w:szCs w:val="24"/>
        </w:rPr>
        <w:t xml:space="preserve"> concerning the Canary Islands and Ceuta and Melilla of the </w:t>
      </w:r>
      <w:r w:rsidRPr="00F10450">
        <w:rPr>
          <w:szCs w:val="24"/>
        </w:rPr>
        <w:t>1985</w:t>
      </w:r>
      <w:r w:rsidRPr="00716DAF">
        <w:rPr>
          <w:szCs w:val="24"/>
        </w:rPr>
        <w:t xml:space="preserve"> Act of Accession.</w:t>
      </w:r>
      <w:r w:rsidRPr="00716DAF">
        <w:rPr>
          <w:rStyle w:val="FootnoteReference"/>
          <w:szCs w:val="24"/>
        </w:rPr>
        <w:footnoteReference w:id="1"/>
      </w:r>
      <w:r w:rsidRPr="00716DAF">
        <w:rPr>
          <w:szCs w:val="24"/>
        </w:rPr>
        <w:t xml:space="preserve"> Australia shall apply to imports of products covered by this Agreement and originating in Ceuta and Melilla the same customs regime, including preferential tariff treatment, as that which is applied to products imported from and originating in the Union.</w:t>
      </w:r>
    </w:p>
    <w:p w14:paraId="6584E9DB" w14:textId="4CE65FE2" w:rsidR="00D924CC" w:rsidRDefault="00F55714" w:rsidP="00471661">
      <w:pPr>
        <w:spacing w:before="240" w:after="240" w:line="240" w:lineRule="atLeast"/>
        <w:rPr>
          <w:szCs w:val="24"/>
        </w:rPr>
      </w:pPr>
      <w:r w:rsidRPr="00F10450">
        <w:rPr>
          <w:szCs w:val="24"/>
        </w:rPr>
        <w:t>3</w:t>
      </w:r>
      <w:r w:rsidRPr="00716DAF">
        <w:rPr>
          <w:szCs w:val="24"/>
        </w:rPr>
        <w:t>.</w:t>
      </w:r>
      <w:r w:rsidRPr="00716DAF">
        <w:rPr>
          <w:szCs w:val="24"/>
        </w:rPr>
        <w:tab/>
        <w:t>The rules of origin applicable to Australia under this Chapter shall apply in determining the origin of products exported from Australia to Ceuta and Melilla. The rules of origin applicable to the Union under this Chapter shall apply in determining the origin of products exported from Ceuta and Melilla to Australia.</w:t>
      </w:r>
    </w:p>
    <w:p w14:paraId="626A695A" w14:textId="03761EB6" w:rsidR="00F55714" w:rsidRPr="00716DAF" w:rsidRDefault="00F55714" w:rsidP="00471661">
      <w:pPr>
        <w:spacing w:before="240" w:after="240" w:line="240" w:lineRule="atLeast"/>
        <w:rPr>
          <w:szCs w:val="24"/>
        </w:rPr>
      </w:pPr>
      <w:r w:rsidRPr="00F10450">
        <w:rPr>
          <w:szCs w:val="24"/>
        </w:rPr>
        <w:t>4</w:t>
      </w:r>
      <w:r w:rsidRPr="00716DAF">
        <w:rPr>
          <w:szCs w:val="24"/>
        </w:rPr>
        <w:t>.</w:t>
      </w:r>
      <w:r w:rsidRPr="00716DAF">
        <w:rPr>
          <w:szCs w:val="24"/>
        </w:rPr>
        <w:tab/>
        <w:t>Ceuta and Melilla shall be considered as a single territory.</w:t>
      </w:r>
    </w:p>
    <w:p w14:paraId="0C8D1A25" w14:textId="77777777" w:rsidR="00F55714" w:rsidRPr="00716DAF" w:rsidRDefault="00F55714" w:rsidP="00471661">
      <w:pPr>
        <w:spacing w:before="240" w:after="240" w:line="240" w:lineRule="atLeast"/>
        <w:rPr>
          <w:szCs w:val="24"/>
        </w:rPr>
      </w:pPr>
      <w:r w:rsidRPr="00F10450">
        <w:rPr>
          <w:szCs w:val="24"/>
        </w:rPr>
        <w:t>5</w:t>
      </w:r>
      <w:r w:rsidRPr="00716DAF">
        <w:rPr>
          <w:szCs w:val="24"/>
        </w:rPr>
        <w:t>.</w:t>
      </w:r>
      <w:r w:rsidRPr="00716DAF">
        <w:rPr>
          <w:szCs w:val="24"/>
        </w:rPr>
        <w:tab/>
        <w:t>The Spanish customs authorities shall be responsible for the application of this Chapter in Ceuta and Melilla.</w:t>
      </w:r>
    </w:p>
    <w:p w14:paraId="61081FEB" w14:textId="6989BF73" w:rsidR="00F55714" w:rsidRPr="00716DAF" w:rsidRDefault="00F55714" w:rsidP="00471661">
      <w:pPr>
        <w:pStyle w:val="Heading2"/>
        <w:spacing w:before="240" w:after="240" w:line="240" w:lineRule="atLeast"/>
      </w:pPr>
      <w:r w:rsidRPr="00716DAF">
        <w:t xml:space="preserve">ARTICLE </w:t>
      </w:r>
      <w:r w:rsidRPr="00F10450">
        <w:t>3</w:t>
      </w:r>
      <w:r w:rsidRPr="00716DAF">
        <w:t>.</w:t>
      </w:r>
      <w:r w:rsidRPr="00F10450">
        <w:t>29</w:t>
      </w:r>
      <w:r w:rsidR="002C35C7" w:rsidRPr="002C35C7">
        <w:rPr>
          <w:lang w:val="en-GB"/>
        </w:rPr>
        <w:t xml:space="preserve"> – </w:t>
      </w:r>
      <w:r w:rsidRPr="00716DAF">
        <w:t>Committee on Customs</w:t>
      </w:r>
    </w:p>
    <w:p w14:paraId="70766934" w14:textId="77777777" w:rsidR="00F55714" w:rsidRPr="00716DAF" w:rsidRDefault="00F55714" w:rsidP="00471661">
      <w:pPr>
        <w:spacing w:before="240" w:after="240" w:line="240" w:lineRule="atLeast"/>
        <w:rPr>
          <w:szCs w:val="24"/>
        </w:rPr>
      </w:pPr>
      <w:r w:rsidRPr="00F10450">
        <w:rPr>
          <w:szCs w:val="24"/>
        </w:rPr>
        <w:t>1</w:t>
      </w:r>
      <w:r w:rsidRPr="00716DAF">
        <w:rPr>
          <w:szCs w:val="24"/>
        </w:rPr>
        <w:t>.</w:t>
      </w:r>
      <w:r w:rsidRPr="00716DAF">
        <w:rPr>
          <w:szCs w:val="24"/>
        </w:rPr>
        <w:tab/>
        <w:t xml:space="preserve">The Committee on Customs is established pursuant to Article </w:t>
      </w:r>
      <w:r w:rsidRPr="00F10450">
        <w:rPr>
          <w:szCs w:val="24"/>
        </w:rPr>
        <w:t>22</w:t>
      </w:r>
      <w:r w:rsidRPr="00716DAF">
        <w:rPr>
          <w:szCs w:val="24"/>
        </w:rPr>
        <w:t>.</w:t>
      </w:r>
      <w:r w:rsidRPr="00F10450">
        <w:rPr>
          <w:szCs w:val="24"/>
        </w:rPr>
        <w:t>5</w:t>
      </w:r>
      <w:r w:rsidRPr="00716DAF">
        <w:rPr>
          <w:szCs w:val="24"/>
        </w:rPr>
        <w:t>(</w:t>
      </w:r>
      <w:r w:rsidRPr="00F10450">
        <w:rPr>
          <w:szCs w:val="24"/>
        </w:rPr>
        <w:t>1</w:t>
      </w:r>
      <w:r w:rsidRPr="00716DAF">
        <w:rPr>
          <w:szCs w:val="24"/>
        </w:rPr>
        <w:t>) (Specialised committees).</w:t>
      </w:r>
    </w:p>
    <w:p w14:paraId="1757793B" w14:textId="370C6A2C" w:rsidR="00F55714" w:rsidRPr="00716DAF" w:rsidRDefault="00F55714" w:rsidP="00471661">
      <w:pPr>
        <w:spacing w:before="240" w:after="240" w:line="240" w:lineRule="atLeast"/>
        <w:rPr>
          <w:szCs w:val="24"/>
        </w:rPr>
      </w:pPr>
      <w:r w:rsidRPr="00F10450">
        <w:rPr>
          <w:szCs w:val="24"/>
        </w:rPr>
        <w:t>2</w:t>
      </w:r>
      <w:r w:rsidRPr="00716DAF">
        <w:rPr>
          <w:szCs w:val="24"/>
        </w:rPr>
        <w:t>.</w:t>
      </w:r>
      <w:r w:rsidRPr="00716DAF">
        <w:rPr>
          <w:szCs w:val="24"/>
        </w:rPr>
        <w:tab/>
        <w:t xml:space="preserve">In addition to the functions specified in Article </w:t>
      </w:r>
      <w:r w:rsidRPr="00F10450">
        <w:rPr>
          <w:szCs w:val="24"/>
        </w:rPr>
        <w:t>22</w:t>
      </w:r>
      <w:r w:rsidRPr="00716DAF">
        <w:rPr>
          <w:szCs w:val="24"/>
        </w:rPr>
        <w:t>.</w:t>
      </w:r>
      <w:r w:rsidRPr="00F10450">
        <w:rPr>
          <w:szCs w:val="24"/>
        </w:rPr>
        <w:t>6</w:t>
      </w:r>
      <w:r w:rsidRPr="00716DAF">
        <w:rPr>
          <w:szCs w:val="24"/>
        </w:rPr>
        <w:t xml:space="preserve"> (Functions of the specialised committees), the Committee on Customs shall, with respect to this Chapter, have the following functions:</w:t>
      </w:r>
    </w:p>
    <w:p w14:paraId="53A17DE5" w14:textId="77777777" w:rsidR="00F55714" w:rsidRPr="00716DAF" w:rsidRDefault="00F55714" w:rsidP="00471661">
      <w:pPr>
        <w:spacing w:before="240" w:after="240" w:line="240" w:lineRule="atLeast"/>
        <w:ind w:left="567" w:hanging="567"/>
        <w:rPr>
          <w:szCs w:val="24"/>
        </w:rPr>
      </w:pPr>
      <w:r w:rsidRPr="00716DAF">
        <w:rPr>
          <w:szCs w:val="24"/>
        </w:rPr>
        <w:t>(a)</w:t>
      </w:r>
      <w:r w:rsidRPr="00716DAF">
        <w:rPr>
          <w:szCs w:val="24"/>
        </w:rPr>
        <w:tab/>
        <w:t>considering possible amendments to this Chapter and its Annexes, including those arising from the review of the Harmonized System;</w:t>
      </w:r>
    </w:p>
    <w:p w14:paraId="208A3562" w14:textId="77777777" w:rsidR="00F55714" w:rsidRPr="00716DAF" w:rsidRDefault="00F55714" w:rsidP="00471661">
      <w:pPr>
        <w:spacing w:before="240" w:after="240" w:line="240" w:lineRule="atLeast"/>
        <w:ind w:left="567" w:hanging="567"/>
        <w:rPr>
          <w:szCs w:val="24"/>
        </w:rPr>
      </w:pPr>
      <w:r w:rsidRPr="00716DAF">
        <w:rPr>
          <w:szCs w:val="24"/>
        </w:rPr>
        <w:t>(b)</w:t>
      </w:r>
      <w:r w:rsidRPr="00716DAF">
        <w:rPr>
          <w:szCs w:val="24"/>
        </w:rPr>
        <w:tab/>
        <w:t>adopting, by decisions, explanatory notes to facilitate the implementation of this Chapter; and</w:t>
      </w:r>
    </w:p>
    <w:p w14:paraId="4E934559" w14:textId="1C2F25EE" w:rsidR="00D924CC" w:rsidRDefault="00F55714" w:rsidP="00471661">
      <w:pPr>
        <w:spacing w:before="240" w:after="240" w:line="240" w:lineRule="atLeast"/>
        <w:ind w:left="567" w:hanging="567"/>
        <w:rPr>
          <w:szCs w:val="24"/>
        </w:rPr>
      </w:pPr>
      <w:r w:rsidRPr="00716DAF">
        <w:rPr>
          <w:szCs w:val="24"/>
        </w:rPr>
        <w:t>(c)</w:t>
      </w:r>
      <w:r w:rsidRPr="00716DAF">
        <w:rPr>
          <w:szCs w:val="24"/>
        </w:rPr>
        <w:tab/>
        <w:t xml:space="preserve">adopting a decision to establish the consultation procedure referred to in Article </w:t>
      </w:r>
      <w:r w:rsidRPr="00F10450">
        <w:rPr>
          <w:szCs w:val="24"/>
        </w:rPr>
        <w:t>3</w:t>
      </w:r>
      <w:r w:rsidRPr="00716DAF">
        <w:rPr>
          <w:szCs w:val="24"/>
        </w:rPr>
        <w:t>.</w:t>
      </w:r>
      <w:r w:rsidRPr="00F10450">
        <w:rPr>
          <w:szCs w:val="24"/>
        </w:rPr>
        <w:t>25</w:t>
      </w:r>
      <w:r w:rsidRPr="00716DAF">
        <w:rPr>
          <w:szCs w:val="24"/>
        </w:rPr>
        <w:t>(</w:t>
      </w:r>
      <w:r w:rsidRPr="00F10450">
        <w:rPr>
          <w:szCs w:val="24"/>
        </w:rPr>
        <w:t>4</w:t>
      </w:r>
      <w:r w:rsidRPr="00716DAF">
        <w:rPr>
          <w:szCs w:val="24"/>
        </w:rPr>
        <w:t xml:space="preserve">) </w:t>
      </w:r>
      <w:r w:rsidRPr="00716DAF">
        <w:rPr>
          <w:szCs w:val="24"/>
        </w:rPr>
        <w:lastRenderedPageBreak/>
        <w:t>(Denial of preferential tariff treatment).</w:t>
      </w:r>
    </w:p>
    <w:p w14:paraId="34472E5D" w14:textId="6C9231A2" w:rsidR="00F55714" w:rsidRPr="00716DAF" w:rsidRDefault="00F55714" w:rsidP="00471661">
      <w:pPr>
        <w:pStyle w:val="Heading2"/>
        <w:spacing w:before="240" w:after="240" w:line="240" w:lineRule="atLeast"/>
      </w:pPr>
      <w:r w:rsidRPr="00716DAF">
        <w:t xml:space="preserve">ARTICLE </w:t>
      </w:r>
      <w:r w:rsidRPr="00F10450">
        <w:t>3</w:t>
      </w:r>
      <w:r w:rsidRPr="00716DAF">
        <w:t>.</w:t>
      </w:r>
      <w:r w:rsidRPr="00F10450">
        <w:t>30</w:t>
      </w:r>
      <w:r w:rsidR="002C35C7" w:rsidRPr="002C35C7">
        <w:rPr>
          <w:lang w:val="en-GB"/>
        </w:rPr>
        <w:t xml:space="preserve"> – </w:t>
      </w:r>
      <w:r w:rsidRPr="00716DAF">
        <w:t>Transitional provisions for products in transit or storage</w:t>
      </w:r>
    </w:p>
    <w:p w14:paraId="580D949E" w14:textId="77777777" w:rsidR="00F55714" w:rsidRPr="00716DAF" w:rsidRDefault="00F55714" w:rsidP="00471661">
      <w:pPr>
        <w:spacing w:before="240" w:after="240" w:line="240" w:lineRule="atLeast"/>
        <w:rPr>
          <w:szCs w:val="24"/>
        </w:rPr>
      </w:pPr>
      <w:r w:rsidRPr="00F10450">
        <w:rPr>
          <w:szCs w:val="24"/>
        </w:rPr>
        <w:t>1</w:t>
      </w:r>
      <w:r w:rsidRPr="00716DAF">
        <w:rPr>
          <w:szCs w:val="24"/>
        </w:rPr>
        <w:t>.</w:t>
      </w:r>
      <w:r w:rsidRPr="00716DAF">
        <w:rPr>
          <w:szCs w:val="24"/>
        </w:rPr>
        <w:tab/>
        <w:t>Each Party shall apply the provisions of this Agreement to an originating product that:</w:t>
      </w:r>
    </w:p>
    <w:p w14:paraId="774CA099" w14:textId="77777777" w:rsidR="00F55714" w:rsidRPr="00716DAF" w:rsidRDefault="00F55714" w:rsidP="00471661">
      <w:pPr>
        <w:spacing w:before="240" w:after="240" w:line="240" w:lineRule="atLeast"/>
        <w:ind w:left="567" w:hanging="567"/>
        <w:rPr>
          <w:szCs w:val="24"/>
        </w:rPr>
      </w:pPr>
      <w:r w:rsidRPr="00716DAF">
        <w:rPr>
          <w:szCs w:val="24"/>
        </w:rPr>
        <w:t>(a)</w:t>
      </w:r>
      <w:r w:rsidRPr="00716DAF">
        <w:rPr>
          <w:szCs w:val="24"/>
        </w:rPr>
        <w:tab/>
        <w:t>on the date of entry into force of this Agreement:</w:t>
      </w:r>
    </w:p>
    <w:p w14:paraId="6853D97D" w14:textId="1AE5ECFD" w:rsidR="00F55714" w:rsidRPr="00716DAF" w:rsidRDefault="00F55714" w:rsidP="00471661">
      <w:pPr>
        <w:spacing w:before="240" w:after="240" w:line="240" w:lineRule="atLeast"/>
        <w:ind w:left="1134" w:hanging="567"/>
        <w:rPr>
          <w:szCs w:val="24"/>
        </w:rPr>
      </w:pPr>
      <w:r w:rsidRPr="00716DAF">
        <w:rPr>
          <w:szCs w:val="24"/>
        </w:rPr>
        <w:t>(i)</w:t>
      </w:r>
      <w:r w:rsidR="00D924CC">
        <w:rPr>
          <w:szCs w:val="24"/>
        </w:rPr>
        <w:tab/>
      </w:r>
      <w:r w:rsidRPr="00716DAF">
        <w:rPr>
          <w:szCs w:val="24"/>
        </w:rPr>
        <w:t>is in transit from the exporting Party to the importing Party; or</w:t>
      </w:r>
    </w:p>
    <w:p w14:paraId="24D4A903" w14:textId="77777777" w:rsidR="00C8433E" w:rsidRDefault="00F55714" w:rsidP="00471661">
      <w:pPr>
        <w:spacing w:before="240" w:after="240" w:line="240" w:lineRule="atLeast"/>
        <w:ind w:left="1134" w:hanging="567"/>
        <w:rPr>
          <w:szCs w:val="24"/>
        </w:rPr>
      </w:pPr>
      <w:r w:rsidRPr="00716DAF">
        <w:rPr>
          <w:szCs w:val="24"/>
        </w:rPr>
        <w:t>(ii)</w:t>
      </w:r>
      <w:r w:rsidR="00D924CC">
        <w:rPr>
          <w:szCs w:val="24"/>
        </w:rPr>
        <w:tab/>
      </w:r>
      <w:r w:rsidRPr="00716DAF">
        <w:rPr>
          <w:szCs w:val="24"/>
        </w:rPr>
        <w:t>has not been cleared for home use in the importing Party; and</w:t>
      </w:r>
    </w:p>
    <w:p w14:paraId="65474304" w14:textId="343BE024" w:rsidR="00F55714" w:rsidRPr="00716DAF" w:rsidRDefault="00F55714" w:rsidP="00471661">
      <w:pPr>
        <w:spacing w:before="240" w:after="240" w:line="240" w:lineRule="atLeast"/>
        <w:ind w:left="567" w:hanging="567"/>
        <w:rPr>
          <w:szCs w:val="24"/>
        </w:rPr>
      </w:pPr>
      <w:r w:rsidRPr="00716DAF">
        <w:rPr>
          <w:szCs w:val="24"/>
        </w:rPr>
        <w:t>(b)</w:t>
      </w:r>
      <w:r w:rsidRPr="00716DAF">
        <w:rPr>
          <w:szCs w:val="24"/>
        </w:rPr>
        <w:tab/>
        <w:t>otherwise complies with the provisions of this Chapter.</w:t>
      </w:r>
    </w:p>
    <w:p w14:paraId="0D016AB7" w14:textId="77777777" w:rsidR="00F55714" w:rsidRPr="00716DAF" w:rsidRDefault="00F55714" w:rsidP="00471661">
      <w:pPr>
        <w:spacing w:before="240" w:after="240" w:line="240" w:lineRule="atLeast"/>
        <w:rPr>
          <w:szCs w:val="24"/>
        </w:rPr>
      </w:pPr>
      <w:r w:rsidRPr="00F10450">
        <w:rPr>
          <w:szCs w:val="24"/>
        </w:rPr>
        <w:t>2</w:t>
      </w:r>
      <w:r w:rsidRPr="00716DAF">
        <w:rPr>
          <w:szCs w:val="24"/>
        </w:rPr>
        <w:t>.</w:t>
      </w:r>
      <w:r w:rsidRPr="00716DAF">
        <w:rPr>
          <w:szCs w:val="24"/>
        </w:rPr>
        <w:tab/>
        <w:t xml:space="preserve">The application of paragraph </w:t>
      </w:r>
      <w:r w:rsidRPr="00F10450">
        <w:rPr>
          <w:szCs w:val="24"/>
        </w:rPr>
        <w:t>1</w:t>
      </w:r>
      <w:r w:rsidRPr="00716DAF">
        <w:rPr>
          <w:szCs w:val="24"/>
        </w:rPr>
        <w:t xml:space="preserve"> is subject to an importer making a claim for preferential tariff treatment as referred to in Article </w:t>
      </w:r>
      <w:r w:rsidRPr="00F10450">
        <w:rPr>
          <w:szCs w:val="24"/>
        </w:rPr>
        <w:t>3</w:t>
      </w:r>
      <w:r w:rsidRPr="00716DAF">
        <w:rPr>
          <w:szCs w:val="24"/>
        </w:rPr>
        <w:t>.</w:t>
      </w:r>
      <w:r w:rsidRPr="00F10450">
        <w:rPr>
          <w:szCs w:val="24"/>
        </w:rPr>
        <w:t>16</w:t>
      </w:r>
      <w:r w:rsidRPr="00716DAF">
        <w:rPr>
          <w:szCs w:val="24"/>
        </w:rPr>
        <w:t xml:space="preserve"> (Claim for preferential tariff treatment) within </w:t>
      </w:r>
      <w:r w:rsidRPr="00F10450">
        <w:rPr>
          <w:szCs w:val="24"/>
        </w:rPr>
        <w:t>12</w:t>
      </w:r>
      <w:r w:rsidRPr="00716DAF">
        <w:rPr>
          <w:szCs w:val="24"/>
        </w:rPr>
        <w:t xml:space="preserve"> months after the date of entry into force of this Agreement.</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27A73" w14:textId="77777777" w:rsidR="004F30B2" w:rsidRDefault="004F30B2">
      <w:r>
        <w:separator/>
      </w:r>
    </w:p>
  </w:endnote>
  <w:endnote w:type="continuationSeparator" w:id="0">
    <w:p w14:paraId="624CA8E3" w14:textId="77777777" w:rsidR="004F30B2" w:rsidRDefault="004F30B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18CB" w14:textId="5CA3AA6A" w:rsidR="000D6D9F" w:rsidRDefault="000D6D9F">
    <w:pPr>
      <w:pStyle w:val="Footer"/>
    </w:pPr>
    <w:r>
      <w:rPr>
        <w:noProof/>
      </w:rPr>
      <mc:AlternateContent>
        <mc:Choice Requires="wps">
          <w:drawing>
            <wp:anchor distT="0" distB="0" distL="0" distR="0" simplePos="0" relativeHeight="251658241" behindDoc="0" locked="0" layoutInCell="1" allowOverlap="1" wp14:anchorId="0DCD8744" wp14:editId="08FE5542">
              <wp:simplePos x="635" y="635"/>
              <wp:positionH relativeFrom="page">
                <wp:align>center</wp:align>
              </wp:positionH>
              <wp:positionV relativeFrom="page">
                <wp:align>bottom</wp:align>
              </wp:positionV>
              <wp:extent cx="622300" cy="469265"/>
              <wp:effectExtent l="0" t="0" r="6350" b="0"/>
              <wp:wrapNone/>
              <wp:docPr id="14216741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DBA8377" w14:textId="77526144"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CD8744"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7DBA8377" w14:textId="77526144"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87787"/>
      <w:docPartObj>
        <w:docPartGallery w:val="Page Numbers (Bottom of Page)"/>
        <w:docPartUnique/>
      </w:docPartObj>
    </w:sdtPr>
    <w:sdtEndPr>
      <w:rPr>
        <w:noProof/>
      </w:rPr>
    </w:sdtEndPr>
    <w:sdtContent>
      <w:p w14:paraId="76B78C5D" w14:textId="60D5CE32" w:rsidR="005A7121" w:rsidRDefault="005A71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80C96" w14:textId="77777777" w:rsidR="005A7121" w:rsidRDefault="005A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A12A" w14:textId="0EB05789" w:rsidR="000D6D9F" w:rsidRDefault="000D6D9F">
    <w:pPr>
      <w:pStyle w:val="Footer"/>
    </w:pPr>
    <w:r>
      <w:rPr>
        <w:noProof/>
      </w:rPr>
      <mc:AlternateContent>
        <mc:Choice Requires="wps">
          <w:drawing>
            <wp:anchor distT="0" distB="0" distL="0" distR="0" simplePos="0" relativeHeight="251658243" behindDoc="0" locked="0" layoutInCell="1" allowOverlap="1" wp14:anchorId="1E1AD593" wp14:editId="07B196C8">
              <wp:simplePos x="635" y="635"/>
              <wp:positionH relativeFrom="page">
                <wp:align>center</wp:align>
              </wp:positionH>
              <wp:positionV relativeFrom="page">
                <wp:align>bottom</wp:align>
              </wp:positionV>
              <wp:extent cx="622300" cy="469265"/>
              <wp:effectExtent l="0" t="0" r="6350" b="0"/>
              <wp:wrapNone/>
              <wp:docPr id="109925175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052D101" w14:textId="1428FEE3"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1AD59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5052D101" w14:textId="1428FEE3"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A1331" w14:textId="77777777" w:rsidR="004F30B2" w:rsidRDefault="004F30B2">
      <w:pPr>
        <w:pStyle w:val="FootnoteText"/>
      </w:pPr>
      <w:r>
        <w:separator/>
      </w:r>
    </w:p>
  </w:footnote>
  <w:footnote w:type="continuationSeparator" w:id="0">
    <w:p w14:paraId="1D94DAED" w14:textId="77777777" w:rsidR="004F30B2" w:rsidRDefault="004F30B2">
      <w:pPr>
        <w:pStyle w:val="FootnoteText"/>
      </w:pPr>
      <w:r>
        <w:separator/>
      </w:r>
    </w:p>
  </w:footnote>
  <w:footnote w:id="1">
    <w:p w14:paraId="52478202"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OJ EU L 302, 15.11.1985, p.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FB9C" w14:textId="6564A22A" w:rsidR="000D6D9F" w:rsidRDefault="000D6D9F">
    <w:pPr>
      <w:pStyle w:val="Header"/>
    </w:pPr>
    <w:r>
      <w:rPr>
        <w:noProof/>
      </w:rPr>
      <mc:AlternateContent>
        <mc:Choice Requires="wps">
          <w:drawing>
            <wp:anchor distT="0" distB="0" distL="0" distR="0" simplePos="0" relativeHeight="251658240" behindDoc="0" locked="0" layoutInCell="1" allowOverlap="1" wp14:anchorId="60AE01CB" wp14:editId="06362B51">
              <wp:simplePos x="635" y="635"/>
              <wp:positionH relativeFrom="page">
                <wp:align>center</wp:align>
              </wp:positionH>
              <wp:positionV relativeFrom="page">
                <wp:align>top</wp:align>
              </wp:positionV>
              <wp:extent cx="622300" cy="469265"/>
              <wp:effectExtent l="0" t="0" r="6350" b="6985"/>
              <wp:wrapNone/>
              <wp:docPr id="2450704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D350664" w14:textId="4642EA64"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AE01C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0D350664" w14:textId="4642EA64"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284B" w14:textId="021C490B" w:rsidR="000D6D9F" w:rsidRDefault="000D6D9F">
    <w:pPr>
      <w:pStyle w:val="Header"/>
    </w:pPr>
    <w:r>
      <w:rPr>
        <w:noProof/>
      </w:rPr>
      <mc:AlternateContent>
        <mc:Choice Requires="wps">
          <w:drawing>
            <wp:anchor distT="0" distB="0" distL="0" distR="0" simplePos="0" relativeHeight="251658242" behindDoc="0" locked="0" layoutInCell="1" allowOverlap="1" wp14:anchorId="122AE824" wp14:editId="1084D332">
              <wp:simplePos x="635" y="635"/>
              <wp:positionH relativeFrom="page">
                <wp:align>center</wp:align>
              </wp:positionH>
              <wp:positionV relativeFrom="page">
                <wp:align>top</wp:align>
              </wp:positionV>
              <wp:extent cx="622300" cy="469265"/>
              <wp:effectExtent l="0" t="0" r="6350" b="6985"/>
              <wp:wrapNone/>
              <wp:docPr id="3806232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573FE6A" w14:textId="2DF42185"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2AE82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6573FE6A" w14:textId="2DF42185" w:rsidR="000D6D9F" w:rsidRPr="000D6D9F" w:rsidRDefault="000D6D9F" w:rsidP="000D6D9F">
                    <w:pPr>
                      <w:rPr>
                        <w:rFonts w:ascii="Aptos" w:eastAsia="Aptos" w:hAnsi="Aptos" w:cs="Aptos"/>
                        <w:noProof/>
                        <w:color w:val="FF0000"/>
                        <w:szCs w:val="24"/>
                      </w:rPr>
                    </w:pPr>
                    <w:r w:rsidRPr="000D6D9F">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D6D9F"/>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C35C7"/>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3FEA"/>
    <w:rsid w:val="00465B83"/>
    <w:rsid w:val="00471661"/>
    <w:rsid w:val="00472C15"/>
    <w:rsid w:val="004861ED"/>
    <w:rsid w:val="0048636D"/>
    <w:rsid w:val="00490932"/>
    <w:rsid w:val="00491ACF"/>
    <w:rsid w:val="00496E9B"/>
    <w:rsid w:val="004B21B9"/>
    <w:rsid w:val="004C04F5"/>
    <w:rsid w:val="004D202F"/>
    <w:rsid w:val="004E09B5"/>
    <w:rsid w:val="004E30A8"/>
    <w:rsid w:val="004F1708"/>
    <w:rsid w:val="004F1F3A"/>
    <w:rsid w:val="004F30B2"/>
    <w:rsid w:val="00505DC5"/>
    <w:rsid w:val="005115B2"/>
    <w:rsid w:val="00511F69"/>
    <w:rsid w:val="005176C6"/>
    <w:rsid w:val="00517AFA"/>
    <w:rsid w:val="00517F1E"/>
    <w:rsid w:val="0053148A"/>
    <w:rsid w:val="00546F13"/>
    <w:rsid w:val="00551A45"/>
    <w:rsid w:val="00552501"/>
    <w:rsid w:val="005555EB"/>
    <w:rsid w:val="0056419F"/>
    <w:rsid w:val="005656E2"/>
    <w:rsid w:val="00571310"/>
    <w:rsid w:val="00573235"/>
    <w:rsid w:val="005766C0"/>
    <w:rsid w:val="005777DC"/>
    <w:rsid w:val="005846A5"/>
    <w:rsid w:val="00591446"/>
    <w:rsid w:val="00596C14"/>
    <w:rsid w:val="005A4E7C"/>
    <w:rsid w:val="005A7121"/>
    <w:rsid w:val="005C1DE3"/>
    <w:rsid w:val="005C4936"/>
    <w:rsid w:val="005C5857"/>
    <w:rsid w:val="005D0AD8"/>
    <w:rsid w:val="005D11D1"/>
    <w:rsid w:val="005D3C88"/>
    <w:rsid w:val="005F45C3"/>
    <w:rsid w:val="005F4C43"/>
    <w:rsid w:val="005F647C"/>
    <w:rsid w:val="005F793E"/>
    <w:rsid w:val="00604699"/>
    <w:rsid w:val="006058A4"/>
    <w:rsid w:val="00607DD8"/>
    <w:rsid w:val="0061087B"/>
    <w:rsid w:val="0061261D"/>
    <w:rsid w:val="00615C14"/>
    <w:rsid w:val="006164E1"/>
    <w:rsid w:val="00621888"/>
    <w:rsid w:val="00624C6D"/>
    <w:rsid w:val="00627335"/>
    <w:rsid w:val="0065291B"/>
    <w:rsid w:val="006562F0"/>
    <w:rsid w:val="00657C40"/>
    <w:rsid w:val="006609FB"/>
    <w:rsid w:val="00664519"/>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1ECA"/>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257EC"/>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051A"/>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4CA0"/>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035C"/>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5A7121"/>
    <w:pPr>
      <w:jc w:val="center"/>
      <w:outlineLvl w:val="0"/>
    </w:pPr>
    <w:rPr>
      <w:szCs w:val="24"/>
    </w:rPr>
  </w:style>
  <w:style w:type="paragraph" w:styleId="Heading2">
    <w:name w:val="heading 2"/>
    <w:basedOn w:val="Normal"/>
    <w:next w:val="Normal"/>
    <w:link w:val="Heading2Char"/>
    <w:uiPriority w:val="9"/>
    <w:qFormat/>
    <w:rsid w:val="005A7121"/>
    <w:pPr>
      <w:jc w:val="center"/>
      <w:outlineLvl w:val="1"/>
    </w:pPr>
    <w:rPr>
      <w:szCs w:val="24"/>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5A7121"/>
    <w:rPr>
      <w:sz w:val="24"/>
      <w:szCs w:val="24"/>
      <w:lang w:eastAsia="fr-BE"/>
    </w:rPr>
  </w:style>
  <w:style w:type="character" w:customStyle="1" w:styleId="Heading2Char">
    <w:name w:val="Heading 2 Char"/>
    <w:basedOn w:val="DefaultParagraphFont"/>
    <w:link w:val="Heading2"/>
    <w:uiPriority w:val="9"/>
    <w:rsid w:val="005A7121"/>
    <w:rPr>
      <w:sz w:val="24"/>
      <w:szCs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32EED2-82CF-4E55-AB61-D321F46FBC40}">
  <ds:schemaRefs>
    <ds:schemaRef ds:uri="http://schemas.microsoft.com/sharepoint/v3/contenttype/form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FD88E2C8-D9AD-4EDE-A892-3D8BA49E9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F01251-9818-4CEC-B0A8-0CCEC97A38F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3 Section C Final Provisions</dc:title>
  <dc:subject/>
  <dc:creator/>
  <cp:keywords/>
  <cp:lastModifiedBy/>
  <cp:revision>1</cp:revision>
  <dcterms:created xsi:type="dcterms:W3CDTF">2026-10-02T03:51:00Z</dcterms:created>
  <dcterms:modified xsi:type="dcterms:W3CDTF">2026-10-07T02:18:00Z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docLang">
    <vt:lpwstr>en</vt:lpwstr>
  </property>
  <property fmtid="{D5CDD505-2E9C-101B-9397-08002B2CF9AE}" pid="7" name="ClassificationContentMarkingFooterShapeIds">
    <vt:lpwstr>41854028,54bd0691,65b04585</vt:lpwstr>
  </property>
  <property fmtid="{D5CDD505-2E9C-101B-9397-08002B2CF9AE}" pid="8" name="ClassificationContentMarkingHeaderShapeIds">
    <vt:lpwstr>16afd997,e9b7a9f,1e880edc</vt:lpwstr>
  </property>
  <property fmtid="{D5CDD505-2E9C-101B-9397-08002B2CF9AE}" pid="9" name="ClassificationContentMarkingFooterFontProps">
    <vt:lpwstr>#ff0000,12,Aptos</vt:lpwstr>
  </property>
</Properties>
</file>