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78CD8" w14:textId="4B043710" w:rsidR="00F55714" w:rsidRPr="005A3FC0" w:rsidRDefault="00F55714" w:rsidP="0096639E">
      <w:pPr>
        <w:pStyle w:val="Heading1"/>
        <w:spacing w:before="240" w:after="240" w:line="240" w:lineRule="atLeast"/>
      </w:pPr>
      <w:r w:rsidRPr="005A3FC0">
        <w:t>SECTION C</w:t>
      </w:r>
      <w:r w:rsidR="005A3FC0" w:rsidRPr="005A3FC0">
        <w:t xml:space="preserve"> - ENFORCEMENT OF INTELLECTUAL PROPERTY RIGHTS</w:t>
      </w:r>
    </w:p>
    <w:p w14:paraId="3C39DBB8" w14:textId="6906B0B9" w:rsidR="00F55714" w:rsidRPr="005A3FC0" w:rsidRDefault="00F55714" w:rsidP="0096639E">
      <w:pPr>
        <w:pStyle w:val="Heading2"/>
        <w:spacing w:before="240" w:after="240" w:line="240" w:lineRule="atLeast"/>
      </w:pPr>
      <w:r w:rsidRPr="005A3FC0">
        <w:t>ARTICLE 17.53</w:t>
      </w:r>
      <w:r w:rsidR="005A3FC0" w:rsidRPr="005A3FC0">
        <w:t xml:space="preserve"> - General obligations</w:t>
      </w:r>
    </w:p>
    <w:p w14:paraId="7AEC6C9D" w14:textId="77777777" w:rsidR="00F55714" w:rsidRPr="00716DAF" w:rsidRDefault="00F55714" w:rsidP="0096639E">
      <w:pPr>
        <w:pStyle w:val="liste"/>
        <w:spacing w:before="240" w:after="240" w:line="240" w:lineRule="atLeast"/>
        <w:jc w:val="left"/>
        <w:rPr>
          <w:lang w:val="en-IE"/>
        </w:rPr>
      </w:pPr>
      <w:r w:rsidRPr="00F10450">
        <w:rPr>
          <w:lang w:val="en-IE"/>
        </w:rPr>
        <w:t>1</w:t>
      </w:r>
      <w:r w:rsidRPr="00716DAF">
        <w:rPr>
          <w:lang w:val="en-IE"/>
        </w:rPr>
        <w:t>.</w:t>
      </w:r>
      <w:r w:rsidRPr="00716DAF">
        <w:rPr>
          <w:lang w:val="en-IE"/>
        </w:rPr>
        <w:tab/>
        <w:t>The Parties reaffirm their commitments under the TRIPS Agreement and in particular under its Part III. Each Party shall provide for the complementary measures, procedures and remedies referred to in this Section regarding the enforcement of intellectual property rights.</w:t>
      </w:r>
      <w:r w:rsidRPr="00716DAF">
        <w:rPr>
          <w:rStyle w:val="FootnoteReference"/>
          <w:lang w:val="en-IE"/>
        </w:rPr>
        <w:footnoteReference w:id="1"/>
      </w:r>
    </w:p>
    <w:p w14:paraId="06E44B5C" w14:textId="77777777" w:rsidR="00F55714" w:rsidRPr="00716DAF" w:rsidRDefault="00F55714" w:rsidP="0096639E">
      <w:pPr>
        <w:pStyle w:val="liste"/>
        <w:spacing w:before="240" w:after="240" w:line="240" w:lineRule="atLeast"/>
        <w:jc w:val="left"/>
        <w:rPr>
          <w:lang w:val="en-IE"/>
        </w:rPr>
      </w:pPr>
      <w:r w:rsidRPr="00F10450">
        <w:rPr>
          <w:lang w:val="en-IE"/>
        </w:rPr>
        <w:t>2</w:t>
      </w:r>
      <w:r w:rsidRPr="00716DAF">
        <w:rPr>
          <w:lang w:val="en-IE"/>
        </w:rPr>
        <w:t>.</w:t>
      </w:r>
      <w:r w:rsidRPr="00716DAF">
        <w:rPr>
          <w:lang w:val="en-IE"/>
        </w:rPr>
        <w:tab/>
        <w:t>Each Party shall ensure that enforcement procedures as specified in this Section are available under its law so as to permit effective action against any act of infringement of intellectual property rights covered by this Chapter, including expeditious remedies to prevent infringements and remedies that constitute a deterrent to future infringements. Those procedures shall be proportionate and shall be applied in such a manner as to avoid the creation of barriers to legitimate trade and to provide for safeguards against their abuse.</w:t>
      </w:r>
      <w:r w:rsidRPr="00716DAF">
        <w:rPr>
          <w:rStyle w:val="FootnoteReference"/>
          <w:lang w:val="en-IE"/>
        </w:rPr>
        <w:footnoteReference w:id="2"/>
      </w:r>
    </w:p>
    <w:p w14:paraId="4B24E01D" w14:textId="77777777" w:rsidR="00F55714" w:rsidRPr="00716DAF" w:rsidRDefault="00F55714" w:rsidP="0096639E">
      <w:pPr>
        <w:pStyle w:val="liste"/>
        <w:spacing w:before="240" w:after="240" w:line="240" w:lineRule="atLeast"/>
        <w:jc w:val="left"/>
        <w:rPr>
          <w:lang w:val="en-IE"/>
        </w:rPr>
      </w:pPr>
      <w:r w:rsidRPr="00F10450">
        <w:rPr>
          <w:lang w:val="en-IE"/>
        </w:rPr>
        <w:t>3</w:t>
      </w:r>
      <w:r w:rsidRPr="00716DAF">
        <w:rPr>
          <w:lang w:val="en-IE"/>
        </w:rPr>
        <w:t>.</w:t>
      </w:r>
      <w:r w:rsidRPr="00716DAF">
        <w:rPr>
          <w:lang w:val="en-IE"/>
        </w:rPr>
        <w:tab/>
        <w:t>For the purposes of this Section, each Party shall ensure that its procedures concerning the enforcement of intellectual property rights are fair and equitable. Those procedures shall not be unnecessarily complicated or costly, or entail unreasonable time-limits or unwarranted delays.</w:t>
      </w:r>
    </w:p>
    <w:p w14:paraId="5A395A98" w14:textId="48A4EEF0" w:rsidR="00F55714" w:rsidRPr="00716DAF" w:rsidRDefault="00F55714" w:rsidP="0096639E">
      <w:pPr>
        <w:pStyle w:val="liste"/>
        <w:spacing w:before="240" w:after="240" w:line="240" w:lineRule="atLeast"/>
        <w:jc w:val="left"/>
        <w:rPr>
          <w:lang w:val="en-IE"/>
        </w:rPr>
      </w:pPr>
      <w:r w:rsidRPr="00F10450">
        <w:rPr>
          <w:lang w:val="en-IE"/>
        </w:rPr>
        <w:t>4</w:t>
      </w:r>
      <w:r w:rsidRPr="00716DAF">
        <w:rPr>
          <w:lang w:val="en-IE"/>
        </w:rPr>
        <w:t>.</w:t>
      </w:r>
      <w:r w:rsidRPr="00716DAF">
        <w:rPr>
          <w:lang w:val="en-IE"/>
        </w:rPr>
        <w:tab/>
        <w:t>This Section does not create any obligation:</w:t>
      </w:r>
    </w:p>
    <w:p w14:paraId="16182FD9" w14:textId="77777777" w:rsidR="00F55714" w:rsidRPr="00716DAF" w:rsidRDefault="00F55714" w:rsidP="0096639E">
      <w:pPr>
        <w:spacing w:before="240" w:after="240" w:line="240" w:lineRule="atLeast"/>
        <w:ind w:left="567" w:hanging="567"/>
        <w:rPr>
          <w:szCs w:val="24"/>
          <w:lang w:val="en-IE"/>
        </w:rPr>
      </w:pPr>
      <w:r w:rsidRPr="00716DAF">
        <w:rPr>
          <w:szCs w:val="24"/>
          <w:lang w:val="en-IE"/>
        </w:rPr>
        <w:t>(a)</w:t>
      </w:r>
      <w:r w:rsidRPr="00716DAF">
        <w:rPr>
          <w:szCs w:val="24"/>
          <w:lang w:val="en-IE"/>
        </w:rPr>
        <w:tab/>
        <w:t>to put in place a judicial system for the enforcement of intellectual property rights distinct from that for the enforcement of law in general, nor does it affect the capacity of each Party to enforce its law in general; or</w:t>
      </w:r>
    </w:p>
    <w:p w14:paraId="762C9FDE" w14:textId="77777777" w:rsidR="00F55714" w:rsidRPr="00716DAF" w:rsidRDefault="00F55714" w:rsidP="0096639E">
      <w:pPr>
        <w:spacing w:before="240" w:after="240" w:line="240" w:lineRule="atLeast"/>
        <w:ind w:left="567" w:hanging="567"/>
        <w:rPr>
          <w:szCs w:val="24"/>
          <w:lang w:val="en-IE"/>
        </w:rPr>
      </w:pPr>
      <w:r w:rsidRPr="00716DAF">
        <w:rPr>
          <w:szCs w:val="24"/>
          <w:lang w:val="en-IE"/>
        </w:rPr>
        <w:t>(b)</w:t>
      </w:r>
      <w:r w:rsidRPr="00716DAF">
        <w:rPr>
          <w:szCs w:val="24"/>
          <w:lang w:val="en-IE"/>
        </w:rPr>
        <w:tab/>
        <w:t>with respect to the distribution of resources between the enforcement of intellectual property rights and the enforcement of law in general.</w:t>
      </w:r>
    </w:p>
    <w:p w14:paraId="39A09F84" w14:textId="4BD637FE" w:rsidR="0096639E" w:rsidRDefault="00F55714" w:rsidP="0096639E">
      <w:pPr>
        <w:pStyle w:val="liste"/>
        <w:spacing w:before="240" w:after="240" w:line="240" w:lineRule="atLeast"/>
        <w:jc w:val="left"/>
        <w:rPr>
          <w:lang w:val="en-IE"/>
        </w:rPr>
      </w:pPr>
      <w:r w:rsidRPr="00F10450">
        <w:rPr>
          <w:lang w:val="en-IE"/>
        </w:rPr>
        <w:t>5</w:t>
      </w:r>
      <w:r w:rsidRPr="00716DAF">
        <w:rPr>
          <w:lang w:val="en-IE"/>
        </w:rPr>
        <w:t>.</w:t>
      </w:r>
      <w:r w:rsidRPr="00716DAF">
        <w:rPr>
          <w:lang w:val="en-IE"/>
        </w:rPr>
        <w:tab/>
        <w:t>In implementing this Section in its intellectual property system, each Party shall take into account the need for proportionality between the seriousness of the infringement of the intellectual property right and the applicable remedies and penalties, as well as, where applicable, if provided by the law of the Party, the interests of third parties.</w:t>
      </w:r>
      <w:r w:rsidR="0096639E">
        <w:rPr>
          <w:lang w:val="en-IE"/>
        </w:rPr>
        <w:br w:type="page"/>
      </w:r>
    </w:p>
    <w:p w14:paraId="6CAFE49F" w14:textId="77777777" w:rsidR="00F55714" w:rsidRPr="00716DAF" w:rsidRDefault="00F55714" w:rsidP="0096639E">
      <w:pPr>
        <w:pStyle w:val="liste"/>
        <w:spacing w:before="240" w:after="240" w:line="240" w:lineRule="atLeast"/>
        <w:jc w:val="left"/>
        <w:rPr>
          <w:lang w:val="en-IE"/>
        </w:rPr>
      </w:pPr>
    </w:p>
    <w:p w14:paraId="72856C1E" w14:textId="123D3EB1" w:rsidR="00F55714" w:rsidRPr="00716DAF" w:rsidRDefault="00F55714" w:rsidP="0096639E">
      <w:pPr>
        <w:pStyle w:val="Heading2"/>
        <w:spacing w:before="240" w:after="240" w:line="240" w:lineRule="atLeast"/>
      </w:pPr>
      <w:bookmarkStart w:id="0" w:name="_Hlk139469821"/>
      <w:r w:rsidRPr="00716DAF">
        <w:t xml:space="preserve">ARTICLE </w:t>
      </w:r>
      <w:r w:rsidRPr="00F10450">
        <w:t>17</w:t>
      </w:r>
      <w:r w:rsidRPr="00716DAF">
        <w:t>.</w:t>
      </w:r>
      <w:r w:rsidRPr="00F10450">
        <w:t>54</w:t>
      </w:r>
      <w:r w:rsidR="005A3FC0">
        <w:t xml:space="preserve"> - </w:t>
      </w:r>
      <w:bookmarkStart w:id="1" w:name="_Hlk139536076"/>
      <w:r w:rsidR="005A3FC0" w:rsidRPr="00716DAF">
        <w:t>Persons entitled to apply for measures, procedures and remedies</w:t>
      </w:r>
      <w:bookmarkEnd w:id="1"/>
    </w:p>
    <w:p w14:paraId="198E6C69" w14:textId="77777777" w:rsidR="00F55714" w:rsidRPr="00716DAF" w:rsidRDefault="00F55714" w:rsidP="0096639E">
      <w:pPr>
        <w:spacing w:before="240" w:after="240" w:line="240" w:lineRule="atLeast"/>
        <w:rPr>
          <w:szCs w:val="24"/>
          <w:lang w:val="en-IE"/>
        </w:rPr>
      </w:pPr>
      <w:r w:rsidRPr="00716DAF">
        <w:rPr>
          <w:szCs w:val="24"/>
          <w:lang w:val="en-IE"/>
        </w:rPr>
        <w:t xml:space="preserve">Each Party shall recognise as persons entitled to seek application of the measures, procedures and remedies referred to in this Section and in Sections </w:t>
      </w:r>
      <w:r w:rsidRPr="00F10450">
        <w:rPr>
          <w:szCs w:val="24"/>
          <w:lang w:val="en-IE"/>
        </w:rPr>
        <w:t>1</w:t>
      </w:r>
      <w:r w:rsidRPr="00716DAF">
        <w:rPr>
          <w:szCs w:val="24"/>
          <w:lang w:val="en-IE"/>
        </w:rPr>
        <w:t xml:space="preserve"> to </w:t>
      </w:r>
      <w:r w:rsidRPr="00F10450">
        <w:rPr>
          <w:szCs w:val="24"/>
          <w:lang w:val="en-IE"/>
        </w:rPr>
        <w:t>4</w:t>
      </w:r>
      <w:r w:rsidRPr="00716DAF">
        <w:rPr>
          <w:szCs w:val="24"/>
          <w:lang w:val="en-IE"/>
        </w:rPr>
        <w:t xml:space="preserve"> of Part III of the TRIPS Agreement:</w:t>
      </w:r>
    </w:p>
    <w:p w14:paraId="2FF0062E" w14:textId="77777777" w:rsidR="00C8433E" w:rsidRDefault="00F55714" w:rsidP="0096639E">
      <w:pPr>
        <w:spacing w:before="240" w:after="240" w:line="240" w:lineRule="atLeast"/>
        <w:ind w:left="567" w:hanging="567"/>
        <w:rPr>
          <w:szCs w:val="24"/>
          <w:lang w:val="en-IE" w:eastAsia="ja-JP"/>
        </w:rPr>
      </w:pPr>
      <w:r w:rsidRPr="00716DAF">
        <w:rPr>
          <w:szCs w:val="24"/>
          <w:lang w:val="en-IE"/>
        </w:rPr>
        <w:t>(a)</w:t>
      </w:r>
      <w:r w:rsidRPr="00716DAF">
        <w:rPr>
          <w:szCs w:val="24"/>
          <w:lang w:val="en-IE"/>
        </w:rPr>
        <w:tab/>
      </w:r>
      <w:r w:rsidRPr="00716DAF">
        <w:rPr>
          <w:szCs w:val="24"/>
          <w:lang w:val="en-IE" w:eastAsia="ja-JP"/>
        </w:rPr>
        <w:t xml:space="preserve">the holders of intellectual property rights in accordance with the law of </w:t>
      </w:r>
      <w:r w:rsidRPr="00716DAF">
        <w:rPr>
          <w:szCs w:val="24"/>
          <w:lang w:eastAsia="en-GB"/>
        </w:rPr>
        <w:t>the Party</w:t>
      </w:r>
      <w:r w:rsidRPr="00716DAF">
        <w:rPr>
          <w:szCs w:val="24"/>
          <w:lang w:val="en-IE" w:eastAsia="ja-JP"/>
        </w:rPr>
        <w:t>;</w:t>
      </w:r>
    </w:p>
    <w:p w14:paraId="185DA300" w14:textId="147068A7" w:rsidR="00F55714" w:rsidRPr="00716DAF" w:rsidRDefault="00F55714" w:rsidP="0096639E">
      <w:pPr>
        <w:spacing w:before="240" w:after="240" w:line="240" w:lineRule="atLeast"/>
        <w:ind w:left="567" w:hanging="567"/>
        <w:rPr>
          <w:szCs w:val="24"/>
          <w:lang w:val="en-IE"/>
        </w:rPr>
      </w:pPr>
      <w:r w:rsidRPr="00716DAF">
        <w:rPr>
          <w:szCs w:val="24"/>
          <w:lang w:val="en-IE"/>
        </w:rPr>
        <w:t>(b)</w:t>
      </w:r>
      <w:r w:rsidRPr="00716DAF">
        <w:rPr>
          <w:szCs w:val="24"/>
          <w:lang w:val="en-IE"/>
        </w:rPr>
        <w:tab/>
        <w:t xml:space="preserve">persons authorised to use those rights, in particular exclusive licensees, in so far as permitted by and in accordance with the </w:t>
      </w:r>
      <w:r w:rsidRPr="00716DAF">
        <w:rPr>
          <w:szCs w:val="24"/>
          <w:lang w:val="en-IE" w:eastAsia="ja-JP"/>
        </w:rPr>
        <w:t xml:space="preserve">law of </w:t>
      </w:r>
      <w:r w:rsidRPr="00716DAF">
        <w:rPr>
          <w:szCs w:val="24"/>
          <w:lang w:eastAsia="en-GB"/>
        </w:rPr>
        <w:t>the</w:t>
      </w:r>
      <w:r w:rsidRPr="00716DAF">
        <w:rPr>
          <w:szCs w:val="24"/>
          <w:lang w:val="en-IE" w:eastAsia="ja-JP"/>
        </w:rPr>
        <w:t xml:space="preserve"> Party</w:t>
      </w:r>
      <w:r w:rsidRPr="00716DAF">
        <w:rPr>
          <w:szCs w:val="24"/>
          <w:lang w:val="en-IE"/>
        </w:rPr>
        <w:t>; and</w:t>
      </w:r>
    </w:p>
    <w:p w14:paraId="730C57F6" w14:textId="3E07E934" w:rsidR="00F55714" w:rsidRPr="00716DAF" w:rsidRDefault="00F55714" w:rsidP="0096639E">
      <w:pPr>
        <w:spacing w:before="240" w:after="240" w:line="240" w:lineRule="atLeast"/>
        <w:ind w:left="567" w:hanging="567"/>
        <w:rPr>
          <w:lang w:val="en-IE"/>
        </w:rPr>
      </w:pPr>
      <w:r w:rsidRPr="00716DAF">
        <w:rPr>
          <w:szCs w:val="24"/>
          <w:lang w:val="en-IE" w:eastAsia="en-GB"/>
        </w:rPr>
        <w:t>(c)</w:t>
      </w:r>
      <w:r w:rsidRPr="00716DAF">
        <w:rPr>
          <w:szCs w:val="24"/>
          <w:lang w:val="en-IE" w:eastAsia="en-GB"/>
        </w:rPr>
        <w:tab/>
      </w:r>
      <w:r w:rsidRPr="00716DAF">
        <w:rPr>
          <w:szCs w:val="24"/>
          <w:lang w:val="en-IE"/>
        </w:rPr>
        <w:t>federations and associations,</w:t>
      </w:r>
      <w:r w:rsidRPr="00716DAF">
        <w:rPr>
          <w:rStyle w:val="FootnoteReference"/>
          <w:szCs w:val="24"/>
          <w:lang w:val="en-IE"/>
        </w:rPr>
        <w:footnoteReference w:id="3"/>
      </w:r>
      <w:r w:rsidRPr="00716DAF">
        <w:rPr>
          <w:szCs w:val="24"/>
          <w:lang w:val="en-IE"/>
        </w:rPr>
        <w:t xml:space="preserve"> </w:t>
      </w:r>
      <w:r w:rsidRPr="00716DAF">
        <w:rPr>
          <w:szCs w:val="24"/>
          <w:lang w:eastAsia="en-GB"/>
        </w:rPr>
        <w:t xml:space="preserve">to the extent </w:t>
      </w:r>
      <w:r w:rsidRPr="00716DAF">
        <w:rPr>
          <w:szCs w:val="24"/>
          <w:lang w:val="en-IE"/>
        </w:rPr>
        <w:t xml:space="preserve">permitted by and in accordance with the </w:t>
      </w:r>
      <w:r w:rsidRPr="00716DAF">
        <w:rPr>
          <w:szCs w:val="24"/>
          <w:lang w:val="en-IE" w:eastAsia="ja-JP"/>
        </w:rPr>
        <w:t xml:space="preserve">law of </w:t>
      </w:r>
      <w:r w:rsidRPr="00716DAF">
        <w:rPr>
          <w:szCs w:val="24"/>
          <w:lang w:eastAsia="en-GB"/>
        </w:rPr>
        <w:t>the</w:t>
      </w:r>
      <w:r w:rsidRPr="00716DAF">
        <w:rPr>
          <w:szCs w:val="24"/>
          <w:lang w:val="en-IE" w:eastAsia="ja-JP"/>
        </w:rPr>
        <w:t xml:space="preserve"> Party</w:t>
      </w:r>
      <w:r w:rsidRPr="00716DAF">
        <w:rPr>
          <w:szCs w:val="24"/>
          <w:lang w:val="en-IE"/>
        </w:rPr>
        <w:t>.</w:t>
      </w:r>
      <w:bookmarkEnd w:id="0"/>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1469E" w14:textId="77777777" w:rsidR="0078468F" w:rsidRDefault="0078468F">
      <w:r>
        <w:separator/>
      </w:r>
    </w:p>
  </w:endnote>
  <w:endnote w:type="continuationSeparator" w:id="0">
    <w:p w14:paraId="6DBE7650" w14:textId="77777777" w:rsidR="0078468F" w:rsidRDefault="0078468F">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36F0" w14:textId="0685C8D3" w:rsidR="005A3FC0" w:rsidRDefault="005A3FC0">
    <w:pPr>
      <w:pStyle w:val="Footer"/>
    </w:pPr>
    <w:r>
      <w:rPr>
        <w:noProof/>
      </w:rPr>
      <mc:AlternateContent>
        <mc:Choice Requires="wps">
          <w:drawing>
            <wp:anchor distT="0" distB="0" distL="0" distR="0" simplePos="0" relativeHeight="251658241" behindDoc="0" locked="0" layoutInCell="1" allowOverlap="1" wp14:anchorId="5575F94E" wp14:editId="4A735154">
              <wp:simplePos x="635" y="635"/>
              <wp:positionH relativeFrom="page">
                <wp:align>center</wp:align>
              </wp:positionH>
              <wp:positionV relativeFrom="page">
                <wp:align>bottom</wp:align>
              </wp:positionV>
              <wp:extent cx="622300" cy="469265"/>
              <wp:effectExtent l="0" t="0" r="6350" b="0"/>
              <wp:wrapNone/>
              <wp:docPr id="45584806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DD07404" w14:textId="00FF8996" w:rsidR="005A3FC0" w:rsidRPr="005A3FC0" w:rsidRDefault="005A3FC0" w:rsidP="005A3FC0">
                          <w:pPr>
                            <w:rPr>
                              <w:rFonts w:ascii="Aptos" w:eastAsia="Aptos" w:hAnsi="Aptos" w:cs="Aptos"/>
                              <w:noProof/>
                              <w:color w:val="FF0000"/>
                              <w:szCs w:val="24"/>
                            </w:rPr>
                          </w:pPr>
                          <w:r w:rsidRPr="005A3FC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5575F94E"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3DD07404" w14:textId="00FF8996" w:rsidR="005A3FC0" w:rsidRPr="005A3FC0" w:rsidRDefault="005A3FC0" w:rsidP="005A3FC0">
                    <w:pPr>
                      <w:rPr>
                        <w:rFonts w:ascii="Aptos" w:eastAsia="Aptos" w:hAnsi="Aptos" w:cs="Aptos"/>
                        <w:noProof/>
                        <w:color w:val="FF0000"/>
                        <w:szCs w:val="24"/>
                      </w:rPr>
                    </w:pPr>
                    <w:r w:rsidRPr="005A3FC0">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7570742"/>
      <w:docPartObj>
        <w:docPartGallery w:val="Page Numbers (Bottom of Page)"/>
        <w:docPartUnique/>
      </w:docPartObj>
    </w:sdtPr>
    <w:sdtEndPr>
      <w:rPr>
        <w:noProof/>
      </w:rPr>
    </w:sdtEndPr>
    <w:sdtContent>
      <w:p w14:paraId="79BC3707" w14:textId="683A027A" w:rsidR="005A3FC0" w:rsidRDefault="005A3F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2979B2" w14:textId="7578C455" w:rsidR="005A3FC0" w:rsidRDefault="005A3F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DD297" w14:textId="7508CF45" w:rsidR="005A3FC0" w:rsidRDefault="005A3FC0">
    <w:pPr>
      <w:pStyle w:val="Footer"/>
    </w:pPr>
    <w:r>
      <w:rPr>
        <w:noProof/>
      </w:rPr>
      <mc:AlternateContent>
        <mc:Choice Requires="wps">
          <w:drawing>
            <wp:anchor distT="0" distB="0" distL="0" distR="0" simplePos="0" relativeHeight="251658243" behindDoc="0" locked="0" layoutInCell="1" allowOverlap="1" wp14:anchorId="6E0471EA" wp14:editId="539BFFE4">
              <wp:simplePos x="635" y="635"/>
              <wp:positionH relativeFrom="page">
                <wp:align>center</wp:align>
              </wp:positionH>
              <wp:positionV relativeFrom="page">
                <wp:align>bottom</wp:align>
              </wp:positionV>
              <wp:extent cx="622300" cy="469265"/>
              <wp:effectExtent l="0" t="0" r="6350" b="0"/>
              <wp:wrapNone/>
              <wp:docPr id="194385119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7D6B8B3" w14:textId="33789367" w:rsidR="005A3FC0" w:rsidRPr="005A3FC0" w:rsidRDefault="005A3FC0" w:rsidP="005A3FC0">
                          <w:pPr>
                            <w:rPr>
                              <w:rFonts w:ascii="Aptos" w:eastAsia="Aptos" w:hAnsi="Aptos" w:cs="Aptos"/>
                              <w:noProof/>
                              <w:color w:val="FF0000"/>
                              <w:szCs w:val="24"/>
                            </w:rPr>
                          </w:pPr>
                          <w:r w:rsidRPr="005A3FC0">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6E0471EA"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67D6B8B3" w14:textId="33789367" w:rsidR="005A3FC0" w:rsidRPr="005A3FC0" w:rsidRDefault="005A3FC0" w:rsidP="005A3FC0">
                    <w:pPr>
                      <w:rPr>
                        <w:rFonts w:ascii="Aptos" w:eastAsia="Aptos" w:hAnsi="Aptos" w:cs="Aptos"/>
                        <w:noProof/>
                        <w:color w:val="FF0000"/>
                        <w:szCs w:val="24"/>
                      </w:rPr>
                    </w:pPr>
                    <w:r w:rsidRPr="005A3FC0">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D8874" w14:textId="77777777" w:rsidR="0078468F" w:rsidRDefault="0078468F">
      <w:pPr>
        <w:pStyle w:val="FootnoteText"/>
      </w:pPr>
      <w:r>
        <w:separator/>
      </w:r>
    </w:p>
  </w:footnote>
  <w:footnote w:type="continuationSeparator" w:id="0">
    <w:p w14:paraId="1C1FCF3E" w14:textId="77777777" w:rsidR="0078468F" w:rsidRDefault="0078468F">
      <w:pPr>
        <w:pStyle w:val="FootnoteText"/>
      </w:pPr>
      <w:r>
        <w:separator/>
      </w:r>
    </w:p>
  </w:footnote>
  <w:footnote w:id="1">
    <w:p w14:paraId="1584EC62" w14:textId="1A9D025D" w:rsidR="00F55714" w:rsidRPr="00917379" w:rsidRDefault="00F55714" w:rsidP="00F55714">
      <w:pPr>
        <w:pStyle w:val="FootnoteText"/>
        <w:rPr>
          <w:szCs w:val="24"/>
        </w:rPr>
      </w:pPr>
      <w:r w:rsidRPr="00917379">
        <w:rPr>
          <w:rStyle w:val="FootnoteReference"/>
          <w:szCs w:val="24"/>
        </w:rPr>
        <w:footnoteRef/>
      </w:r>
      <w:r w:rsidRPr="00917379">
        <w:rPr>
          <w:rStyle w:val="FootnoteReference"/>
          <w:b w:val="0"/>
          <w:szCs w:val="24"/>
          <w:vertAlign w:val="baseline"/>
        </w:rPr>
        <w:tab/>
      </w:r>
      <w:r w:rsidRPr="00917379">
        <w:rPr>
          <w:szCs w:val="24"/>
        </w:rPr>
        <w:t xml:space="preserve">For the purposes of this Section, trade secrets covered by Article 17.49 (Civil judicial procedures and remedies </w:t>
      </w:r>
      <w:r w:rsidRPr="00917379">
        <w:rPr>
          <w:rFonts w:eastAsia="Malgun Gothic"/>
          <w:szCs w:val="24"/>
        </w:rPr>
        <w:t xml:space="preserve">as regards </w:t>
      </w:r>
      <w:r w:rsidRPr="00917379">
        <w:rPr>
          <w:szCs w:val="24"/>
        </w:rPr>
        <w:t>trade secrets) are excluded from the definition of "intellectual property rights".</w:t>
      </w:r>
    </w:p>
  </w:footnote>
  <w:footnote w:id="2">
    <w:p w14:paraId="276D369C" w14:textId="27F83565" w:rsidR="00F55714" w:rsidRPr="00917379" w:rsidRDefault="00F55714" w:rsidP="00C239C6">
      <w:pPr>
        <w:pStyle w:val="FootnoteText"/>
        <w:rPr>
          <w:szCs w:val="24"/>
          <w:lang w:val="en-AU"/>
        </w:rPr>
      </w:pPr>
      <w:r w:rsidRPr="00917379">
        <w:rPr>
          <w:rStyle w:val="FootnoteReference"/>
          <w:szCs w:val="24"/>
        </w:rPr>
        <w:footnoteRef/>
      </w:r>
      <w:r w:rsidRPr="00917379">
        <w:rPr>
          <w:bCs/>
          <w:szCs w:val="24"/>
        </w:rPr>
        <w:tab/>
      </w:r>
      <w:r w:rsidRPr="00917379">
        <w:rPr>
          <w:szCs w:val="24"/>
          <w:lang w:val="en-AU"/>
        </w:rPr>
        <w:t xml:space="preserve">Article 48(1) of the TRIPS Agreement </w:t>
      </w:r>
      <w:r w:rsidRPr="00917379">
        <w:rPr>
          <w:szCs w:val="24"/>
        </w:rPr>
        <w:t xml:space="preserve">is incorporated into and made part of this Agreement, </w:t>
      </w:r>
      <w:r w:rsidRPr="00917379">
        <w:rPr>
          <w:i/>
          <w:szCs w:val="24"/>
        </w:rPr>
        <w:t>mutatis mutandis</w:t>
      </w:r>
      <w:r w:rsidRPr="00917379">
        <w:rPr>
          <w:szCs w:val="24"/>
        </w:rPr>
        <w:t xml:space="preserve">, and </w:t>
      </w:r>
      <w:r w:rsidRPr="00917379">
        <w:rPr>
          <w:szCs w:val="24"/>
          <w:lang w:val="en-AU"/>
        </w:rPr>
        <w:t>applies to enforcement procedures covered by this Section,</w:t>
      </w:r>
      <w:r w:rsidRPr="00917379">
        <w:rPr>
          <w:i/>
          <w:iCs/>
          <w:szCs w:val="24"/>
          <w:lang w:val="en-AU"/>
        </w:rPr>
        <w:t xml:space="preserve"> mutatis mutandis</w:t>
      </w:r>
      <w:r w:rsidRPr="00917379">
        <w:rPr>
          <w:szCs w:val="24"/>
          <w:lang w:val="en-AU"/>
        </w:rPr>
        <w:t>.</w:t>
      </w:r>
    </w:p>
  </w:footnote>
  <w:footnote w:id="3">
    <w:p w14:paraId="23D4B6D5" w14:textId="78253031" w:rsidR="00F55714" w:rsidRPr="00917379" w:rsidRDefault="00F55714" w:rsidP="00C239C6">
      <w:pPr>
        <w:pStyle w:val="FootnoteText"/>
        <w:rPr>
          <w:szCs w:val="24"/>
          <w:lang w:val="en-AU"/>
        </w:rPr>
      </w:pPr>
      <w:r w:rsidRPr="00917379">
        <w:rPr>
          <w:rStyle w:val="FootnoteReference"/>
          <w:szCs w:val="24"/>
        </w:rPr>
        <w:footnoteRef/>
      </w:r>
      <w:r w:rsidRPr="00917379">
        <w:rPr>
          <w:bCs/>
          <w:szCs w:val="24"/>
        </w:rPr>
        <w:tab/>
      </w:r>
      <w:r w:rsidRPr="00917379">
        <w:rPr>
          <w:szCs w:val="24"/>
        </w:rPr>
        <w:t>The phrase "federations and associations" includes collective rights management bodies and, in the Union context, professional defence bodies which are regularly recognised as having a right to represent holders of intellectual property rights.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3A44" w14:textId="3972D4E5" w:rsidR="005A3FC0" w:rsidRDefault="005A3FC0">
    <w:pPr>
      <w:pStyle w:val="Header"/>
    </w:pPr>
    <w:r>
      <w:rPr>
        <w:noProof/>
      </w:rPr>
      <mc:AlternateContent>
        <mc:Choice Requires="wps">
          <w:drawing>
            <wp:anchor distT="0" distB="0" distL="0" distR="0" simplePos="0" relativeHeight="251658240" behindDoc="0" locked="0" layoutInCell="1" allowOverlap="1" wp14:anchorId="055E267E" wp14:editId="26CB8A6B">
              <wp:simplePos x="635" y="635"/>
              <wp:positionH relativeFrom="page">
                <wp:align>center</wp:align>
              </wp:positionH>
              <wp:positionV relativeFrom="page">
                <wp:align>top</wp:align>
              </wp:positionV>
              <wp:extent cx="622300" cy="469265"/>
              <wp:effectExtent l="0" t="0" r="6350" b="6985"/>
              <wp:wrapNone/>
              <wp:docPr id="64744410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15EAFA4" w14:textId="1885042B" w:rsidR="005A3FC0" w:rsidRPr="005A3FC0" w:rsidRDefault="005A3FC0" w:rsidP="005A3FC0">
                          <w:pPr>
                            <w:rPr>
                              <w:rFonts w:ascii="Aptos" w:eastAsia="Aptos" w:hAnsi="Aptos" w:cs="Aptos"/>
                              <w:noProof/>
                              <w:color w:val="FF0000"/>
                              <w:szCs w:val="24"/>
                            </w:rPr>
                          </w:pPr>
                          <w:r w:rsidRPr="005A3FC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055E267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315EAFA4" w14:textId="1885042B" w:rsidR="005A3FC0" w:rsidRPr="005A3FC0" w:rsidRDefault="005A3FC0" w:rsidP="005A3FC0">
                    <w:pPr>
                      <w:rPr>
                        <w:rFonts w:ascii="Aptos" w:eastAsia="Aptos" w:hAnsi="Aptos" w:cs="Aptos"/>
                        <w:noProof/>
                        <w:color w:val="FF0000"/>
                        <w:szCs w:val="24"/>
                      </w:rPr>
                    </w:pPr>
                    <w:r w:rsidRPr="005A3FC0">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3FB44" w14:textId="1755AA54" w:rsidR="005A3FC0" w:rsidRDefault="005A3FC0">
    <w:pPr>
      <w:pStyle w:val="Header"/>
    </w:pPr>
    <w:r>
      <w:rPr>
        <w:noProof/>
      </w:rPr>
      <mc:AlternateContent>
        <mc:Choice Requires="wps">
          <w:drawing>
            <wp:anchor distT="0" distB="0" distL="0" distR="0" simplePos="0" relativeHeight="251658242" behindDoc="0" locked="0" layoutInCell="1" allowOverlap="1" wp14:anchorId="4C740F70" wp14:editId="1BA84E4D">
              <wp:simplePos x="635" y="635"/>
              <wp:positionH relativeFrom="page">
                <wp:align>center</wp:align>
              </wp:positionH>
              <wp:positionV relativeFrom="page">
                <wp:align>top</wp:align>
              </wp:positionV>
              <wp:extent cx="622300" cy="469265"/>
              <wp:effectExtent l="0" t="0" r="6350" b="6985"/>
              <wp:wrapNone/>
              <wp:docPr id="17316790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FE050E3" w14:textId="3B8BFE0A" w:rsidR="005A3FC0" w:rsidRPr="005A3FC0" w:rsidRDefault="005A3FC0" w:rsidP="005A3FC0">
                          <w:pPr>
                            <w:rPr>
                              <w:rFonts w:ascii="Aptos" w:eastAsia="Aptos" w:hAnsi="Aptos" w:cs="Aptos"/>
                              <w:noProof/>
                              <w:color w:val="FF0000"/>
                              <w:szCs w:val="24"/>
                            </w:rPr>
                          </w:pPr>
                          <w:r w:rsidRPr="005A3FC0">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4C740F70"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5FE050E3" w14:textId="3B8BFE0A" w:rsidR="005A3FC0" w:rsidRPr="005A3FC0" w:rsidRDefault="005A3FC0" w:rsidP="005A3FC0">
                    <w:pPr>
                      <w:rPr>
                        <w:rFonts w:ascii="Aptos" w:eastAsia="Aptos" w:hAnsi="Aptos" w:cs="Aptos"/>
                        <w:noProof/>
                        <w:color w:val="FF0000"/>
                        <w:szCs w:val="24"/>
                      </w:rPr>
                    </w:pPr>
                    <w:r w:rsidRPr="005A3FC0">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D5691"/>
    <w:rsid w:val="000E1C75"/>
    <w:rsid w:val="000E3EAC"/>
    <w:rsid w:val="000F3F74"/>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48"/>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46C83"/>
    <w:rsid w:val="0025703C"/>
    <w:rsid w:val="00263831"/>
    <w:rsid w:val="00281441"/>
    <w:rsid w:val="00282319"/>
    <w:rsid w:val="002966C0"/>
    <w:rsid w:val="002A000E"/>
    <w:rsid w:val="002B28C5"/>
    <w:rsid w:val="002B6393"/>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56C8B"/>
    <w:rsid w:val="00462C5A"/>
    <w:rsid w:val="00462CBB"/>
    <w:rsid w:val="00463BC5"/>
    <w:rsid w:val="00465B83"/>
    <w:rsid w:val="00467433"/>
    <w:rsid w:val="00472C15"/>
    <w:rsid w:val="00483F01"/>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3FC0"/>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12ED"/>
    <w:rsid w:val="006F22F6"/>
    <w:rsid w:val="006F3E3F"/>
    <w:rsid w:val="00704CF0"/>
    <w:rsid w:val="00714845"/>
    <w:rsid w:val="007154B6"/>
    <w:rsid w:val="00716DAF"/>
    <w:rsid w:val="00751C97"/>
    <w:rsid w:val="0075359F"/>
    <w:rsid w:val="00754CB7"/>
    <w:rsid w:val="00760D3C"/>
    <w:rsid w:val="007651B0"/>
    <w:rsid w:val="007654CE"/>
    <w:rsid w:val="00765F2A"/>
    <w:rsid w:val="0076794C"/>
    <w:rsid w:val="00775244"/>
    <w:rsid w:val="0077561E"/>
    <w:rsid w:val="007838EE"/>
    <w:rsid w:val="0078468F"/>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4E7D"/>
    <w:rsid w:val="00907A87"/>
    <w:rsid w:val="009115AC"/>
    <w:rsid w:val="009135EF"/>
    <w:rsid w:val="009161F6"/>
    <w:rsid w:val="00917379"/>
    <w:rsid w:val="00923FBF"/>
    <w:rsid w:val="00924474"/>
    <w:rsid w:val="00925BB6"/>
    <w:rsid w:val="0092756E"/>
    <w:rsid w:val="00950B14"/>
    <w:rsid w:val="0096639E"/>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2DB9"/>
    <w:rsid w:val="00A75C6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1E5"/>
    <w:rsid w:val="00DC6BA2"/>
    <w:rsid w:val="00DD54E0"/>
    <w:rsid w:val="00DD62F6"/>
    <w:rsid w:val="00DD6B63"/>
    <w:rsid w:val="00DE1D55"/>
    <w:rsid w:val="00DE3C67"/>
    <w:rsid w:val="00DE42A7"/>
    <w:rsid w:val="00DE6194"/>
    <w:rsid w:val="00DF285E"/>
    <w:rsid w:val="00DF2DF3"/>
    <w:rsid w:val="00E03B1C"/>
    <w:rsid w:val="00E0581F"/>
    <w:rsid w:val="00E23384"/>
    <w:rsid w:val="00E40BDE"/>
    <w:rsid w:val="00E4220A"/>
    <w:rsid w:val="00E45490"/>
    <w:rsid w:val="00E45613"/>
    <w:rsid w:val="00E5377A"/>
    <w:rsid w:val="00E5556D"/>
    <w:rsid w:val="00E56089"/>
    <w:rsid w:val="00E67276"/>
    <w:rsid w:val="00E800A4"/>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5A3FC0"/>
    <w:pPr>
      <w:jc w:val="center"/>
      <w:outlineLvl w:val="0"/>
    </w:pPr>
    <w:rPr>
      <w:szCs w:val="24"/>
      <w:lang w:val="en-IE" w:eastAsia="ja-JP"/>
    </w:rPr>
  </w:style>
  <w:style w:type="paragraph" w:styleId="Heading2">
    <w:name w:val="heading 2"/>
    <w:basedOn w:val="Normal"/>
    <w:next w:val="Normal"/>
    <w:link w:val="Heading2Char"/>
    <w:uiPriority w:val="9"/>
    <w:qFormat/>
    <w:rsid w:val="005A3FC0"/>
    <w:pPr>
      <w:jc w:val="center"/>
      <w:outlineLvl w:val="1"/>
    </w:pPr>
    <w:rPr>
      <w:szCs w:val="24"/>
      <w:lang w:val="en-IE" w:eastAsia="ja-JP"/>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5A3FC0"/>
    <w:rPr>
      <w:sz w:val="24"/>
      <w:szCs w:val="24"/>
      <w:lang w:val="en-IE" w:eastAsia="ja-JP"/>
    </w:rPr>
  </w:style>
  <w:style w:type="character" w:customStyle="1" w:styleId="Heading2Char">
    <w:name w:val="Heading 2 Char"/>
    <w:basedOn w:val="DefaultParagraphFont"/>
    <w:link w:val="Heading2"/>
    <w:uiPriority w:val="9"/>
    <w:rsid w:val="005A3FC0"/>
    <w:rPr>
      <w:sz w:val="24"/>
      <w:szCs w:val="24"/>
      <w:lang w:val="en-IE" w:eastAsia="ja-JP"/>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F4058-36B7-4333-93ED-EC6C667BCC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512021-2A58-40AA-8E32-9B4D42E0B017}">
  <ds:schemaRefs>
    <ds:schemaRef ds:uri="http://schemas.microsoft.com/sharepoint/v3/contenttype/forms"/>
  </ds:schemaRefs>
</ds:datastoreItem>
</file>

<file path=customXml/itemProps3.xml><?xml version="1.0" encoding="utf-8"?>
<ds:datastoreItem xmlns:ds="http://schemas.openxmlformats.org/officeDocument/2006/customXml" ds:itemID="{BB54AC13-567A-4700-806D-26DBAC0CF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409</Words>
  <Characters>2192</Characters>
  <Application>Microsoft Office Word</Application>
  <DocSecurity>0</DocSecurity>
  <Lines>34</Lines>
  <Paragraphs>16</Paragraphs>
  <ScaleCrop>false</ScaleCrop>
  <HeadingPairs>
    <vt:vector size="2" baseType="variant">
      <vt:variant>
        <vt:lpstr>Title</vt:lpstr>
      </vt:variant>
      <vt:variant>
        <vt:i4>1</vt:i4>
      </vt:variant>
    </vt:vector>
  </HeadingPairs>
  <TitlesOfParts>
    <vt:vector size="1" baseType="lpstr">
      <vt:lpstr>A-EU FTA: Chapter 17 - Section B - Enforcement of Individual Property Rights</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17 - Section B - Enforcement of Intellectual Property Rights</dc:title>
  <dc:subject/>
  <dc:creator/>
  <cp:keywords/>
  <cp:lastModifiedBy/>
  <cp:revision>1</cp:revision>
  <dcterms:created xsi:type="dcterms:W3CDTF">2026-10-06T20:28:00Z</dcterms:created>
  <dcterms:modified xsi:type="dcterms:W3CDTF">2026-10-08T02:15:00Z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