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FC8CC" w14:textId="743E8490" w:rsidR="00F55714" w:rsidRPr="00716DAF" w:rsidRDefault="00F55714" w:rsidP="00F3337C">
      <w:pPr>
        <w:pStyle w:val="Heading1"/>
        <w:spacing w:before="240" w:after="240" w:line="240" w:lineRule="atLeast"/>
      </w:pPr>
      <w:r w:rsidRPr="00716DAF">
        <w:t xml:space="preserve">CHAPTER </w:t>
      </w:r>
      <w:r w:rsidRPr="00F10450">
        <w:t>14</w:t>
      </w:r>
      <w:r w:rsidR="00D84101">
        <w:t xml:space="preserve"> - </w:t>
      </w:r>
      <w:r w:rsidRPr="00716DAF">
        <w:t>ANTI-COMPETITIVE CONDUCT AND MERGER CONTROL</w:t>
      </w:r>
    </w:p>
    <w:p w14:paraId="4147E4F6" w14:textId="18178812" w:rsidR="00F55714" w:rsidRPr="00716DAF" w:rsidRDefault="00F55714" w:rsidP="00F3337C">
      <w:pPr>
        <w:pStyle w:val="Heading2"/>
        <w:spacing w:before="240" w:after="240" w:line="240" w:lineRule="atLeast"/>
      </w:pPr>
      <w:r w:rsidRPr="00716DAF">
        <w:t xml:space="preserve">ARTICLE </w:t>
      </w:r>
      <w:r w:rsidRPr="00F10450">
        <w:t>14</w:t>
      </w:r>
      <w:r w:rsidRPr="00716DAF">
        <w:t>.</w:t>
      </w:r>
      <w:r w:rsidRPr="00F10450">
        <w:t>1</w:t>
      </w:r>
      <w:r w:rsidR="00D84101">
        <w:t xml:space="preserve"> - </w:t>
      </w:r>
      <w:r w:rsidRPr="00716DAF">
        <w:t>Principles</w:t>
      </w:r>
    </w:p>
    <w:p w14:paraId="75438F90" w14:textId="77777777" w:rsidR="00C8433E" w:rsidRDefault="00F55714" w:rsidP="00F3337C">
      <w:pPr>
        <w:spacing w:before="240" w:after="240" w:line="240" w:lineRule="atLeast"/>
        <w:rPr>
          <w:szCs w:val="24"/>
        </w:rPr>
      </w:pPr>
      <w:r w:rsidRPr="00716DAF">
        <w:rPr>
          <w:szCs w:val="24"/>
        </w:rPr>
        <w:t>The Parties recognise the importance of promoting free and undistorted competition and economic efficiency in markets. The Parties acknowledge that anti-competitive business practices have the potential to distort the proper functioning of markets and can undermine the benefits of trade and investment.</w:t>
      </w:r>
    </w:p>
    <w:p w14:paraId="78A0C589" w14:textId="52865261" w:rsidR="00F55714" w:rsidRPr="00716DAF" w:rsidRDefault="00F55714" w:rsidP="00F3337C">
      <w:pPr>
        <w:pStyle w:val="Heading2"/>
        <w:spacing w:before="240" w:after="240" w:line="240" w:lineRule="atLeast"/>
      </w:pPr>
      <w:r w:rsidRPr="00716DAF">
        <w:t xml:space="preserve">ARTICLE </w:t>
      </w:r>
      <w:r w:rsidRPr="00F10450">
        <w:t>14</w:t>
      </w:r>
      <w:r w:rsidRPr="00716DAF">
        <w:t>.</w:t>
      </w:r>
      <w:r w:rsidRPr="00F10450">
        <w:t>2</w:t>
      </w:r>
      <w:r w:rsidR="00D84101">
        <w:t xml:space="preserve"> - </w:t>
      </w:r>
      <w:r w:rsidRPr="00716DAF">
        <w:t>Definitions</w:t>
      </w:r>
    </w:p>
    <w:p w14:paraId="396C858D" w14:textId="77777777" w:rsidR="00C8433E" w:rsidRDefault="00F55714" w:rsidP="00F3337C">
      <w:pPr>
        <w:spacing w:before="240" w:after="240" w:line="240" w:lineRule="atLeast"/>
        <w:rPr>
          <w:szCs w:val="24"/>
        </w:rPr>
      </w:pPr>
      <w:bookmarkStart w:id="0" w:name="_Hlk126574120"/>
      <w:r w:rsidRPr="00716DAF">
        <w:rPr>
          <w:szCs w:val="24"/>
        </w:rPr>
        <w:t>For the purposes of this Chapter, the following definitions apply:</w:t>
      </w:r>
    </w:p>
    <w:p w14:paraId="636D7008" w14:textId="77777777" w:rsidR="00F55714" w:rsidRPr="00716DAF" w:rsidRDefault="00F55714" w:rsidP="00F3337C">
      <w:pPr>
        <w:spacing w:before="240" w:after="240" w:line="240" w:lineRule="atLeast"/>
        <w:ind w:left="567" w:hanging="567"/>
        <w:rPr>
          <w:szCs w:val="24"/>
        </w:rPr>
      </w:pPr>
      <w:r w:rsidRPr="00716DAF">
        <w:rPr>
          <w:szCs w:val="24"/>
        </w:rPr>
        <w:t>(a)</w:t>
      </w:r>
      <w:r w:rsidRPr="00716DAF">
        <w:rPr>
          <w:szCs w:val="24"/>
        </w:rPr>
        <w:tab/>
        <w:t>"anti-competitive practices" means business conduct or transactions that adversely affect competition, such as:</w:t>
      </w:r>
    </w:p>
    <w:p w14:paraId="6DECD790" w14:textId="77777777" w:rsidR="00C8433E" w:rsidRDefault="00F55714" w:rsidP="00F3337C">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 xml:space="preserve">anti-competitive horizontal arrangements and concerted practices between </w:t>
      </w:r>
      <w:r w:rsidRPr="00716DAF">
        <w:rPr>
          <w:szCs w:val="24"/>
          <w:lang w:eastAsia="en-GB"/>
        </w:rPr>
        <w:t>economic entities</w:t>
      </w:r>
      <w:r w:rsidRPr="00716DAF">
        <w:rPr>
          <w:szCs w:val="24"/>
        </w:rPr>
        <w:t>;</w:t>
      </w:r>
    </w:p>
    <w:p w14:paraId="7B489AC6" w14:textId="3D4EF6D5" w:rsidR="00F55714" w:rsidRPr="00716DAF" w:rsidRDefault="00F55714" w:rsidP="00F3337C">
      <w:pPr>
        <w:spacing w:before="240" w:after="240" w:line="240" w:lineRule="atLeast"/>
        <w:ind w:left="1134" w:hanging="567"/>
        <w:rPr>
          <w:szCs w:val="24"/>
        </w:rPr>
      </w:pPr>
      <w:r w:rsidRPr="00716DAF">
        <w:rPr>
          <w:szCs w:val="24"/>
        </w:rPr>
        <w:t>(ii)</w:t>
      </w:r>
      <w:r w:rsidRPr="00716DAF">
        <w:rPr>
          <w:szCs w:val="24"/>
        </w:rPr>
        <w:tab/>
        <w:t xml:space="preserve">misuse of market power and abuse of </w:t>
      </w:r>
      <w:r w:rsidRPr="00716DAF">
        <w:rPr>
          <w:szCs w:val="24"/>
          <w:lang w:eastAsia="en-GB"/>
        </w:rPr>
        <w:t>a dominant position</w:t>
      </w:r>
      <w:r w:rsidRPr="00716DAF">
        <w:rPr>
          <w:szCs w:val="24"/>
        </w:rPr>
        <w:t>;</w:t>
      </w:r>
    </w:p>
    <w:p w14:paraId="2B1BCF7E" w14:textId="77777777" w:rsidR="00C8433E" w:rsidRDefault="00F55714" w:rsidP="00F3337C">
      <w:pPr>
        <w:spacing w:before="240" w:after="240" w:line="240" w:lineRule="atLeast"/>
        <w:ind w:left="1134" w:hanging="567"/>
        <w:rPr>
          <w:szCs w:val="24"/>
        </w:rPr>
      </w:pPr>
      <w:r w:rsidRPr="00716DAF">
        <w:rPr>
          <w:szCs w:val="24"/>
        </w:rPr>
        <w:t>(iii)</w:t>
      </w:r>
      <w:r w:rsidRPr="00716DAF">
        <w:rPr>
          <w:szCs w:val="24"/>
        </w:rPr>
        <w:tab/>
        <w:t>anti-competitive vertical arrangements and concerted practices between economic entities; and</w:t>
      </w:r>
    </w:p>
    <w:p w14:paraId="31B18649" w14:textId="77777777" w:rsidR="00F55714" w:rsidRPr="00716DAF" w:rsidRDefault="00F55714" w:rsidP="00F3337C">
      <w:pPr>
        <w:spacing w:before="240" w:after="240" w:line="240" w:lineRule="atLeast"/>
        <w:ind w:left="1134" w:hanging="567"/>
        <w:rPr>
          <w:szCs w:val="24"/>
        </w:rPr>
      </w:pPr>
      <w:r w:rsidRPr="00716DAF">
        <w:rPr>
          <w:szCs w:val="24"/>
        </w:rPr>
        <w:t>(iv)</w:t>
      </w:r>
      <w:r w:rsidRPr="00716DAF">
        <w:rPr>
          <w:szCs w:val="24"/>
        </w:rPr>
        <w:tab/>
        <w:t>anti-competitive concentrations;</w:t>
      </w:r>
    </w:p>
    <w:p w14:paraId="095E8F59" w14:textId="77777777" w:rsidR="00F55714" w:rsidRPr="00716DAF" w:rsidRDefault="00F55714" w:rsidP="00F3337C">
      <w:pPr>
        <w:spacing w:before="240" w:after="240" w:line="240" w:lineRule="atLeast"/>
        <w:ind w:left="567" w:hanging="567"/>
        <w:rPr>
          <w:szCs w:val="24"/>
        </w:rPr>
      </w:pPr>
      <w:r w:rsidRPr="00716DAF">
        <w:rPr>
          <w:szCs w:val="24"/>
        </w:rPr>
        <w:t>(b)</w:t>
      </w:r>
      <w:r w:rsidRPr="00716DAF">
        <w:rPr>
          <w:szCs w:val="24"/>
        </w:rPr>
        <w:tab/>
        <w:t>"competition authority" means:</w:t>
      </w:r>
    </w:p>
    <w:p w14:paraId="7AD408B3" w14:textId="77777777" w:rsidR="00C8433E" w:rsidRDefault="00F55714" w:rsidP="00F3337C">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for Australia, the Australian Competition and Consumer Commission, or its successor; and</w:t>
      </w:r>
    </w:p>
    <w:p w14:paraId="6AF9B5AB" w14:textId="77777777" w:rsidR="00F55714" w:rsidRPr="00716DAF" w:rsidRDefault="00F55714" w:rsidP="00F3337C">
      <w:pPr>
        <w:spacing w:before="240" w:after="240" w:line="240" w:lineRule="atLeast"/>
        <w:ind w:left="1134" w:hanging="567"/>
        <w:rPr>
          <w:szCs w:val="24"/>
        </w:rPr>
      </w:pPr>
      <w:r w:rsidRPr="00716DAF">
        <w:rPr>
          <w:szCs w:val="24"/>
        </w:rPr>
        <w:t>(ii)</w:t>
      </w:r>
      <w:r w:rsidRPr="00716DAF">
        <w:rPr>
          <w:szCs w:val="24"/>
        </w:rPr>
        <w:tab/>
        <w:t>for the Union, the European Commission</w:t>
      </w:r>
      <w:r w:rsidRPr="00716DAF">
        <w:rPr>
          <w:szCs w:val="24"/>
          <w:lang w:eastAsia="en-GB"/>
        </w:rPr>
        <w:t>;</w:t>
      </w:r>
    </w:p>
    <w:p w14:paraId="51D793E9" w14:textId="77777777" w:rsidR="00C8433E" w:rsidRDefault="00F55714" w:rsidP="00F3337C">
      <w:pPr>
        <w:spacing w:before="240" w:after="240" w:line="240" w:lineRule="atLeast"/>
        <w:ind w:left="567" w:hanging="567"/>
        <w:rPr>
          <w:szCs w:val="24"/>
        </w:rPr>
      </w:pPr>
      <w:r w:rsidRPr="00716DAF">
        <w:rPr>
          <w:szCs w:val="24"/>
        </w:rPr>
        <w:t>(c)</w:t>
      </w:r>
      <w:r w:rsidRPr="00716DAF">
        <w:rPr>
          <w:szCs w:val="24"/>
        </w:rPr>
        <w:tab/>
        <w:t>"competition law" means any law which addresses and proscribes anti-competitive practices:</w:t>
      </w:r>
    </w:p>
    <w:p w14:paraId="2B12D5B5" w14:textId="01B2D193" w:rsidR="00F55714" w:rsidRPr="00716DAF" w:rsidRDefault="00F55714" w:rsidP="00F3337C">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for Australia, at the central level of government; and</w:t>
      </w:r>
    </w:p>
    <w:p w14:paraId="08425214" w14:textId="441E95D2" w:rsidR="00F55714" w:rsidRPr="00716DAF" w:rsidRDefault="00F55714" w:rsidP="00F3337C">
      <w:pPr>
        <w:spacing w:before="240" w:after="240" w:line="240" w:lineRule="atLeast"/>
        <w:ind w:left="1134" w:hanging="567"/>
        <w:rPr>
          <w:szCs w:val="24"/>
        </w:rPr>
      </w:pPr>
      <w:r w:rsidRPr="00716DAF">
        <w:rPr>
          <w:szCs w:val="24"/>
        </w:rPr>
        <w:t>(ii)</w:t>
      </w:r>
      <w:r w:rsidRPr="00716DAF">
        <w:rPr>
          <w:szCs w:val="24"/>
        </w:rPr>
        <w:tab/>
        <w:t>for the Union, at the Union level</w:t>
      </w:r>
      <w:r w:rsidRPr="00716DAF">
        <w:rPr>
          <w:szCs w:val="24"/>
          <w:lang w:eastAsia="en-GB"/>
        </w:rPr>
        <w:t>;</w:t>
      </w:r>
    </w:p>
    <w:p w14:paraId="29D6A029" w14:textId="77777777" w:rsidR="00C8433E" w:rsidRDefault="00F55714" w:rsidP="00F3337C">
      <w:pPr>
        <w:spacing w:before="240" w:after="240" w:line="240" w:lineRule="atLeast"/>
        <w:ind w:left="567" w:hanging="567"/>
        <w:rPr>
          <w:szCs w:val="24"/>
        </w:rPr>
      </w:pPr>
      <w:bookmarkStart w:id="1" w:name="_Hlk141265340"/>
      <w:r w:rsidRPr="00716DAF">
        <w:rPr>
          <w:szCs w:val="24"/>
        </w:rPr>
        <w:t>(</w:t>
      </w:r>
      <w:bookmarkEnd w:id="1"/>
      <w:r w:rsidRPr="00716DAF">
        <w:rPr>
          <w:szCs w:val="24"/>
        </w:rPr>
        <w:t>d)</w:t>
      </w:r>
      <w:r w:rsidRPr="00716DAF">
        <w:rPr>
          <w:szCs w:val="24"/>
        </w:rPr>
        <w:tab/>
        <w:t>"economic entities" means entities, whether private or public, that are:</w:t>
      </w:r>
    </w:p>
    <w:p w14:paraId="13DA22F2" w14:textId="77777777" w:rsidR="00F55714" w:rsidRPr="00716DAF" w:rsidRDefault="00F55714" w:rsidP="00F3337C">
      <w:pPr>
        <w:spacing w:before="240" w:after="240" w:line="240" w:lineRule="atLeast"/>
        <w:ind w:left="1134" w:hanging="567"/>
        <w:rPr>
          <w:szCs w:val="24"/>
        </w:rPr>
      </w:pPr>
      <w:r w:rsidRPr="00716DAF">
        <w:rPr>
          <w:szCs w:val="24"/>
        </w:rPr>
        <w:lastRenderedPageBreak/>
        <w:t>(</w:t>
      </w:r>
      <w:proofErr w:type="spellStart"/>
      <w:r w:rsidRPr="00716DAF">
        <w:rPr>
          <w:szCs w:val="24"/>
        </w:rPr>
        <w:t>i</w:t>
      </w:r>
      <w:proofErr w:type="spellEnd"/>
      <w:r w:rsidRPr="00716DAF">
        <w:rPr>
          <w:szCs w:val="24"/>
        </w:rPr>
        <w:t>)</w:t>
      </w:r>
      <w:r w:rsidRPr="00716DAF">
        <w:rPr>
          <w:szCs w:val="24"/>
        </w:rPr>
        <w:tab/>
        <w:t>for Australia, engaged in trade or commerce; and</w:t>
      </w:r>
    </w:p>
    <w:p w14:paraId="418C2861" w14:textId="1AED4DFA" w:rsidR="00F55714" w:rsidRPr="00716DAF" w:rsidRDefault="00F55714" w:rsidP="00F3337C">
      <w:pPr>
        <w:spacing w:before="240" w:after="240" w:line="240" w:lineRule="atLeast"/>
        <w:ind w:left="1134" w:hanging="567"/>
        <w:rPr>
          <w:szCs w:val="24"/>
        </w:rPr>
      </w:pPr>
      <w:r w:rsidRPr="00716DAF">
        <w:rPr>
          <w:szCs w:val="24"/>
        </w:rPr>
        <w:t>(ii)</w:t>
      </w:r>
      <w:r w:rsidRPr="00716DAF">
        <w:rPr>
          <w:szCs w:val="24"/>
        </w:rPr>
        <w:tab/>
        <w:t>for the Union, undertakings engaged in economic activities.</w:t>
      </w:r>
    </w:p>
    <w:p w14:paraId="009F5168" w14:textId="746860B3" w:rsidR="00F55714" w:rsidRPr="00716DAF" w:rsidRDefault="00F55714" w:rsidP="00F3337C">
      <w:pPr>
        <w:pStyle w:val="Heading2"/>
        <w:spacing w:before="240" w:after="240" w:line="240" w:lineRule="atLeast"/>
      </w:pPr>
      <w:r w:rsidRPr="00716DAF">
        <w:t xml:space="preserve">ARTICLE </w:t>
      </w:r>
      <w:r w:rsidRPr="00F10450">
        <w:t>14</w:t>
      </w:r>
      <w:r w:rsidRPr="00716DAF">
        <w:t>.</w:t>
      </w:r>
      <w:r w:rsidRPr="00F10450">
        <w:t>3</w:t>
      </w:r>
      <w:r w:rsidR="00D84101">
        <w:t xml:space="preserve"> - </w:t>
      </w:r>
      <w:r w:rsidRPr="00716DAF">
        <w:t>Legislative framework</w:t>
      </w:r>
    </w:p>
    <w:p w14:paraId="32D76AFC" w14:textId="77777777" w:rsidR="00F55714" w:rsidRPr="00716DAF" w:rsidRDefault="00F55714" w:rsidP="00F3337C">
      <w:pPr>
        <w:spacing w:before="240" w:after="240" w:line="240" w:lineRule="atLeast"/>
        <w:rPr>
          <w:szCs w:val="24"/>
        </w:rPr>
      </w:pPr>
      <w:r w:rsidRPr="00F10450">
        <w:rPr>
          <w:szCs w:val="24"/>
        </w:rPr>
        <w:t>1</w:t>
      </w:r>
      <w:r w:rsidRPr="00716DAF">
        <w:rPr>
          <w:szCs w:val="24"/>
        </w:rPr>
        <w:t>.</w:t>
      </w:r>
      <w:r w:rsidRPr="00716DAF">
        <w:rPr>
          <w:szCs w:val="24"/>
        </w:rPr>
        <w:tab/>
        <w:t>Each Party shall adopt or maintain competition law that applies in all sectors of the economy and to all economic entities.</w:t>
      </w:r>
      <w:r w:rsidRPr="00716DAF">
        <w:rPr>
          <w:rStyle w:val="FootnoteReference"/>
          <w:szCs w:val="24"/>
        </w:rPr>
        <w:footnoteReference w:id="1"/>
      </w:r>
    </w:p>
    <w:p w14:paraId="0ABAE46F" w14:textId="77777777" w:rsidR="00F55714" w:rsidRPr="00716DAF" w:rsidRDefault="00F55714" w:rsidP="00F3337C">
      <w:pPr>
        <w:spacing w:before="240" w:after="240" w:line="240" w:lineRule="atLeast"/>
        <w:rPr>
          <w:szCs w:val="24"/>
        </w:rPr>
      </w:pPr>
      <w:r w:rsidRPr="00F10450">
        <w:rPr>
          <w:szCs w:val="24"/>
        </w:rPr>
        <w:t>2</w:t>
      </w:r>
      <w:r w:rsidRPr="00716DAF">
        <w:rPr>
          <w:szCs w:val="24"/>
        </w:rPr>
        <w:t>.</w:t>
      </w:r>
      <w:r w:rsidRPr="00716DAF">
        <w:rPr>
          <w:szCs w:val="24"/>
        </w:rPr>
        <w:tab/>
        <w:t xml:space="preserve">Notwithstanding paragraph </w:t>
      </w:r>
      <w:r w:rsidRPr="00F10450">
        <w:rPr>
          <w:szCs w:val="24"/>
        </w:rPr>
        <w:t>1</w:t>
      </w:r>
      <w:r w:rsidRPr="00716DAF">
        <w:rPr>
          <w:szCs w:val="24"/>
        </w:rPr>
        <w:t>, a Party may provide for exemptions and exceptions in or pursuant to its competition law. Such exemptions and exceptions shall be transparent and necessary on grounds of clearly established public policy or public interest objectives, as determined by that Party.</w:t>
      </w:r>
    </w:p>
    <w:p w14:paraId="55599054" w14:textId="4EDC33C7" w:rsidR="00F55714" w:rsidRPr="00716DAF" w:rsidRDefault="00F55714" w:rsidP="00F3337C">
      <w:pPr>
        <w:pStyle w:val="Heading2"/>
        <w:spacing w:before="240" w:after="240" w:line="240" w:lineRule="atLeast"/>
      </w:pPr>
      <w:r w:rsidRPr="00716DAF">
        <w:t xml:space="preserve">ARTICLE </w:t>
      </w:r>
      <w:r w:rsidRPr="00F10450">
        <w:t>14</w:t>
      </w:r>
      <w:r w:rsidRPr="00716DAF">
        <w:t>.</w:t>
      </w:r>
      <w:r w:rsidRPr="00F10450">
        <w:t>4</w:t>
      </w:r>
      <w:r w:rsidR="00D84101">
        <w:t xml:space="preserve"> - </w:t>
      </w:r>
      <w:r w:rsidRPr="00716DAF">
        <w:t>Implementation</w:t>
      </w:r>
    </w:p>
    <w:p w14:paraId="4BA2FFDA" w14:textId="37A3CD30" w:rsidR="00F55714" w:rsidRPr="00716DAF" w:rsidRDefault="00F55714" w:rsidP="00F3337C">
      <w:pPr>
        <w:spacing w:before="240" w:after="240" w:line="240" w:lineRule="atLeast"/>
        <w:rPr>
          <w:szCs w:val="24"/>
        </w:rPr>
      </w:pPr>
      <w:r w:rsidRPr="00F10450">
        <w:rPr>
          <w:szCs w:val="24"/>
        </w:rPr>
        <w:t>1</w:t>
      </w:r>
      <w:r w:rsidRPr="00716DAF">
        <w:rPr>
          <w:szCs w:val="24"/>
        </w:rPr>
        <w:t>.</w:t>
      </w:r>
      <w:r w:rsidRPr="00716DAF">
        <w:rPr>
          <w:szCs w:val="24"/>
        </w:rPr>
        <w:tab/>
        <w:t>Each Party shall establish or maintain an operationally independent competition authority, with the appropriate powers, financial and human resources to effectively enforce its competition law.</w:t>
      </w:r>
    </w:p>
    <w:p w14:paraId="37E023F1" w14:textId="22037A50" w:rsidR="00F55714" w:rsidRPr="00716DAF" w:rsidRDefault="00F55714" w:rsidP="00F3337C">
      <w:pPr>
        <w:spacing w:before="240" w:after="240" w:line="240" w:lineRule="atLeast"/>
        <w:rPr>
          <w:szCs w:val="24"/>
        </w:rPr>
      </w:pPr>
      <w:r w:rsidRPr="00F10450">
        <w:rPr>
          <w:szCs w:val="24"/>
        </w:rPr>
        <w:t>2</w:t>
      </w:r>
      <w:r w:rsidRPr="00716DAF">
        <w:rPr>
          <w:szCs w:val="24"/>
        </w:rPr>
        <w:t>.</w:t>
      </w:r>
      <w:r w:rsidRPr="00716DAF">
        <w:rPr>
          <w:szCs w:val="24"/>
        </w:rPr>
        <w:tab/>
        <w:t>Each Party shall apply its competition law in a transparent manner, respecting the principles of procedural fairness, including by providing reasonable opportunities for the economic entities concerned to exercise their right of defence, in particular the right to be heard, and seek review or appeal by a judicial body.</w:t>
      </w:r>
    </w:p>
    <w:p w14:paraId="5F80530A" w14:textId="2AB0A7F0" w:rsidR="00F55714" w:rsidRPr="00716DAF" w:rsidRDefault="00F55714" w:rsidP="00F3337C">
      <w:pPr>
        <w:pStyle w:val="Heading2"/>
        <w:spacing w:before="240" w:after="240" w:line="240" w:lineRule="atLeast"/>
      </w:pPr>
      <w:r w:rsidRPr="00716DAF">
        <w:t xml:space="preserve">ARTICLE </w:t>
      </w:r>
      <w:r w:rsidRPr="00F10450">
        <w:t>14</w:t>
      </w:r>
      <w:r w:rsidRPr="00716DAF">
        <w:t>.</w:t>
      </w:r>
      <w:r w:rsidRPr="00F10450">
        <w:t>5</w:t>
      </w:r>
      <w:r w:rsidR="00D84101">
        <w:t xml:space="preserve"> - </w:t>
      </w:r>
      <w:r w:rsidRPr="00716DAF">
        <w:t>Cooperation</w:t>
      </w:r>
    </w:p>
    <w:p w14:paraId="3A22AAA2" w14:textId="77777777" w:rsidR="00F55714" w:rsidRPr="00716DAF" w:rsidRDefault="00F55714" w:rsidP="00F3337C">
      <w:pPr>
        <w:spacing w:before="240" w:after="240" w:line="240" w:lineRule="atLeast"/>
        <w:rPr>
          <w:szCs w:val="24"/>
        </w:rPr>
      </w:pPr>
      <w:r w:rsidRPr="00F10450">
        <w:rPr>
          <w:szCs w:val="24"/>
        </w:rPr>
        <w:t>1</w:t>
      </w:r>
      <w:r w:rsidRPr="00716DAF">
        <w:rPr>
          <w:szCs w:val="24"/>
        </w:rPr>
        <w:t>.</w:t>
      </w:r>
      <w:r w:rsidRPr="00716DAF">
        <w:rPr>
          <w:szCs w:val="24"/>
        </w:rPr>
        <w:tab/>
        <w:t xml:space="preserve">The Parties recognise the importance of cooperation between their respective competition authorities </w:t>
      </w:r>
      <w:proofErr w:type="gramStart"/>
      <w:r w:rsidRPr="00716DAF">
        <w:rPr>
          <w:szCs w:val="24"/>
        </w:rPr>
        <w:t>with regard to</w:t>
      </w:r>
      <w:proofErr w:type="gramEnd"/>
      <w:r w:rsidRPr="00716DAF">
        <w:rPr>
          <w:szCs w:val="24"/>
        </w:rPr>
        <w:t xml:space="preserve"> competition policy and enforcement of competition law.</w:t>
      </w:r>
    </w:p>
    <w:p w14:paraId="6CC66DBD" w14:textId="77777777" w:rsidR="00C8433E" w:rsidRDefault="00F55714" w:rsidP="00F3337C">
      <w:pPr>
        <w:spacing w:before="240" w:after="240" w:line="240" w:lineRule="atLeast"/>
        <w:rPr>
          <w:szCs w:val="24"/>
        </w:rPr>
      </w:pPr>
      <w:r w:rsidRPr="00F10450">
        <w:rPr>
          <w:szCs w:val="24"/>
        </w:rPr>
        <w:t>2</w:t>
      </w:r>
      <w:r w:rsidRPr="00716DAF">
        <w:rPr>
          <w:szCs w:val="24"/>
        </w:rPr>
        <w:t>.</w:t>
      </w:r>
      <w:r w:rsidRPr="00716DAF">
        <w:rPr>
          <w:szCs w:val="24"/>
        </w:rPr>
        <w:tab/>
        <w:t>To facilitate such cooperation, the competition authorities of the Parties may exchange information, to the extent permitted by each Party's laws and regulations, including those related to confidentiality.</w:t>
      </w:r>
    </w:p>
    <w:p w14:paraId="59309A5D" w14:textId="77777777" w:rsidR="00F55714" w:rsidRPr="00716DAF" w:rsidRDefault="00F55714" w:rsidP="00F3337C">
      <w:pPr>
        <w:spacing w:before="240" w:after="240" w:line="240" w:lineRule="atLeast"/>
        <w:rPr>
          <w:szCs w:val="24"/>
        </w:rPr>
      </w:pPr>
      <w:r w:rsidRPr="00F10450">
        <w:rPr>
          <w:szCs w:val="24"/>
        </w:rPr>
        <w:t>3</w:t>
      </w:r>
      <w:r w:rsidRPr="00716DAF">
        <w:rPr>
          <w:szCs w:val="24"/>
        </w:rPr>
        <w:t>.</w:t>
      </w:r>
      <w:r w:rsidRPr="00716DAF">
        <w:rPr>
          <w:szCs w:val="24"/>
        </w:rPr>
        <w:tab/>
        <w:t>The Parties shall ensure that their competition authorities endeavour to coordinate, if possible and appropriate, their enforcement activities under their respective competition laws relating to the same or related conduct or transactions.</w:t>
      </w:r>
    </w:p>
    <w:p w14:paraId="405F2EF5" w14:textId="34D24DA1" w:rsidR="00F55714" w:rsidRPr="00716DAF" w:rsidRDefault="00F55714" w:rsidP="00F3337C">
      <w:pPr>
        <w:spacing w:before="240" w:after="240" w:line="240" w:lineRule="atLeast"/>
        <w:rPr>
          <w:szCs w:val="24"/>
        </w:rPr>
      </w:pPr>
      <w:r w:rsidRPr="00F10450">
        <w:rPr>
          <w:szCs w:val="24"/>
        </w:rPr>
        <w:lastRenderedPageBreak/>
        <w:t>4</w:t>
      </w:r>
      <w:r w:rsidRPr="00716DAF">
        <w:rPr>
          <w:szCs w:val="24"/>
        </w:rPr>
        <w:t>.</w:t>
      </w:r>
      <w:r w:rsidRPr="00716DAF">
        <w:rPr>
          <w:szCs w:val="24"/>
        </w:rPr>
        <w:tab/>
        <w:t xml:space="preserve">The Parties may consider entering into a separate cooperation agreement that sets out mutually agreed terms for implementing cooperation and coordination, including inter alia, frameworks for exchanging information </w:t>
      </w:r>
      <w:r w:rsidRPr="00716DAF">
        <w:rPr>
          <w:szCs w:val="24"/>
          <w:lang w:eastAsia="en-GB"/>
        </w:rPr>
        <w:t>between the competition authorities of the Parties.</w:t>
      </w:r>
    </w:p>
    <w:p w14:paraId="22658EFA" w14:textId="1100169E" w:rsidR="00F55714" w:rsidRPr="00716DAF" w:rsidRDefault="00F55714" w:rsidP="00F3337C">
      <w:pPr>
        <w:pStyle w:val="Heading2"/>
        <w:spacing w:before="240" w:after="240" w:line="240" w:lineRule="atLeast"/>
      </w:pPr>
      <w:r w:rsidRPr="00716DAF">
        <w:t xml:space="preserve">ARTICLE </w:t>
      </w:r>
      <w:r w:rsidRPr="00F10450">
        <w:t>14</w:t>
      </w:r>
      <w:r w:rsidRPr="00716DAF">
        <w:t>.</w:t>
      </w:r>
      <w:r w:rsidRPr="00F10450">
        <w:t>6</w:t>
      </w:r>
      <w:r w:rsidR="00D84101" w:rsidRPr="00D84101">
        <w:t xml:space="preserve"> - </w:t>
      </w:r>
      <w:r w:rsidRPr="00716DAF">
        <w:t>Non-application of dispute settlement</w:t>
      </w:r>
    </w:p>
    <w:p w14:paraId="52D283ED" w14:textId="77777777" w:rsidR="00C8433E" w:rsidRDefault="00F55714" w:rsidP="00F3337C">
      <w:pPr>
        <w:spacing w:before="240" w:after="240" w:line="240" w:lineRule="atLeast"/>
        <w:rPr>
          <w:szCs w:val="24"/>
        </w:rPr>
      </w:pPr>
      <w:r w:rsidRPr="00716DAF">
        <w:rPr>
          <w:szCs w:val="24"/>
        </w:rPr>
        <w:t xml:space="preserve">Chapter </w:t>
      </w:r>
      <w:r w:rsidRPr="00F10450">
        <w:rPr>
          <w:szCs w:val="24"/>
        </w:rPr>
        <w:t>24</w:t>
      </w:r>
      <w:r w:rsidRPr="00716DAF">
        <w:rPr>
          <w:szCs w:val="24"/>
        </w:rPr>
        <w:t xml:space="preserve"> (Dispute settlement) does not apply to this Chapter.</w:t>
      </w:r>
      <w:bookmarkEnd w:id="0"/>
    </w:p>
    <w:sectPr w:rsidR="00C8433E"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DF58E" w14:textId="77777777" w:rsidR="00F41C57" w:rsidRDefault="00F41C57">
      <w:r>
        <w:separator/>
      </w:r>
    </w:p>
  </w:endnote>
  <w:endnote w:type="continuationSeparator" w:id="0">
    <w:p w14:paraId="2F6F91D3" w14:textId="77777777" w:rsidR="00F41C57" w:rsidRDefault="00F41C5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68FC" w14:textId="0DB31627" w:rsidR="00D84101" w:rsidRDefault="00D84101">
    <w:pPr>
      <w:pStyle w:val="Footer"/>
    </w:pPr>
    <w:r>
      <w:rPr>
        <w:noProof/>
      </w:rPr>
      <mc:AlternateContent>
        <mc:Choice Requires="wps">
          <w:drawing>
            <wp:anchor distT="0" distB="0" distL="0" distR="0" simplePos="0" relativeHeight="251658241" behindDoc="0" locked="0" layoutInCell="1" allowOverlap="1" wp14:anchorId="2A658500" wp14:editId="2D05A3EA">
              <wp:simplePos x="635" y="635"/>
              <wp:positionH relativeFrom="page">
                <wp:align>center</wp:align>
              </wp:positionH>
              <wp:positionV relativeFrom="page">
                <wp:align>bottom</wp:align>
              </wp:positionV>
              <wp:extent cx="622300" cy="469265"/>
              <wp:effectExtent l="0" t="0" r="6350" b="0"/>
              <wp:wrapNone/>
              <wp:docPr id="184268670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0356740" w14:textId="7BC6E886"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658500"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60356740" w14:textId="7BC6E886"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1537" w14:textId="35C4CE24" w:rsidR="00D84101" w:rsidRDefault="00F3337C" w:rsidP="00F3337C">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360C1" w14:textId="330D68CD" w:rsidR="00D84101" w:rsidRDefault="00D84101">
    <w:pPr>
      <w:pStyle w:val="Footer"/>
    </w:pPr>
    <w:r>
      <w:rPr>
        <w:noProof/>
      </w:rPr>
      <mc:AlternateContent>
        <mc:Choice Requires="wps">
          <w:drawing>
            <wp:anchor distT="0" distB="0" distL="0" distR="0" simplePos="0" relativeHeight="251658243" behindDoc="0" locked="0" layoutInCell="1" allowOverlap="1" wp14:anchorId="247A5525" wp14:editId="4601CE0A">
              <wp:simplePos x="635" y="635"/>
              <wp:positionH relativeFrom="page">
                <wp:align>center</wp:align>
              </wp:positionH>
              <wp:positionV relativeFrom="page">
                <wp:align>bottom</wp:align>
              </wp:positionV>
              <wp:extent cx="622300" cy="469265"/>
              <wp:effectExtent l="0" t="0" r="6350" b="0"/>
              <wp:wrapNone/>
              <wp:docPr id="134883808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F7DE12B" w14:textId="4B342D8D"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7A5525"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F7DE12B" w14:textId="4B342D8D"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D88AC" w14:textId="77777777" w:rsidR="00F41C57" w:rsidRDefault="00F41C57">
      <w:pPr>
        <w:pStyle w:val="FootnoteText"/>
      </w:pPr>
      <w:r>
        <w:separator/>
      </w:r>
    </w:p>
  </w:footnote>
  <w:footnote w:type="continuationSeparator" w:id="0">
    <w:p w14:paraId="5AA7B2C9" w14:textId="77777777" w:rsidR="00F41C57" w:rsidRDefault="00F41C57">
      <w:pPr>
        <w:pStyle w:val="FootnoteText"/>
      </w:pPr>
      <w:r>
        <w:separator/>
      </w:r>
    </w:p>
  </w:footnote>
  <w:footnote w:id="1">
    <w:p w14:paraId="6A94FEE8" w14:textId="2F0DDD52" w:rsidR="00F55714" w:rsidRPr="00917379" w:rsidRDefault="00F55714" w:rsidP="00C239C6">
      <w:pPr>
        <w:pStyle w:val="FootnoteText"/>
        <w:rPr>
          <w:szCs w:val="24"/>
        </w:rPr>
      </w:pPr>
      <w:r w:rsidRPr="00917379">
        <w:rPr>
          <w:rStyle w:val="FootnoteReference"/>
          <w:szCs w:val="24"/>
        </w:rPr>
        <w:footnoteRef/>
      </w:r>
      <w:r w:rsidRPr="00917379">
        <w:rPr>
          <w:szCs w:val="24"/>
        </w:rPr>
        <w:tab/>
        <w:t xml:space="preserve">For greater certainty, pursuant to Article 42 TFEU, </w:t>
      </w:r>
      <w:r w:rsidRPr="00917379">
        <w:rPr>
          <w:rFonts w:eastAsia="MS Mincho"/>
          <w:bCs/>
          <w:szCs w:val="24"/>
          <w:lang w:eastAsia="en-GB"/>
        </w:rPr>
        <w:t>Union rules on competition apply to</w:t>
      </w:r>
      <w:r w:rsidRPr="00917379">
        <w:rPr>
          <w:szCs w:val="24"/>
        </w:rPr>
        <w:t xml:space="preserve"> the </w:t>
      </w:r>
      <w:r w:rsidRPr="00917379">
        <w:rPr>
          <w:rFonts w:eastAsia="MS Mincho"/>
          <w:bCs/>
          <w:szCs w:val="24"/>
          <w:lang w:eastAsia="en-GB"/>
        </w:rPr>
        <w:t>Union</w:t>
      </w:r>
      <w:r w:rsidRPr="00917379">
        <w:rPr>
          <w:szCs w:val="24"/>
        </w:rPr>
        <w:t xml:space="preserve"> agricultural sector in accordance with Regulation (EU) No 1308/2013 of the European Parliament and </w:t>
      </w:r>
      <w:r w:rsidRPr="00917379">
        <w:rPr>
          <w:rFonts w:eastAsia="MS Mincho"/>
          <w:bCs/>
          <w:szCs w:val="24"/>
          <w:lang w:eastAsia="en-GB"/>
        </w:rPr>
        <w:t>of the</w:t>
      </w:r>
      <w:r w:rsidRPr="00917379">
        <w:rPr>
          <w:szCs w:val="24"/>
        </w:rPr>
        <w:t xml:space="preserve"> Council establishing a common organisation of the markets in agricultural products </w:t>
      </w:r>
      <w:r w:rsidRPr="00917379">
        <w:rPr>
          <w:rFonts w:eastAsia="MS Mincho"/>
          <w:bCs/>
          <w:szCs w:val="24"/>
          <w:lang w:eastAsia="en-GB"/>
        </w:rPr>
        <w:t>and repealing Council Regulations (EEC) No 922/72, (EEC) No 234/79, (EC) No 1037/2001 and (EC) No 1234/2007 (OJ EU L 347, 20.12.2013, p. 671)</w:t>
      </w:r>
      <w:r w:rsidRPr="00917379">
        <w:rPr>
          <w:bCs/>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71F9" w14:textId="17805FA3" w:rsidR="00D84101" w:rsidRDefault="00D84101">
    <w:pPr>
      <w:pStyle w:val="Header"/>
    </w:pPr>
    <w:r>
      <w:rPr>
        <w:noProof/>
      </w:rPr>
      <mc:AlternateContent>
        <mc:Choice Requires="wps">
          <w:drawing>
            <wp:anchor distT="0" distB="0" distL="0" distR="0" simplePos="0" relativeHeight="251658240" behindDoc="0" locked="0" layoutInCell="1" allowOverlap="1" wp14:anchorId="32E1A0EB" wp14:editId="773CA297">
              <wp:simplePos x="635" y="635"/>
              <wp:positionH relativeFrom="page">
                <wp:align>center</wp:align>
              </wp:positionH>
              <wp:positionV relativeFrom="page">
                <wp:align>top</wp:align>
              </wp:positionV>
              <wp:extent cx="622300" cy="469265"/>
              <wp:effectExtent l="0" t="0" r="6350" b="6985"/>
              <wp:wrapNone/>
              <wp:docPr id="19130277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9531E8E" w14:textId="64C8088C"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E1A0EB"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9531E8E" w14:textId="64C8088C"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5265" w14:textId="77777777" w:rsidR="00F3337C" w:rsidRDefault="00F333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A93E" w14:textId="76180700" w:rsidR="00D84101" w:rsidRDefault="00D84101">
    <w:pPr>
      <w:pStyle w:val="Header"/>
    </w:pPr>
    <w:r>
      <w:rPr>
        <w:noProof/>
      </w:rPr>
      <mc:AlternateContent>
        <mc:Choice Requires="wps">
          <w:drawing>
            <wp:anchor distT="0" distB="0" distL="0" distR="0" simplePos="0" relativeHeight="251658242" behindDoc="0" locked="0" layoutInCell="1" allowOverlap="1" wp14:anchorId="12D1910D" wp14:editId="6418AA31">
              <wp:simplePos x="635" y="635"/>
              <wp:positionH relativeFrom="page">
                <wp:align>center</wp:align>
              </wp:positionH>
              <wp:positionV relativeFrom="page">
                <wp:align>top</wp:align>
              </wp:positionV>
              <wp:extent cx="622300" cy="469265"/>
              <wp:effectExtent l="0" t="0" r="6350" b="6985"/>
              <wp:wrapNone/>
              <wp:docPr id="20368597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4686D53" w14:textId="3536CF23"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D1910D"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04686D53" w14:textId="3536CF23" w:rsidR="00D84101" w:rsidRPr="00D84101" w:rsidRDefault="00D84101" w:rsidP="00D84101">
                    <w:pPr>
                      <w:rPr>
                        <w:rFonts w:ascii="Aptos" w:eastAsia="Aptos" w:hAnsi="Aptos" w:cs="Aptos"/>
                        <w:noProof/>
                        <w:color w:val="FF0000"/>
                        <w:szCs w:val="24"/>
                      </w:rPr>
                    </w:pPr>
                    <w:r w:rsidRPr="00D84101">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08E1"/>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0DC6"/>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A68C9"/>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32CA"/>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4096"/>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410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337C"/>
    <w:rsid w:val="00F375E3"/>
    <w:rsid w:val="00F41C57"/>
    <w:rsid w:val="00F42ECF"/>
    <w:rsid w:val="00F527FA"/>
    <w:rsid w:val="00F5541A"/>
    <w:rsid w:val="00F55714"/>
    <w:rsid w:val="00F631F5"/>
    <w:rsid w:val="00F64303"/>
    <w:rsid w:val="00F661B4"/>
    <w:rsid w:val="00F71710"/>
    <w:rsid w:val="00F75257"/>
    <w:rsid w:val="00F75783"/>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D84101"/>
    <w:pPr>
      <w:jc w:val="center"/>
      <w:outlineLvl w:val="0"/>
    </w:pPr>
    <w:rPr>
      <w:szCs w:val="24"/>
    </w:rPr>
  </w:style>
  <w:style w:type="paragraph" w:styleId="Heading2">
    <w:name w:val="heading 2"/>
    <w:basedOn w:val="Normal"/>
    <w:next w:val="Normal"/>
    <w:link w:val="Heading2Char"/>
    <w:uiPriority w:val="9"/>
    <w:qFormat/>
    <w:rsid w:val="00D84101"/>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D84101"/>
    <w:rPr>
      <w:sz w:val="24"/>
      <w:szCs w:val="24"/>
      <w:lang w:eastAsia="fr-BE"/>
    </w:rPr>
  </w:style>
  <w:style w:type="character" w:customStyle="1" w:styleId="Heading2Char">
    <w:name w:val="Heading 2 Char"/>
    <w:basedOn w:val="DefaultParagraphFont"/>
    <w:link w:val="Heading2"/>
    <w:uiPriority w:val="9"/>
    <w:rsid w:val="00D84101"/>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8EC285-82B2-4AF6-82D1-073B0E1AAB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4337E8-5A3B-459E-A271-BFFB37C93A98}">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A57C9F88-6026-4528-84F0-6B38F187C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3014</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australia-eu-fta-text-chapter-14-anti-competitive-conduct-merger-control</dc:title>
  <dc:subject/>
  <dc:creator/>
  <cp:keywords/>
  <cp:lastModifiedBy/>
  <cp:revision>1</cp:revision>
  <dcterms:created xsi:type="dcterms:W3CDTF">2026-10-06T02:46:00Z</dcterms:created>
  <dcterms:modified xsi:type="dcterms:W3CDTF">2026-10-08T01:18:00Z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docLang">
    <vt:lpwstr>en</vt:lpwstr>
  </property>
  <property fmtid="{D5CDD505-2E9C-101B-9397-08002B2CF9AE}" pid="7" name="ClassificationContentMarkingFooterShapeIds">
    <vt:lpwstr>5065a2c4,6dd52af5,4c1e5d98</vt:lpwstr>
  </property>
  <property fmtid="{D5CDD505-2E9C-101B-9397-08002B2CF9AE}" pid="8" name="ClassificationContentMarkingHeaderShapeIds">
    <vt:lpwstr>79680345,72067c7c,b44fc2e</vt:lpwstr>
  </property>
  <property fmtid="{D5CDD505-2E9C-101B-9397-08002B2CF9AE}" pid="9" name="ClassificationContentMarkingFooterFontProps">
    <vt:lpwstr>#ff0000,12,Aptos</vt:lpwstr>
  </property>
</Properties>
</file>