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2EF0E" w14:textId="6EF193FE" w:rsidR="00F55714" w:rsidRPr="00AE4CB1" w:rsidRDefault="00F55714" w:rsidP="004752E0">
      <w:pPr>
        <w:pStyle w:val="Heading1"/>
        <w:spacing w:before="240" w:after="240" w:line="240" w:lineRule="atLeast"/>
      </w:pPr>
      <w:r w:rsidRPr="00AE4CB1">
        <w:t>CHAPTER 11</w:t>
      </w:r>
      <w:r w:rsidR="00AE4CB1" w:rsidRPr="00AE4CB1">
        <w:t xml:space="preserve"> – </w:t>
      </w:r>
      <w:r w:rsidRPr="00AE4CB1">
        <w:t>DIGITAL TRADE</w:t>
      </w:r>
    </w:p>
    <w:p w14:paraId="6482A811" w14:textId="7643B013" w:rsidR="00F55714" w:rsidRPr="00AE4CB1" w:rsidRDefault="00F55714" w:rsidP="004752E0">
      <w:pPr>
        <w:pStyle w:val="Heading2"/>
        <w:spacing w:before="240" w:after="240" w:line="240" w:lineRule="atLeast"/>
      </w:pPr>
      <w:r w:rsidRPr="00AE4CB1">
        <w:t>SECTION A</w:t>
      </w:r>
      <w:r w:rsidR="00AE4CB1" w:rsidRPr="00AE4CB1">
        <w:t xml:space="preserve"> – </w:t>
      </w:r>
      <w:r w:rsidRPr="00AE4CB1">
        <w:t>GENERAL PROVISIONS</w:t>
      </w:r>
    </w:p>
    <w:p w14:paraId="48E0BD42" w14:textId="5F7FA11E" w:rsidR="00F55714" w:rsidRPr="00AE4CB1" w:rsidRDefault="00F55714" w:rsidP="004752E0">
      <w:pPr>
        <w:pStyle w:val="Heading3"/>
        <w:spacing w:before="240" w:after="240" w:line="240" w:lineRule="atLeast"/>
      </w:pPr>
      <w:r w:rsidRPr="00AE4CB1">
        <w:t>ARTICLE 11.1</w:t>
      </w:r>
      <w:r w:rsidR="00AE4CB1" w:rsidRPr="00AE4CB1">
        <w:t xml:space="preserve"> – </w:t>
      </w:r>
      <w:r w:rsidRPr="00AE4CB1">
        <w:t>Scope</w:t>
      </w:r>
    </w:p>
    <w:p w14:paraId="788E7C33" w14:textId="77777777" w:rsidR="00F55714" w:rsidRPr="00716DAF" w:rsidRDefault="00F55714" w:rsidP="004752E0">
      <w:pPr>
        <w:spacing w:before="240" w:after="240" w:line="240" w:lineRule="atLeast"/>
        <w:rPr>
          <w:szCs w:val="24"/>
        </w:rPr>
      </w:pPr>
      <w:r w:rsidRPr="00F10450">
        <w:rPr>
          <w:szCs w:val="24"/>
          <w:lang w:val="en-US"/>
        </w:rPr>
        <w:t>1</w:t>
      </w:r>
      <w:r w:rsidRPr="00716DAF">
        <w:rPr>
          <w:szCs w:val="24"/>
          <w:lang w:val="en-US"/>
        </w:rPr>
        <w:t>.</w:t>
      </w:r>
      <w:r w:rsidRPr="00716DAF">
        <w:rPr>
          <w:szCs w:val="24"/>
          <w:lang w:val="en-US"/>
        </w:rPr>
        <w:tab/>
      </w:r>
      <w:r w:rsidRPr="00716DAF">
        <w:rPr>
          <w:szCs w:val="24"/>
        </w:rPr>
        <w:t>The Parties recognise the economic growth and opportunities provided by, and the importance of, promoting consumer confidence in digital trade.</w:t>
      </w:r>
    </w:p>
    <w:p w14:paraId="5E40D521" w14:textId="203F2F5F" w:rsidR="00F55714" w:rsidRPr="00716DAF" w:rsidRDefault="00F55714" w:rsidP="004752E0">
      <w:pPr>
        <w:spacing w:before="240" w:after="240" w:line="240" w:lineRule="atLeast"/>
        <w:rPr>
          <w:szCs w:val="24"/>
        </w:rPr>
      </w:pPr>
      <w:r w:rsidRPr="00F10450">
        <w:rPr>
          <w:szCs w:val="24"/>
        </w:rPr>
        <w:t>2</w:t>
      </w:r>
      <w:r w:rsidRPr="00716DAF">
        <w:rPr>
          <w:szCs w:val="24"/>
        </w:rPr>
        <w:t>.</w:t>
      </w:r>
      <w:r w:rsidRPr="00716DAF">
        <w:rPr>
          <w:szCs w:val="24"/>
        </w:rPr>
        <w:tab/>
        <w:t>This Chapter applies to measures of a Party affecting trade enabled, either wholly or partially, by electronic means.</w:t>
      </w:r>
    </w:p>
    <w:p w14:paraId="5FE49C0E" w14:textId="77777777" w:rsidR="00F55714" w:rsidRPr="00716DAF" w:rsidRDefault="00F55714" w:rsidP="004752E0">
      <w:pPr>
        <w:spacing w:before="240" w:after="240" w:line="240" w:lineRule="atLeast"/>
        <w:rPr>
          <w:szCs w:val="24"/>
        </w:rPr>
      </w:pPr>
      <w:r w:rsidRPr="00F10450">
        <w:rPr>
          <w:szCs w:val="24"/>
        </w:rPr>
        <w:t>3</w:t>
      </w:r>
      <w:r w:rsidRPr="00716DAF">
        <w:rPr>
          <w:szCs w:val="24"/>
        </w:rPr>
        <w:t>.</w:t>
      </w:r>
      <w:r w:rsidRPr="00716DAF">
        <w:rPr>
          <w:szCs w:val="24"/>
        </w:rPr>
        <w:tab/>
        <w:t>This Chapter does not apply to:</w:t>
      </w:r>
    </w:p>
    <w:p w14:paraId="1E4E6F19" w14:textId="77777777" w:rsidR="00F55714" w:rsidRPr="00716DAF" w:rsidRDefault="00F55714" w:rsidP="004752E0">
      <w:pPr>
        <w:spacing w:before="240" w:after="240" w:line="240" w:lineRule="atLeast"/>
        <w:ind w:left="567" w:hanging="567"/>
        <w:rPr>
          <w:szCs w:val="24"/>
        </w:rPr>
      </w:pPr>
      <w:r w:rsidRPr="00716DAF">
        <w:rPr>
          <w:szCs w:val="24"/>
        </w:rPr>
        <w:t>(a)</w:t>
      </w:r>
      <w:r w:rsidRPr="00716DAF">
        <w:rPr>
          <w:szCs w:val="24"/>
        </w:rPr>
        <w:tab/>
        <w:t>audio-visual services; or</w:t>
      </w:r>
    </w:p>
    <w:p w14:paraId="68363219" w14:textId="77777777" w:rsidR="00F55714" w:rsidRPr="00716DAF" w:rsidRDefault="00F55714" w:rsidP="004752E0">
      <w:pPr>
        <w:spacing w:before="240" w:after="240" w:line="240" w:lineRule="atLeast"/>
        <w:ind w:left="567" w:hanging="567"/>
        <w:rPr>
          <w:szCs w:val="24"/>
        </w:rPr>
      </w:pPr>
      <w:r w:rsidRPr="00716DAF">
        <w:rPr>
          <w:szCs w:val="24"/>
        </w:rPr>
        <w:t>(b)</w:t>
      </w:r>
      <w:r w:rsidRPr="00716DAF">
        <w:rPr>
          <w:szCs w:val="24"/>
        </w:rPr>
        <w:tab/>
        <w:t>information held or processed by or on behalf of a Party, or measures related to such information, including measures related to its collection.</w:t>
      </w:r>
    </w:p>
    <w:p w14:paraId="0DE7BF40" w14:textId="77777777" w:rsidR="00F55714" w:rsidRPr="00716DAF" w:rsidRDefault="00F55714" w:rsidP="004752E0">
      <w:pPr>
        <w:spacing w:before="240" w:after="240" w:line="240" w:lineRule="atLeast"/>
        <w:rPr>
          <w:szCs w:val="24"/>
        </w:rPr>
      </w:pPr>
      <w:r w:rsidRPr="00F10450">
        <w:rPr>
          <w:szCs w:val="24"/>
        </w:rPr>
        <w:t>4</w:t>
      </w:r>
      <w:r w:rsidRPr="00716DAF">
        <w:rPr>
          <w:szCs w:val="24"/>
        </w:rPr>
        <w:t>.</w:t>
      </w:r>
      <w:r w:rsidRPr="00716DAF">
        <w:rPr>
          <w:szCs w:val="24"/>
        </w:rPr>
        <w:tab/>
        <w:t xml:space="preserve">Article </w:t>
      </w:r>
      <w:r w:rsidRPr="00F10450">
        <w:rPr>
          <w:szCs w:val="24"/>
        </w:rPr>
        <w:t>11</w:t>
      </w:r>
      <w:r w:rsidRPr="00716DAF">
        <w:rPr>
          <w:szCs w:val="24"/>
        </w:rPr>
        <w:t>.</w:t>
      </w:r>
      <w:r w:rsidRPr="00F10450">
        <w:rPr>
          <w:szCs w:val="24"/>
        </w:rPr>
        <w:t>5</w:t>
      </w:r>
      <w:r w:rsidRPr="00716DAF" w:rsidDel="00973069">
        <w:rPr>
          <w:szCs w:val="24"/>
        </w:rPr>
        <w:t xml:space="preserve"> (Cross-border data flows)</w:t>
      </w:r>
      <w:r w:rsidRPr="00716DAF">
        <w:rPr>
          <w:szCs w:val="24"/>
        </w:rPr>
        <w:t xml:space="preserve"> does not apply to a measure to the extent that such measure is not subject to Section B (Investment liberalisation) or Section C (Cross-border trade in services) of Chapter </w:t>
      </w:r>
      <w:r w:rsidRPr="00F10450">
        <w:rPr>
          <w:szCs w:val="24"/>
        </w:rPr>
        <w:t>9</w:t>
      </w:r>
      <w:r w:rsidRPr="00716DAF">
        <w:rPr>
          <w:szCs w:val="24"/>
        </w:rPr>
        <w:t xml:space="preserve"> (Investment liberalisation and trade in services), by reason of:</w:t>
      </w:r>
    </w:p>
    <w:p w14:paraId="4507A350" w14:textId="77777777" w:rsidR="00F55714" w:rsidRPr="00716DAF" w:rsidRDefault="00F55714" w:rsidP="004752E0">
      <w:pPr>
        <w:spacing w:before="240" w:after="240" w:line="240" w:lineRule="atLeast"/>
        <w:ind w:left="567" w:hanging="567"/>
        <w:rPr>
          <w:szCs w:val="24"/>
        </w:rPr>
      </w:pPr>
      <w:r w:rsidRPr="00716DAF">
        <w:rPr>
          <w:szCs w:val="24"/>
        </w:rPr>
        <w:t>(a)</w:t>
      </w:r>
      <w:r w:rsidRPr="00716DAF">
        <w:rPr>
          <w:szCs w:val="24"/>
        </w:rPr>
        <w:tab/>
        <w:t xml:space="preserve">Article </w:t>
      </w:r>
      <w:r w:rsidRPr="00F10450">
        <w:rPr>
          <w:szCs w:val="24"/>
        </w:rPr>
        <w:t>9</w:t>
      </w:r>
      <w:r w:rsidRPr="00716DAF">
        <w:rPr>
          <w:szCs w:val="24"/>
        </w:rPr>
        <w:t>.</w:t>
      </w:r>
      <w:r w:rsidRPr="00F10450">
        <w:rPr>
          <w:szCs w:val="24"/>
        </w:rPr>
        <w:t>10</w:t>
      </w:r>
      <w:r w:rsidRPr="00716DAF" w:rsidDel="00973069">
        <w:rPr>
          <w:szCs w:val="24"/>
        </w:rPr>
        <w:t xml:space="preserve"> (Non-conforming measures and exceptions</w:t>
      </w:r>
      <w:r w:rsidRPr="00716DAF">
        <w:rPr>
          <w:szCs w:val="24"/>
        </w:rPr>
        <w:t xml:space="preserve">) or Article </w:t>
      </w:r>
      <w:r w:rsidRPr="00F10450">
        <w:rPr>
          <w:szCs w:val="24"/>
        </w:rPr>
        <w:t>9</w:t>
      </w:r>
      <w:r w:rsidRPr="00716DAF">
        <w:rPr>
          <w:szCs w:val="24"/>
        </w:rPr>
        <w:t>.</w:t>
      </w:r>
      <w:r w:rsidRPr="00F10450">
        <w:rPr>
          <w:szCs w:val="24"/>
        </w:rPr>
        <w:t>17</w:t>
      </w:r>
      <w:r w:rsidRPr="00716DAF" w:rsidDel="00973069">
        <w:rPr>
          <w:szCs w:val="24"/>
        </w:rPr>
        <w:t xml:space="preserve"> (Non-conforming measures</w:t>
      </w:r>
      <w:r w:rsidRPr="00716DAF">
        <w:rPr>
          <w:szCs w:val="24"/>
        </w:rPr>
        <w:t>); or</w:t>
      </w:r>
    </w:p>
    <w:p w14:paraId="1903E96D" w14:textId="77777777" w:rsidR="00F55714" w:rsidRPr="00716DAF" w:rsidRDefault="00F55714" w:rsidP="004752E0">
      <w:pPr>
        <w:spacing w:before="240" w:after="240" w:line="240" w:lineRule="atLeast"/>
        <w:ind w:left="567" w:hanging="567"/>
        <w:rPr>
          <w:szCs w:val="24"/>
        </w:rPr>
      </w:pPr>
      <w:r w:rsidRPr="00716DAF">
        <w:rPr>
          <w:szCs w:val="24"/>
        </w:rPr>
        <w:t>(b)</w:t>
      </w:r>
      <w:r w:rsidRPr="00716DAF">
        <w:rPr>
          <w:szCs w:val="24"/>
        </w:rPr>
        <w:tab/>
        <w:t xml:space="preserve">entries </w:t>
      </w:r>
      <w:r w:rsidRPr="00F10450">
        <w:rPr>
          <w:szCs w:val="24"/>
        </w:rPr>
        <w:t>9</w:t>
      </w:r>
      <w:r w:rsidRPr="00716DAF">
        <w:rPr>
          <w:szCs w:val="24"/>
        </w:rPr>
        <w:t xml:space="preserve"> (Gambling and betting) and </w:t>
      </w:r>
      <w:r w:rsidRPr="00F10450">
        <w:rPr>
          <w:szCs w:val="24"/>
        </w:rPr>
        <w:t>35</w:t>
      </w:r>
      <w:r w:rsidRPr="00716DAF">
        <w:rPr>
          <w:szCs w:val="24"/>
        </w:rPr>
        <w:t xml:space="preserve"> (Foreign investment framework) in Appendix </w:t>
      </w:r>
      <w:r w:rsidRPr="00F10450">
        <w:rPr>
          <w:szCs w:val="24"/>
        </w:rPr>
        <w:t>9</w:t>
      </w:r>
      <w:r w:rsidRPr="00716DAF">
        <w:rPr>
          <w:szCs w:val="24"/>
        </w:rPr>
        <w:t>-D-</w:t>
      </w:r>
      <w:r w:rsidRPr="00F10450">
        <w:rPr>
          <w:szCs w:val="24"/>
        </w:rPr>
        <w:t>2</w:t>
      </w:r>
      <w:r w:rsidRPr="00716DAF">
        <w:rPr>
          <w:szCs w:val="24"/>
        </w:rPr>
        <w:t xml:space="preserve"> (Schedule of Australia).</w:t>
      </w:r>
    </w:p>
    <w:p w14:paraId="1D54F908" w14:textId="3A0B4DC7" w:rsidR="00F55714" w:rsidRPr="00716DAF" w:rsidRDefault="00F55714" w:rsidP="004752E0">
      <w:pPr>
        <w:pStyle w:val="Heading3"/>
        <w:spacing w:before="240" w:after="240" w:line="240" w:lineRule="atLeast"/>
      </w:pPr>
      <w:r w:rsidRPr="00716DAF">
        <w:t xml:space="preserve">ARTICLE </w:t>
      </w:r>
      <w:r w:rsidRPr="00F10450">
        <w:t>11</w:t>
      </w:r>
      <w:r w:rsidRPr="00716DAF">
        <w:t>.</w:t>
      </w:r>
      <w:r w:rsidRPr="00F10450">
        <w:t>2</w:t>
      </w:r>
      <w:r w:rsidR="00AE4CB1" w:rsidRPr="00AE4CB1">
        <w:rPr>
          <w:lang w:val="en-GB"/>
        </w:rPr>
        <w:t xml:space="preserve"> – </w:t>
      </w:r>
      <w:r w:rsidRPr="00716DAF">
        <w:t>Definitions</w:t>
      </w:r>
    </w:p>
    <w:p w14:paraId="0B42BFFB" w14:textId="7DCF9E0B" w:rsidR="00F55714" w:rsidRPr="00716DAF" w:rsidRDefault="00F55714" w:rsidP="004752E0">
      <w:pPr>
        <w:spacing w:before="240" w:after="240" w:line="240" w:lineRule="atLeast"/>
        <w:rPr>
          <w:szCs w:val="24"/>
        </w:rPr>
      </w:pPr>
      <w:r w:rsidRPr="00F10450">
        <w:rPr>
          <w:szCs w:val="24"/>
        </w:rPr>
        <w:t>1</w:t>
      </w:r>
      <w:r w:rsidRPr="00716DAF">
        <w:rPr>
          <w:szCs w:val="24"/>
        </w:rPr>
        <w:t>.</w:t>
      </w:r>
      <w:r w:rsidRPr="00716DAF">
        <w:rPr>
          <w:szCs w:val="24"/>
        </w:rPr>
        <w:tab/>
        <w:t>For the purposes of this Chapter, the following definitions apply:</w:t>
      </w:r>
    </w:p>
    <w:p w14:paraId="02B7F1F8" w14:textId="77777777" w:rsidR="00C8433E" w:rsidRDefault="00F55714" w:rsidP="004752E0">
      <w:pPr>
        <w:spacing w:before="240" w:after="240" w:line="240" w:lineRule="atLeast"/>
        <w:ind w:left="567" w:hanging="567"/>
        <w:rPr>
          <w:szCs w:val="24"/>
        </w:rPr>
      </w:pPr>
      <w:r w:rsidRPr="00716DAF">
        <w:rPr>
          <w:szCs w:val="24"/>
        </w:rPr>
        <w:t>(a)</w:t>
      </w:r>
      <w:r w:rsidRPr="00716DAF">
        <w:rPr>
          <w:szCs w:val="24"/>
        </w:rPr>
        <w:tab/>
        <w:t xml:space="preserve">the definitions set out in Article </w:t>
      </w:r>
      <w:r w:rsidRPr="00F10450">
        <w:rPr>
          <w:szCs w:val="24"/>
        </w:rPr>
        <w:t>9</w:t>
      </w:r>
      <w:r w:rsidRPr="00716DAF">
        <w:rPr>
          <w:szCs w:val="24"/>
        </w:rPr>
        <w:t>.</w:t>
      </w:r>
      <w:r w:rsidRPr="00F10450">
        <w:rPr>
          <w:szCs w:val="24"/>
        </w:rPr>
        <w:t>2</w:t>
      </w:r>
      <w:r w:rsidRPr="00716DAF">
        <w:rPr>
          <w:szCs w:val="24"/>
        </w:rPr>
        <w:t xml:space="preserve"> (Definitions);</w:t>
      </w:r>
    </w:p>
    <w:p w14:paraId="7DF774F0" w14:textId="77777777" w:rsidR="00F55714" w:rsidRPr="00716DAF" w:rsidRDefault="00F55714" w:rsidP="004752E0">
      <w:pPr>
        <w:spacing w:before="240" w:after="240" w:line="240" w:lineRule="atLeast"/>
        <w:ind w:left="567" w:hanging="567"/>
        <w:rPr>
          <w:szCs w:val="24"/>
        </w:rPr>
      </w:pPr>
      <w:r w:rsidRPr="00716DAF">
        <w:rPr>
          <w:szCs w:val="24"/>
        </w:rPr>
        <w:t>(b)</w:t>
      </w:r>
      <w:r w:rsidRPr="00716DAF">
        <w:rPr>
          <w:szCs w:val="24"/>
        </w:rPr>
        <w:tab/>
        <w:t>"consumer" means any natural person engaging in electronic commerce transactions for other than professional purposes or, if provided for in the laws or regulations of a Party, any enterprise engaging in electronic commerce transactions;</w:t>
      </w:r>
    </w:p>
    <w:p w14:paraId="666C06D4" w14:textId="77777777" w:rsidR="00F55714" w:rsidRPr="00716DAF" w:rsidRDefault="00F55714" w:rsidP="004752E0">
      <w:pPr>
        <w:spacing w:before="240" w:after="240" w:line="240" w:lineRule="atLeast"/>
        <w:ind w:left="567" w:hanging="567"/>
        <w:rPr>
          <w:szCs w:val="24"/>
        </w:rPr>
      </w:pPr>
      <w:r w:rsidRPr="00716DAF">
        <w:rPr>
          <w:szCs w:val="24"/>
        </w:rPr>
        <w:t>(c)</w:t>
      </w:r>
      <w:r w:rsidRPr="00716DAF">
        <w:rPr>
          <w:szCs w:val="24"/>
        </w:rPr>
        <w:tab/>
        <w:t>"direct marketing communication</w:t>
      </w:r>
      <w:r w:rsidRPr="00716DAF">
        <w:rPr>
          <w:szCs w:val="24"/>
          <w:lang w:val="en-AU"/>
        </w:rPr>
        <w:t>"</w:t>
      </w:r>
      <w:r w:rsidRPr="00716DAF">
        <w:rPr>
          <w:szCs w:val="24"/>
        </w:rPr>
        <w:t xml:space="preserve"> means any form of commercial advertising by which a </w:t>
      </w:r>
      <w:r w:rsidRPr="00716DAF">
        <w:rPr>
          <w:szCs w:val="24"/>
        </w:rPr>
        <w:lastRenderedPageBreak/>
        <w:t>person communicates marketing messages directly to a user via a public telecommunications service and, for the purpose of this Agreement, covers at least electronic mail, text and multimedia messages (SMS and MMS) and phone calls;</w:t>
      </w:r>
    </w:p>
    <w:p w14:paraId="43123152" w14:textId="77777777" w:rsidR="00F55714" w:rsidRPr="00716DAF" w:rsidRDefault="00F55714" w:rsidP="004752E0">
      <w:pPr>
        <w:spacing w:before="240" w:after="240" w:line="240" w:lineRule="atLeast"/>
        <w:ind w:left="567" w:hanging="567"/>
        <w:rPr>
          <w:szCs w:val="24"/>
        </w:rPr>
      </w:pPr>
      <w:r w:rsidRPr="00716DAF">
        <w:rPr>
          <w:szCs w:val="24"/>
          <w:lang w:val="en-AU"/>
        </w:rPr>
        <w:t>(d)</w:t>
      </w:r>
      <w:r w:rsidRPr="00716DAF">
        <w:rPr>
          <w:szCs w:val="24"/>
          <w:lang w:val="en-AU"/>
        </w:rPr>
        <w:tab/>
        <w:t>"</w:t>
      </w:r>
      <w:r w:rsidRPr="00716DAF">
        <w:rPr>
          <w:szCs w:val="24"/>
        </w:rPr>
        <w:t>electronic authentication</w:t>
      </w:r>
      <w:r w:rsidRPr="00716DAF">
        <w:rPr>
          <w:szCs w:val="24"/>
          <w:lang w:val="en-AU"/>
        </w:rPr>
        <w:t>"</w:t>
      </w:r>
      <w:r w:rsidRPr="00716DAF">
        <w:rPr>
          <w:szCs w:val="24"/>
        </w:rPr>
        <w:t xml:space="preserve"> means an electronic process that enables the confirmation of:</w:t>
      </w:r>
    </w:p>
    <w:p w14:paraId="22AEE5F9" w14:textId="77777777" w:rsidR="00C8433E" w:rsidRDefault="00F55714" w:rsidP="004752E0">
      <w:pPr>
        <w:spacing w:before="240" w:after="240" w:line="240" w:lineRule="atLeast"/>
        <w:ind w:left="1134" w:hanging="567"/>
        <w:rPr>
          <w:szCs w:val="24"/>
        </w:rPr>
      </w:pPr>
      <w:r w:rsidRPr="00716DAF">
        <w:rPr>
          <w:szCs w:val="24"/>
        </w:rPr>
        <w:t>(i)</w:t>
      </w:r>
      <w:r w:rsidRPr="00716DAF">
        <w:rPr>
          <w:szCs w:val="24"/>
        </w:rPr>
        <w:tab/>
        <w:t>the electronic identification of a person; or</w:t>
      </w:r>
    </w:p>
    <w:p w14:paraId="2769378A" w14:textId="77777777" w:rsidR="00F55714" w:rsidRPr="00716DAF" w:rsidRDefault="00F55714" w:rsidP="004752E0">
      <w:pPr>
        <w:spacing w:before="240" w:after="240" w:line="240" w:lineRule="atLeast"/>
        <w:ind w:left="1134" w:hanging="567"/>
        <w:rPr>
          <w:szCs w:val="24"/>
        </w:rPr>
      </w:pPr>
      <w:r w:rsidRPr="00716DAF">
        <w:rPr>
          <w:szCs w:val="24"/>
        </w:rPr>
        <w:t>(ii)</w:t>
      </w:r>
      <w:r w:rsidRPr="00716DAF">
        <w:rPr>
          <w:szCs w:val="24"/>
        </w:rPr>
        <w:tab/>
        <w:t>the origin and integrity of data in electronic form;</w:t>
      </w:r>
    </w:p>
    <w:p w14:paraId="15DB69DD" w14:textId="5FE5A305" w:rsidR="00F55714" w:rsidRPr="00716DAF" w:rsidRDefault="00F55714" w:rsidP="004752E0">
      <w:pPr>
        <w:spacing w:before="240" w:after="240" w:line="240" w:lineRule="atLeast"/>
        <w:ind w:left="567" w:hanging="567"/>
        <w:rPr>
          <w:szCs w:val="24"/>
        </w:rPr>
      </w:pPr>
      <w:r w:rsidRPr="00716DAF">
        <w:rPr>
          <w:szCs w:val="24"/>
          <w:lang w:val="en-AU"/>
        </w:rPr>
        <w:t>(e)</w:t>
      </w:r>
      <w:r w:rsidRPr="00716DAF">
        <w:rPr>
          <w:szCs w:val="24"/>
          <w:lang w:val="en-AU"/>
        </w:rPr>
        <w:tab/>
        <w:t>"</w:t>
      </w:r>
      <w:r w:rsidRPr="00716DAF">
        <w:rPr>
          <w:szCs w:val="24"/>
        </w:rPr>
        <w:t>electronic seal</w:t>
      </w:r>
      <w:r w:rsidRPr="00716DAF">
        <w:rPr>
          <w:szCs w:val="24"/>
          <w:lang w:val="en-AU"/>
        </w:rPr>
        <w:t>"</w:t>
      </w:r>
      <w:r w:rsidRPr="00716DAF">
        <w:rPr>
          <w:szCs w:val="24"/>
        </w:rPr>
        <w:t xml:space="preserve"> means data in electronic form used by a juridical person which is attached to, or logically associated with, other data in electronic form to ensure the origin and integrity of that other data;</w:t>
      </w:r>
    </w:p>
    <w:p w14:paraId="444C0C43" w14:textId="77777777" w:rsidR="00F55714" w:rsidRPr="00716DAF" w:rsidRDefault="00F55714" w:rsidP="004752E0">
      <w:pPr>
        <w:spacing w:before="240" w:after="240" w:line="240" w:lineRule="atLeast"/>
        <w:ind w:left="567" w:hanging="567"/>
        <w:rPr>
          <w:szCs w:val="24"/>
        </w:rPr>
      </w:pPr>
      <w:r w:rsidRPr="00716DAF">
        <w:rPr>
          <w:szCs w:val="24"/>
          <w:lang w:val="en-AU"/>
        </w:rPr>
        <w:t>(f)</w:t>
      </w:r>
      <w:r w:rsidRPr="00716DAF">
        <w:rPr>
          <w:szCs w:val="24"/>
          <w:lang w:val="en-AU"/>
        </w:rPr>
        <w:tab/>
        <w:t>"</w:t>
      </w:r>
      <w:r w:rsidRPr="00716DAF">
        <w:rPr>
          <w:szCs w:val="24"/>
        </w:rPr>
        <w:t>electronic signature</w:t>
      </w:r>
      <w:r w:rsidRPr="00716DAF">
        <w:rPr>
          <w:szCs w:val="24"/>
          <w:lang w:val="en-AU"/>
        </w:rPr>
        <w:t>"</w:t>
      </w:r>
      <w:r w:rsidRPr="00716DAF">
        <w:rPr>
          <w:szCs w:val="24"/>
        </w:rPr>
        <w:t xml:space="preserve"> means data in electronic form, which is attached to or logically associated with other data in electronic form and that may be used by a signatory to sign that other data;</w:t>
      </w:r>
      <w:r w:rsidRPr="00716DAF">
        <w:rPr>
          <w:rStyle w:val="FootnoteReference"/>
          <w:szCs w:val="24"/>
        </w:rPr>
        <w:footnoteReference w:id="1"/>
      </w:r>
    </w:p>
    <w:p w14:paraId="20278FDE" w14:textId="77777777" w:rsidR="00C8433E" w:rsidRDefault="00F55714" w:rsidP="004752E0">
      <w:pPr>
        <w:spacing w:before="240" w:after="240" w:line="240" w:lineRule="atLeast"/>
        <w:ind w:left="567" w:hanging="567"/>
        <w:rPr>
          <w:szCs w:val="24"/>
          <w:lang w:eastAsia="en-GB"/>
        </w:rPr>
      </w:pPr>
      <w:r w:rsidRPr="00716DAF">
        <w:rPr>
          <w:szCs w:val="24"/>
          <w:lang w:eastAsia="en-GB"/>
        </w:rPr>
        <w:t>(g)</w:t>
      </w:r>
      <w:r w:rsidRPr="00716DAF">
        <w:rPr>
          <w:szCs w:val="24"/>
          <w:lang w:eastAsia="en-GB"/>
        </w:rPr>
        <w:tab/>
        <w:t xml:space="preserve">"government </w:t>
      </w:r>
      <w:r w:rsidRPr="00716DAF">
        <w:rPr>
          <w:szCs w:val="24"/>
        </w:rPr>
        <w:t>data</w:t>
      </w:r>
      <w:r w:rsidRPr="00716DAF">
        <w:rPr>
          <w:szCs w:val="24"/>
          <w:lang w:eastAsia="en-GB"/>
        </w:rPr>
        <w:t>" means data owned or held by the central or regional levels of government;</w:t>
      </w:r>
    </w:p>
    <w:p w14:paraId="03840740" w14:textId="77777777" w:rsidR="00F55714" w:rsidRPr="00716DAF" w:rsidRDefault="00F55714" w:rsidP="004752E0">
      <w:pPr>
        <w:spacing w:before="240" w:after="240" w:line="240" w:lineRule="atLeast"/>
        <w:ind w:left="567" w:hanging="567"/>
        <w:rPr>
          <w:szCs w:val="24"/>
        </w:rPr>
      </w:pPr>
      <w:r w:rsidRPr="00716DAF">
        <w:rPr>
          <w:szCs w:val="24"/>
          <w:lang w:val="en-AU"/>
        </w:rPr>
        <w:t>(h)</w:t>
      </w:r>
      <w:r w:rsidRPr="00716DAF">
        <w:rPr>
          <w:szCs w:val="24"/>
          <w:lang w:val="en-AU"/>
        </w:rPr>
        <w:tab/>
        <w:t>"</w:t>
      </w:r>
      <w:r w:rsidRPr="00716DAF">
        <w:rPr>
          <w:szCs w:val="24"/>
        </w:rPr>
        <w:t>internet access service</w:t>
      </w:r>
      <w:r w:rsidRPr="00716DAF">
        <w:rPr>
          <w:szCs w:val="24"/>
          <w:lang w:val="en-AU"/>
        </w:rPr>
        <w:t>"</w:t>
      </w:r>
      <w:r w:rsidRPr="00716DAF">
        <w:rPr>
          <w:szCs w:val="24"/>
        </w:rPr>
        <w:t xml:space="preserve"> means a public telecommunications service that provides access to the internet, and thereby connectivity to virtually all endpoints of the internet, irrespective of the network technology and terminal equipment used;</w:t>
      </w:r>
    </w:p>
    <w:p w14:paraId="734DCFC0" w14:textId="77777777" w:rsidR="00C8433E" w:rsidRDefault="00C57681" w:rsidP="004752E0">
      <w:pPr>
        <w:spacing w:before="240" w:after="240" w:line="240" w:lineRule="atLeast"/>
        <w:ind w:left="567" w:hanging="567"/>
        <w:rPr>
          <w:szCs w:val="24"/>
        </w:rPr>
      </w:pPr>
      <w:r w:rsidRPr="00716DAF">
        <w:rPr>
          <w:szCs w:val="24"/>
        </w:rPr>
        <w:t>(i)</w:t>
      </w:r>
      <w:r w:rsidRPr="00716DAF">
        <w:rPr>
          <w:szCs w:val="24"/>
        </w:rPr>
        <w:tab/>
      </w:r>
      <w:r w:rsidR="00F55714" w:rsidRPr="00716DAF">
        <w:rPr>
          <w:szCs w:val="24"/>
        </w:rPr>
        <w:t>"personal data" means any information relating to an identified or identifiable natural person;</w:t>
      </w:r>
    </w:p>
    <w:p w14:paraId="6C704FF9" w14:textId="663405E8" w:rsidR="00F55714" w:rsidRPr="00716DAF" w:rsidRDefault="00F55714" w:rsidP="004752E0">
      <w:pPr>
        <w:spacing w:before="240" w:after="240" w:line="240" w:lineRule="atLeast"/>
        <w:ind w:left="567" w:hanging="567"/>
        <w:rPr>
          <w:szCs w:val="24"/>
        </w:rPr>
      </w:pPr>
      <w:r w:rsidRPr="00716DAF">
        <w:rPr>
          <w:szCs w:val="24"/>
          <w:lang w:val="en-AU"/>
        </w:rPr>
        <w:t>(j)</w:t>
      </w:r>
      <w:r w:rsidRPr="00716DAF">
        <w:rPr>
          <w:szCs w:val="24"/>
        </w:rPr>
        <w:tab/>
      </w:r>
      <w:r w:rsidRPr="00716DAF">
        <w:rPr>
          <w:szCs w:val="24"/>
          <w:lang w:val="en-AU"/>
        </w:rPr>
        <w:t>"</w:t>
      </w:r>
      <w:r w:rsidRPr="00716DAF">
        <w:rPr>
          <w:szCs w:val="24"/>
        </w:rPr>
        <w:t>public telecommunications service</w:t>
      </w:r>
      <w:r w:rsidRPr="00716DAF">
        <w:rPr>
          <w:szCs w:val="24"/>
          <w:lang w:val="en-AU"/>
        </w:rPr>
        <w:t>"</w:t>
      </w:r>
      <w:r w:rsidRPr="00716DAF">
        <w:rPr>
          <w:szCs w:val="24"/>
        </w:rPr>
        <w:t xml:space="preserve"> means a public telecommunications service as defined in point (j) of Article </w:t>
      </w:r>
      <w:r w:rsidRPr="00F10450">
        <w:rPr>
          <w:szCs w:val="24"/>
        </w:rPr>
        <w:t>9</w:t>
      </w:r>
      <w:r w:rsidRPr="00716DAF">
        <w:rPr>
          <w:szCs w:val="24"/>
        </w:rPr>
        <w:t>.</w:t>
      </w:r>
      <w:r w:rsidRPr="00F10450">
        <w:rPr>
          <w:szCs w:val="24"/>
        </w:rPr>
        <w:t>51</w:t>
      </w:r>
      <w:r w:rsidRPr="00716DAF">
        <w:rPr>
          <w:szCs w:val="24"/>
        </w:rPr>
        <w:t xml:space="preserve"> (Definitions);</w:t>
      </w:r>
    </w:p>
    <w:p w14:paraId="70A3A09C" w14:textId="77777777" w:rsidR="00F55714" w:rsidRPr="00716DAF" w:rsidRDefault="00F55714" w:rsidP="004752E0">
      <w:pPr>
        <w:spacing w:before="240" w:after="240" w:line="240" w:lineRule="atLeast"/>
        <w:ind w:left="567" w:hanging="567"/>
        <w:rPr>
          <w:szCs w:val="24"/>
        </w:rPr>
      </w:pPr>
      <w:r w:rsidRPr="00716DAF">
        <w:rPr>
          <w:szCs w:val="24"/>
          <w:lang w:val="en-AU"/>
        </w:rPr>
        <w:t>(k)</w:t>
      </w:r>
      <w:r w:rsidRPr="00716DAF">
        <w:rPr>
          <w:szCs w:val="24"/>
          <w:lang w:val="en-AU"/>
        </w:rPr>
        <w:tab/>
        <w:t>"</w:t>
      </w:r>
      <w:r w:rsidRPr="00716DAF">
        <w:rPr>
          <w:szCs w:val="24"/>
        </w:rPr>
        <w:t>trade administration documents</w:t>
      </w:r>
      <w:r w:rsidRPr="00716DAF">
        <w:rPr>
          <w:szCs w:val="24"/>
          <w:lang w:val="en-AU"/>
        </w:rPr>
        <w:t>"</w:t>
      </w:r>
      <w:r w:rsidRPr="00716DAF">
        <w:rPr>
          <w:szCs w:val="24"/>
        </w:rPr>
        <w:t xml:space="preserve"> means forms issued or controlled by a Party that must be completed by or for an importer or exporter in connection with the import or export of goods; and</w:t>
      </w:r>
    </w:p>
    <w:p w14:paraId="7827669C" w14:textId="77777777" w:rsidR="00F55714" w:rsidRPr="00716DAF" w:rsidRDefault="00F55714" w:rsidP="004752E0">
      <w:pPr>
        <w:spacing w:before="240" w:after="240" w:line="240" w:lineRule="atLeast"/>
        <w:ind w:left="567" w:hanging="567"/>
        <w:rPr>
          <w:szCs w:val="24"/>
        </w:rPr>
      </w:pPr>
      <w:r w:rsidRPr="00716DAF">
        <w:rPr>
          <w:szCs w:val="24"/>
          <w:lang w:val="en-AU"/>
        </w:rPr>
        <w:t>(l)</w:t>
      </w:r>
      <w:r w:rsidRPr="00716DAF">
        <w:rPr>
          <w:szCs w:val="24"/>
          <w:lang w:val="en-AU"/>
        </w:rPr>
        <w:tab/>
        <w:t>"</w:t>
      </w:r>
      <w:r w:rsidRPr="00716DAF">
        <w:rPr>
          <w:szCs w:val="24"/>
        </w:rPr>
        <w:t>user</w:t>
      </w:r>
      <w:r w:rsidRPr="00716DAF">
        <w:rPr>
          <w:szCs w:val="24"/>
          <w:lang w:val="en-AU"/>
        </w:rPr>
        <w:t>"</w:t>
      </w:r>
      <w:r w:rsidRPr="00716DAF">
        <w:rPr>
          <w:szCs w:val="24"/>
        </w:rPr>
        <w:t xml:space="preserve"> means any person using a public telecommunications service.</w:t>
      </w:r>
    </w:p>
    <w:p w14:paraId="466BA26D" w14:textId="04425593" w:rsidR="004752E0" w:rsidRDefault="00F55714" w:rsidP="004752E0">
      <w:pPr>
        <w:spacing w:before="240" w:after="240" w:line="240" w:lineRule="atLeast"/>
        <w:rPr>
          <w:szCs w:val="24"/>
        </w:rPr>
      </w:pPr>
      <w:r w:rsidRPr="00F10450">
        <w:rPr>
          <w:szCs w:val="24"/>
        </w:rPr>
        <w:t>2</w:t>
      </w:r>
      <w:r w:rsidRPr="00716DAF">
        <w:rPr>
          <w:szCs w:val="24"/>
        </w:rPr>
        <w:t>.</w:t>
      </w:r>
      <w:r w:rsidRPr="00716DAF">
        <w:rPr>
          <w:szCs w:val="24"/>
        </w:rPr>
        <w:tab/>
        <w:t xml:space="preserve">The definition of </w:t>
      </w:r>
      <w:r w:rsidRPr="00716DAF">
        <w:rPr>
          <w:szCs w:val="24"/>
          <w:lang w:val="en-AU"/>
        </w:rPr>
        <w:t>"</w:t>
      </w:r>
      <w:r w:rsidRPr="00716DAF">
        <w:rPr>
          <w:szCs w:val="24"/>
        </w:rPr>
        <w:t>customs duty</w:t>
      </w:r>
      <w:r w:rsidRPr="00716DAF">
        <w:rPr>
          <w:szCs w:val="24"/>
          <w:lang w:val="en-AU"/>
        </w:rPr>
        <w:t xml:space="preserve">" set out in point (b) of Article </w:t>
      </w:r>
      <w:r w:rsidRPr="00F10450">
        <w:rPr>
          <w:szCs w:val="24"/>
          <w:lang w:val="en-AU"/>
        </w:rPr>
        <w:t>1</w:t>
      </w:r>
      <w:r w:rsidRPr="00716DAF">
        <w:rPr>
          <w:szCs w:val="24"/>
          <w:lang w:val="en-AU"/>
        </w:rPr>
        <w:t>.</w:t>
      </w:r>
      <w:r w:rsidRPr="00F10450">
        <w:rPr>
          <w:szCs w:val="24"/>
          <w:lang w:val="en-AU"/>
        </w:rPr>
        <w:t>3</w:t>
      </w:r>
      <w:r w:rsidRPr="00716DAF" w:rsidDel="007D7E73">
        <w:rPr>
          <w:szCs w:val="24"/>
        </w:rPr>
        <w:t xml:space="preserve"> (General Definitions)</w:t>
      </w:r>
      <w:r w:rsidRPr="00716DAF">
        <w:rPr>
          <w:szCs w:val="24"/>
        </w:rPr>
        <w:t xml:space="preserve"> does not apply to this Chapter.</w:t>
      </w:r>
      <w:r w:rsidR="004752E0">
        <w:rPr>
          <w:szCs w:val="24"/>
        </w:rPr>
        <w:br w:type="page"/>
      </w:r>
    </w:p>
    <w:p w14:paraId="6B6F7CB5" w14:textId="57AE8221" w:rsidR="00F55714" w:rsidRPr="00716DAF" w:rsidRDefault="00F55714" w:rsidP="004752E0">
      <w:pPr>
        <w:pStyle w:val="Heading3"/>
        <w:spacing w:before="240" w:after="240" w:line="240" w:lineRule="atLeast"/>
      </w:pPr>
      <w:r w:rsidRPr="00716DAF">
        <w:lastRenderedPageBreak/>
        <w:t xml:space="preserve">ARTICLE </w:t>
      </w:r>
      <w:r w:rsidRPr="00F10450">
        <w:t>11</w:t>
      </w:r>
      <w:r w:rsidRPr="00716DAF">
        <w:t>.</w:t>
      </w:r>
      <w:r w:rsidRPr="00F10450">
        <w:t>3</w:t>
      </w:r>
      <w:r w:rsidR="00AE4CB1" w:rsidRPr="00AE4CB1">
        <w:t xml:space="preserve"> – </w:t>
      </w:r>
      <w:r w:rsidRPr="00716DAF">
        <w:t>Right to regulate</w:t>
      </w:r>
    </w:p>
    <w:p w14:paraId="180083F2" w14:textId="77777777" w:rsidR="00F55714" w:rsidRPr="00716DAF" w:rsidRDefault="00F55714" w:rsidP="004752E0">
      <w:pPr>
        <w:spacing w:before="240" w:after="240" w:line="240" w:lineRule="atLeast"/>
        <w:rPr>
          <w:szCs w:val="24"/>
        </w:rPr>
      </w:pPr>
      <w:r w:rsidRPr="00716DAF">
        <w:rPr>
          <w:szCs w:val="24"/>
        </w:rPr>
        <w:t>The Parties reaffirm each Party's right to regulate within their territories in pursuit of legitimate public policy objectives, such as the protection of health, social services, public education, safety, the environment, including climate change, public morals, social or consumer protection, animal welfare, privacy and data protection, security of energy supply, the promotion and protection of cultural diversity and, in the case of Australia, the promotion and protection of the rights and interests of Australian First Nations peoples.</w:t>
      </w:r>
    </w:p>
    <w:p w14:paraId="73220467" w14:textId="16772513" w:rsidR="00F55714" w:rsidRPr="00716DAF" w:rsidRDefault="00F55714" w:rsidP="004752E0">
      <w:pPr>
        <w:pStyle w:val="Heading3"/>
        <w:spacing w:before="240" w:after="240" w:line="240" w:lineRule="atLeast"/>
      </w:pPr>
      <w:r w:rsidRPr="00716DAF">
        <w:t xml:space="preserve">ARTICLE </w:t>
      </w:r>
      <w:r w:rsidRPr="00F10450">
        <w:t>11</w:t>
      </w:r>
      <w:r w:rsidRPr="00716DAF">
        <w:t>.</w:t>
      </w:r>
      <w:r w:rsidRPr="00F10450">
        <w:t>4</w:t>
      </w:r>
      <w:r w:rsidR="00AE4CB1" w:rsidRPr="00AE4CB1">
        <w:t xml:space="preserve"> – </w:t>
      </w:r>
      <w:r w:rsidRPr="00716DAF">
        <w:t>Exceptions</w:t>
      </w:r>
    </w:p>
    <w:p w14:paraId="150B370C" w14:textId="77777777" w:rsidR="00C8433E" w:rsidRDefault="00F55714" w:rsidP="004752E0">
      <w:pPr>
        <w:spacing w:before="240" w:after="240" w:line="240" w:lineRule="atLeast"/>
        <w:rPr>
          <w:szCs w:val="24"/>
        </w:rPr>
      </w:pPr>
      <w:r w:rsidRPr="00716DAF">
        <w:rPr>
          <w:szCs w:val="24"/>
        </w:rPr>
        <w:t xml:space="preserve">For greater certainty, nothing in this Chapter prevents a Party from adopting or maintaining a measure that meets the requirements of Article </w:t>
      </w:r>
      <w:r w:rsidRPr="00F10450">
        <w:rPr>
          <w:szCs w:val="24"/>
        </w:rPr>
        <w:t>23</w:t>
      </w:r>
      <w:r w:rsidRPr="00716DAF">
        <w:rPr>
          <w:szCs w:val="24"/>
        </w:rPr>
        <w:t>.</w:t>
      </w:r>
      <w:r w:rsidRPr="00F10450">
        <w:rPr>
          <w:szCs w:val="24"/>
        </w:rPr>
        <w:t>1</w:t>
      </w:r>
      <w:r w:rsidRPr="00716DAF" w:rsidDel="00F52943">
        <w:rPr>
          <w:szCs w:val="24"/>
        </w:rPr>
        <w:t xml:space="preserve"> (General exceptions)</w:t>
      </w:r>
      <w:r w:rsidRPr="00716DAF">
        <w:rPr>
          <w:szCs w:val="24"/>
        </w:rPr>
        <w:t xml:space="preserve">, Article </w:t>
      </w:r>
      <w:r w:rsidRPr="00F10450">
        <w:rPr>
          <w:szCs w:val="24"/>
        </w:rPr>
        <w:t>23</w:t>
      </w:r>
      <w:r w:rsidRPr="00716DAF">
        <w:rPr>
          <w:szCs w:val="24"/>
        </w:rPr>
        <w:t>.</w:t>
      </w:r>
      <w:r w:rsidRPr="00F10450">
        <w:rPr>
          <w:szCs w:val="24"/>
        </w:rPr>
        <w:t>2</w:t>
      </w:r>
      <w:r w:rsidRPr="00716DAF">
        <w:rPr>
          <w:szCs w:val="24"/>
        </w:rPr>
        <w:t xml:space="preserve"> </w:t>
      </w:r>
      <w:r w:rsidRPr="00716DAF" w:rsidDel="00F52943">
        <w:rPr>
          <w:szCs w:val="24"/>
        </w:rPr>
        <w:t xml:space="preserve">(Security exceptions) </w:t>
      </w:r>
      <w:r w:rsidRPr="00716DAF">
        <w:rPr>
          <w:szCs w:val="24"/>
        </w:rPr>
        <w:t xml:space="preserve">or Article </w:t>
      </w:r>
      <w:r w:rsidRPr="00F10450">
        <w:rPr>
          <w:szCs w:val="24"/>
        </w:rPr>
        <w:t>9</w:t>
      </w:r>
      <w:r w:rsidRPr="00716DAF">
        <w:rPr>
          <w:szCs w:val="24"/>
        </w:rPr>
        <w:t>.</w:t>
      </w:r>
      <w:r w:rsidRPr="00F10450">
        <w:rPr>
          <w:szCs w:val="24"/>
        </w:rPr>
        <w:t>69</w:t>
      </w:r>
      <w:r w:rsidRPr="00716DAF">
        <w:rPr>
          <w:szCs w:val="24"/>
        </w:rPr>
        <w:t xml:space="preserve"> </w:t>
      </w:r>
      <w:r w:rsidRPr="00716DAF" w:rsidDel="00A7573B">
        <w:rPr>
          <w:szCs w:val="24"/>
        </w:rPr>
        <w:t>(Measures for prudential reasons</w:t>
      </w:r>
      <w:r w:rsidRPr="00716DAF">
        <w:rPr>
          <w:szCs w:val="24"/>
        </w:rPr>
        <w:t>).</w:t>
      </w:r>
    </w:p>
    <w:sectPr w:rsidR="00C8433E"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22BB5" w14:textId="77777777" w:rsidR="0087460B" w:rsidRDefault="0087460B">
      <w:r>
        <w:separator/>
      </w:r>
    </w:p>
  </w:endnote>
  <w:endnote w:type="continuationSeparator" w:id="0">
    <w:p w14:paraId="043D39AC" w14:textId="77777777" w:rsidR="0087460B" w:rsidRDefault="0087460B">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4FA0B" w14:textId="0151E0FE" w:rsidR="00AC320E" w:rsidRDefault="00AC320E">
    <w:pPr>
      <w:pStyle w:val="Footer"/>
    </w:pPr>
    <w:r>
      <w:rPr>
        <w:noProof/>
      </w:rPr>
      <mc:AlternateContent>
        <mc:Choice Requires="wps">
          <w:drawing>
            <wp:anchor distT="0" distB="0" distL="0" distR="0" simplePos="0" relativeHeight="251658241" behindDoc="0" locked="0" layoutInCell="1" allowOverlap="1" wp14:anchorId="3D313090" wp14:editId="56D84FE8">
              <wp:simplePos x="635" y="635"/>
              <wp:positionH relativeFrom="page">
                <wp:align>center</wp:align>
              </wp:positionH>
              <wp:positionV relativeFrom="page">
                <wp:align>bottom</wp:align>
              </wp:positionV>
              <wp:extent cx="622300" cy="469265"/>
              <wp:effectExtent l="0" t="0" r="6350" b="0"/>
              <wp:wrapNone/>
              <wp:docPr id="126249187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9024D3D" w14:textId="0859E3D2" w:rsidR="00AC320E" w:rsidRPr="00AC320E" w:rsidRDefault="00AC320E" w:rsidP="00AC320E">
                          <w:pPr>
                            <w:rPr>
                              <w:rFonts w:ascii="Aptos" w:eastAsia="Aptos" w:hAnsi="Aptos" w:cs="Aptos"/>
                              <w:noProof/>
                              <w:color w:val="FF0000"/>
                              <w:szCs w:val="24"/>
                            </w:rPr>
                          </w:pPr>
                          <w:r w:rsidRPr="00AC320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313090"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19024D3D" w14:textId="0859E3D2" w:rsidR="00AC320E" w:rsidRPr="00AC320E" w:rsidRDefault="00AC320E" w:rsidP="00AC320E">
                    <w:pPr>
                      <w:rPr>
                        <w:rFonts w:ascii="Aptos" w:eastAsia="Aptos" w:hAnsi="Aptos" w:cs="Aptos"/>
                        <w:noProof/>
                        <w:color w:val="FF0000"/>
                        <w:szCs w:val="24"/>
                      </w:rPr>
                    </w:pPr>
                    <w:r w:rsidRPr="00AC320E">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03EDD" w14:textId="3910B254" w:rsidR="00AE4CB1" w:rsidRDefault="004752E0" w:rsidP="004752E0">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FE5B5" w14:textId="598D65F5" w:rsidR="00AC320E" w:rsidRDefault="00AC320E">
    <w:pPr>
      <w:pStyle w:val="Footer"/>
    </w:pPr>
    <w:r>
      <w:rPr>
        <w:noProof/>
      </w:rPr>
      <mc:AlternateContent>
        <mc:Choice Requires="wps">
          <w:drawing>
            <wp:anchor distT="0" distB="0" distL="0" distR="0" simplePos="0" relativeHeight="251658243" behindDoc="0" locked="0" layoutInCell="1" allowOverlap="1" wp14:anchorId="208D5853" wp14:editId="3C7FA246">
              <wp:simplePos x="635" y="635"/>
              <wp:positionH relativeFrom="page">
                <wp:align>center</wp:align>
              </wp:positionH>
              <wp:positionV relativeFrom="page">
                <wp:align>bottom</wp:align>
              </wp:positionV>
              <wp:extent cx="622300" cy="469265"/>
              <wp:effectExtent l="0" t="0" r="6350" b="0"/>
              <wp:wrapNone/>
              <wp:docPr id="202722695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6D641A7" w14:textId="34A15ABE" w:rsidR="00AC320E" w:rsidRPr="00AC320E" w:rsidRDefault="00AC320E" w:rsidP="00AC320E">
                          <w:pPr>
                            <w:rPr>
                              <w:rFonts w:ascii="Aptos" w:eastAsia="Aptos" w:hAnsi="Aptos" w:cs="Aptos"/>
                              <w:noProof/>
                              <w:color w:val="FF0000"/>
                              <w:szCs w:val="24"/>
                            </w:rPr>
                          </w:pPr>
                          <w:r w:rsidRPr="00AC320E">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8D5853"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16D641A7" w14:textId="34A15ABE" w:rsidR="00AC320E" w:rsidRPr="00AC320E" w:rsidRDefault="00AC320E" w:rsidP="00AC320E">
                    <w:pPr>
                      <w:rPr>
                        <w:rFonts w:ascii="Aptos" w:eastAsia="Aptos" w:hAnsi="Aptos" w:cs="Aptos"/>
                        <w:noProof/>
                        <w:color w:val="FF0000"/>
                        <w:szCs w:val="24"/>
                      </w:rPr>
                    </w:pPr>
                    <w:r w:rsidRPr="00AC320E">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0E66E" w14:textId="77777777" w:rsidR="0087460B" w:rsidRDefault="0087460B">
      <w:pPr>
        <w:pStyle w:val="FootnoteText"/>
      </w:pPr>
      <w:r>
        <w:separator/>
      </w:r>
    </w:p>
  </w:footnote>
  <w:footnote w:type="continuationSeparator" w:id="0">
    <w:p w14:paraId="4E52097A" w14:textId="77777777" w:rsidR="0087460B" w:rsidRDefault="0087460B">
      <w:pPr>
        <w:pStyle w:val="FootnoteText"/>
      </w:pPr>
      <w:r>
        <w:separator/>
      </w:r>
    </w:p>
  </w:footnote>
  <w:footnote w:id="1">
    <w:p w14:paraId="6DE8C9FA" w14:textId="77777777"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In the Union, natural persons use electronic signatures and juridical persons use electronic seals.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23F9" w14:textId="7CE1B37B" w:rsidR="00AC320E" w:rsidRDefault="00AC320E">
    <w:pPr>
      <w:pStyle w:val="Header"/>
    </w:pPr>
    <w:r>
      <w:rPr>
        <w:noProof/>
      </w:rPr>
      <mc:AlternateContent>
        <mc:Choice Requires="wps">
          <w:drawing>
            <wp:anchor distT="0" distB="0" distL="0" distR="0" simplePos="0" relativeHeight="251658240" behindDoc="0" locked="0" layoutInCell="1" allowOverlap="1" wp14:anchorId="79AF7B21" wp14:editId="5990C9C6">
              <wp:simplePos x="635" y="635"/>
              <wp:positionH relativeFrom="page">
                <wp:align>center</wp:align>
              </wp:positionH>
              <wp:positionV relativeFrom="page">
                <wp:align>top</wp:align>
              </wp:positionV>
              <wp:extent cx="622300" cy="469265"/>
              <wp:effectExtent l="0" t="0" r="6350" b="6985"/>
              <wp:wrapNone/>
              <wp:docPr id="138888429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DF418FC" w14:textId="486F7FF2" w:rsidR="00AC320E" w:rsidRPr="00AC320E" w:rsidRDefault="00AC320E" w:rsidP="00AC320E">
                          <w:pPr>
                            <w:rPr>
                              <w:rFonts w:ascii="Aptos" w:eastAsia="Aptos" w:hAnsi="Aptos" w:cs="Aptos"/>
                              <w:noProof/>
                              <w:color w:val="FF0000"/>
                              <w:szCs w:val="24"/>
                            </w:rPr>
                          </w:pPr>
                          <w:r w:rsidRPr="00AC320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AF7B21"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6DF418FC" w14:textId="486F7FF2" w:rsidR="00AC320E" w:rsidRPr="00AC320E" w:rsidRDefault="00AC320E" w:rsidP="00AC320E">
                    <w:pPr>
                      <w:rPr>
                        <w:rFonts w:ascii="Aptos" w:eastAsia="Aptos" w:hAnsi="Aptos" w:cs="Aptos"/>
                        <w:noProof/>
                        <w:color w:val="FF0000"/>
                        <w:szCs w:val="24"/>
                      </w:rPr>
                    </w:pPr>
                    <w:r w:rsidRPr="00AC320E">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3F93" w14:textId="77777777" w:rsidR="004752E0" w:rsidRDefault="004752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3F11" w14:textId="465AF828" w:rsidR="00AC320E" w:rsidRDefault="00AC320E">
    <w:pPr>
      <w:pStyle w:val="Header"/>
    </w:pPr>
    <w:r>
      <w:rPr>
        <w:noProof/>
      </w:rPr>
      <mc:AlternateContent>
        <mc:Choice Requires="wps">
          <w:drawing>
            <wp:anchor distT="0" distB="0" distL="0" distR="0" simplePos="0" relativeHeight="251658242" behindDoc="0" locked="0" layoutInCell="1" allowOverlap="1" wp14:anchorId="2AEEE582" wp14:editId="342664A7">
              <wp:simplePos x="635" y="635"/>
              <wp:positionH relativeFrom="page">
                <wp:align>center</wp:align>
              </wp:positionH>
              <wp:positionV relativeFrom="page">
                <wp:align>top</wp:align>
              </wp:positionV>
              <wp:extent cx="622300" cy="469265"/>
              <wp:effectExtent l="0" t="0" r="6350" b="6985"/>
              <wp:wrapNone/>
              <wp:docPr id="37324592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CB5B80F" w14:textId="3262C8C1" w:rsidR="00AC320E" w:rsidRPr="00AC320E" w:rsidRDefault="00AC320E" w:rsidP="00AC320E">
                          <w:pPr>
                            <w:rPr>
                              <w:rFonts w:ascii="Aptos" w:eastAsia="Aptos" w:hAnsi="Aptos" w:cs="Aptos"/>
                              <w:noProof/>
                              <w:color w:val="FF0000"/>
                              <w:szCs w:val="24"/>
                            </w:rPr>
                          </w:pPr>
                          <w:r w:rsidRPr="00AC320E">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EEE582"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0CB5B80F" w14:textId="3262C8C1" w:rsidR="00AC320E" w:rsidRPr="00AC320E" w:rsidRDefault="00AC320E" w:rsidP="00AC320E">
                    <w:pPr>
                      <w:rPr>
                        <w:rFonts w:ascii="Aptos" w:eastAsia="Aptos" w:hAnsi="Aptos" w:cs="Aptos"/>
                        <w:noProof/>
                        <w:color w:val="FF0000"/>
                        <w:szCs w:val="24"/>
                      </w:rPr>
                    </w:pPr>
                    <w:r w:rsidRPr="00AC320E">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54DFC"/>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752E0"/>
    <w:rsid w:val="004861ED"/>
    <w:rsid w:val="0048636D"/>
    <w:rsid w:val="00490932"/>
    <w:rsid w:val="00491ACF"/>
    <w:rsid w:val="00491C37"/>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32A1F"/>
    <w:rsid w:val="00847E17"/>
    <w:rsid w:val="008515A7"/>
    <w:rsid w:val="00853B46"/>
    <w:rsid w:val="0087460B"/>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C320E"/>
    <w:rsid w:val="00AD020C"/>
    <w:rsid w:val="00AE4CB1"/>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2F37"/>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1973"/>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AE4CB1"/>
    <w:pPr>
      <w:jc w:val="center"/>
      <w:outlineLvl w:val="0"/>
    </w:pPr>
    <w:rPr>
      <w:szCs w:val="24"/>
      <w:lang w:val="en-US"/>
    </w:rPr>
  </w:style>
  <w:style w:type="paragraph" w:styleId="Heading2">
    <w:name w:val="heading 2"/>
    <w:basedOn w:val="Normal"/>
    <w:next w:val="Normal"/>
    <w:link w:val="Heading2Char"/>
    <w:uiPriority w:val="9"/>
    <w:qFormat/>
    <w:rsid w:val="00AE4CB1"/>
    <w:pPr>
      <w:jc w:val="center"/>
      <w:outlineLvl w:val="1"/>
    </w:pPr>
    <w:rPr>
      <w:szCs w:val="24"/>
      <w:lang w:val="en-US"/>
    </w:rPr>
  </w:style>
  <w:style w:type="paragraph" w:styleId="Heading3">
    <w:name w:val="heading 3"/>
    <w:basedOn w:val="Normal"/>
    <w:next w:val="Normal"/>
    <w:link w:val="Heading3Char"/>
    <w:uiPriority w:val="9"/>
    <w:qFormat/>
    <w:rsid w:val="00AE4CB1"/>
    <w:pPr>
      <w:jc w:val="center"/>
      <w:outlineLvl w:val="2"/>
    </w:pPr>
    <w:rPr>
      <w:szCs w:val="24"/>
      <w:lang w:val="en-US"/>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AE4CB1"/>
    <w:rPr>
      <w:sz w:val="24"/>
      <w:szCs w:val="24"/>
      <w:lang w:val="en-US" w:eastAsia="fr-BE"/>
    </w:rPr>
  </w:style>
  <w:style w:type="character" w:customStyle="1" w:styleId="Heading2Char">
    <w:name w:val="Heading 2 Char"/>
    <w:basedOn w:val="DefaultParagraphFont"/>
    <w:link w:val="Heading2"/>
    <w:uiPriority w:val="9"/>
    <w:rsid w:val="00AE4CB1"/>
    <w:rPr>
      <w:sz w:val="24"/>
      <w:szCs w:val="24"/>
      <w:lang w:val="en-US" w:eastAsia="fr-BE"/>
    </w:rPr>
  </w:style>
  <w:style w:type="character" w:customStyle="1" w:styleId="Heading3Char">
    <w:name w:val="Heading 3 Char"/>
    <w:basedOn w:val="DefaultParagraphFont"/>
    <w:link w:val="Heading3"/>
    <w:uiPriority w:val="9"/>
    <w:rsid w:val="00AE4CB1"/>
    <w:rPr>
      <w:sz w:val="24"/>
      <w:szCs w:val="24"/>
      <w:lang w:val="en-US"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CAF7C-C02B-46B7-89A2-261B182A75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7E18A3-6526-4406-BCCE-C2F5FE7DDFB9}">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3EA4D590-34FF-4850-8FED-81FFFA963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636</Words>
  <Characters>3590</Characters>
  <Application>Microsoft Office Word</Application>
  <DocSecurity>0</DocSecurity>
  <Lines>61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11 Section A General Provisions</dc:title>
  <dc:subject/>
  <dc:creator/>
  <cp:keywords/>
  <cp:lastModifiedBy/>
  <cp:revision>1</cp:revision>
  <dcterms:created xsi:type="dcterms:W3CDTF">2026-10-02T06:46:00Z</dcterms:created>
  <dcterms:modified xsi:type="dcterms:W3CDTF">2026-10-08T00:40:00Z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78d5074f,4b4018e7,6d2b766e</vt:lpwstr>
  </property>
  <property fmtid="{D5CDD505-2E9C-101B-9397-08002B2CF9AE}" pid="7" name="ClassificationContentMarkingHeaderShapeIds">
    <vt:lpwstr>163f47e9,52c8b145,9685b9e</vt:lpwstr>
  </property>
  <property fmtid="{D5CDD505-2E9C-101B-9397-08002B2CF9AE}" pid="8" name="ClassificationContentMarkingFooterFontProps">
    <vt:lpwstr>#ff0000,12,Aptos</vt:lpwstr>
  </property>
</Properties>
</file>