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B067" w14:textId="044AE028" w:rsidR="006A6501" w:rsidRPr="00E56A41" w:rsidRDefault="006A6501" w:rsidP="00026E68">
      <w:pPr>
        <w:pStyle w:val="Heading1"/>
        <w:keepNext w:val="0"/>
        <w:widowControl w:val="0"/>
        <w:spacing w:before="240" w:after="240" w:line="240" w:lineRule="atLeast"/>
        <w:jc w:val="center"/>
        <w:rPr>
          <w:bCs/>
          <w:smallCaps w:val="0"/>
          <w:u w:val="single"/>
        </w:rPr>
      </w:pPr>
      <w:r w:rsidRPr="00E56A41">
        <w:rPr>
          <w:bCs/>
          <w:smallCaps w:val="0"/>
          <w:u w:val="single"/>
        </w:rPr>
        <w:t>ANNEX 9-A</w:t>
      </w:r>
      <w:r w:rsidR="005E11AA" w:rsidRPr="00E56A41">
        <w:rPr>
          <w:bCs/>
          <w:smallCaps w:val="0"/>
          <w:u w:val="single"/>
        </w:rPr>
        <w:t xml:space="preserve"> - </w:t>
      </w:r>
      <w:r w:rsidRPr="00E56A41">
        <w:rPr>
          <w:bCs/>
          <w:smallCaps w:val="0"/>
          <w:u w:val="single"/>
        </w:rPr>
        <w:t>MOVEMENT OF NATURAL PERSONS FOR BUSINESS PURPOSES</w:t>
      </w:r>
    </w:p>
    <w:p w14:paraId="408E78F4" w14:textId="2762A4C4" w:rsidR="006A6501" w:rsidRPr="005E11AA" w:rsidRDefault="006A6501" w:rsidP="00026E68">
      <w:pPr>
        <w:pStyle w:val="Heading2"/>
        <w:spacing w:before="240" w:after="240" w:line="240" w:lineRule="atLeast"/>
      </w:pPr>
      <w:r w:rsidRPr="005E11AA">
        <w:t>ARTICLE 1</w:t>
      </w:r>
      <w:r w:rsidR="005E11AA" w:rsidRPr="005E11AA">
        <w:t xml:space="preserve"> - </w:t>
      </w:r>
      <w:r w:rsidRPr="005E11AA">
        <w:t>Temporary entry-related procedural commitments</w:t>
      </w:r>
    </w:p>
    <w:p w14:paraId="397F2C21" w14:textId="77777777" w:rsidR="006A6501" w:rsidRPr="00937F81" w:rsidRDefault="006A6501" w:rsidP="00026E68">
      <w:pPr>
        <w:spacing w:before="240" w:after="240" w:line="240" w:lineRule="atLeast"/>
        <w:rPr>
          <w:color w:val="0D0D0D" w:themeColor="text1" w:themeTint="F2"/>
        </w:rPr>
      </w:pPr>
      <w:r w:rsidRPr="00937F81">
        <w:t xml:space="preserve">Each Party should ensure that the processing of applications for temporary entry pursuant to their respective commitments in this Agreement </w:t>
      </w:r>
      <w:r w:rsidRPr="00937F81">
        <w:rPr>
          <w:color w:val="0D0D0D" w:themeColor="text1" w:themeTint="F2"/>
        </w:rPr>
        <w:t>follows good administrative practice. To that effect:</w:t>
      </w:r>
    </w:p>
    <w:p w14:paraId="7217D64E" w14:textId="77777777" w:rsidR="006A6501" w:rsidRPr="00937F81" w:rsidRDefault="006A6501" w:rsidP="00026E68">
      <w:pPr>
        <w:spacing w:before="240" w:after="240" w:line="240" w:lineRule="atLeast"/>
        <w:ind w:left="567" w:hanging="567"/>
        <w:rPr>
          <w:color w:val="0D0D0D" w:themeColor="text1" w:themeTint="F2"/>
        </w:rPr>
      </w:pPr>
      <w:r w:rsidRPr="00937F81">
        <w:rPr>
          <w:color w:val="0D0D0D" w:themeColor="text1" w:themeTint="F2"/>
        </w:rPr>
        <w:t>(a)</w:t>
      </w:r>
      <w:r w:rsidRPr="00937F81">
        <w:rPr>
          <w:color w:val="0D0D0D" w:themeColor="text1" w:themeTint="F2"/>
        </w:rPr>
        <w:tab/>
      </w:r>
      <w:bookmarkStart w:id="0" w:name="_Hlk219699851"/>
      <w:bookmarkStart w:id="1" w:name="_Hlk66351738"/>
      <w:r w:rsidRPr="00937F81">
        <w:rPr>
          <w:color w:val="0D0D0D" w:themeColor="text1" w:themeTint="F2"/>
        </w:rPr>
        <w:t xml:space="preserve">each Party </w:t>
      </w:r>
      <w:bookmarkEnd w:id="0"/>
      <w:r w:rsidRPr="00937F81">
        <w:rPr>
          <w:color w:val="0D0D0D" w:themeColor="text1" w:themeTint="F2"/>
        </w:rPr>
        <w:t>shall ensure that fees charged by its competent authorities for the processing of applications for temporary entry are reasonable, in that they do not unduly impair or delay trade in services or conduct of investment activities under this Agreement;</w:t>
      </w:r>
    </w:p>
    <w:bookmarkEnd w:id="1"/>
    <w:p w14:paraId="724254A8" w14:textId="77777777" w:rsidR="006A6501" w:rsidRPr="00937F81" w:rsidRDefault="006A6501" w:rsidP="00026E68">
      <w:pPr>
        <w:spacing w:before="240" w:after="240" w:line="240" w:lineRule="atLeast"/>
        <w:ind w:left="567" w:hanging="567"/>
      </w:pPr>
      <w:r w:rsidRPr="00937F81">
        <w:rPr>
          <w:color w:val="0D0D0D" w:themeColor="text1" w:themeTint="F2"/>
        </w:rPr>
        <w:t>(b)</w:t>
      </w:r>
      <w:r w:rsidRPr="00937F81">
        <w:rPr>
          <w:color w:val="0D0D0D" w:themeColor="text1" w:themeTint="F2"/>
        </w:rPr>
        <w:tab/>
        <w:t xml:space="preserve">subject to the competent authorities' discretion, documents required from the applicant </w:t>
      </w:r>
      <w:r w:rsidRPr="00937F81">
        <w:t>for an application</w:t>
      </w:r>
      <w:r w:rsidRPr="00937F81">
        <w:rPr>
          <w:color w:val="FF0000"/>
        </w:rPr>
        <w:t xml:space="preserve"> </w:t>
      </w:r>
      <w:r w:rsidRPr="00937F81">
        <w:rPr>
          <w:color w:val="0D0D0D" w:themeColor="text1" w:themeTint="F2"/>
        </w:rPr>
        <w:t xml:space="preserve">for the grant of temporary entry of short-term visitors for business purposes should be commensurate with the purpose for which </w:t>
      </w:r>
      <w:r w:rsidRPr="00937F81">
        <w:t>they are required;</w:t>
      </w:r>
    </w:p>
    <w:p w14:paraId="7B360DED" w14:textId="77777777" w:rsidR="006A6501" w:rsidRPr="00937F81" w:rsidRDefault="006A6501" w:rsidP="00026E68">
      <w:pPr>
        <w:spacing w:before="240" w:after="240" w:line="240" w:lineRule="atLeast"/>
        <w:ind w:left="567" w:hanging="567"/>
        <w:rPr>
          <w:color w:val="0D0D0D" w:themeColor="text1" w:themeTint="F2"/>
        </w:rPr>
      </w:pPr>
      <w:r w:rsidRPr="00937F81">
        <w:rPr>
          <w:color w:val="0D0D0D" w:themeColor="text1" w:themeTint="F2"/>
        </w:rPr>
        <w:t>(c)</w:t>
      </w:r>
      <w:r w:rsidRPr="00937F81">
        <w:rPr>
          <w:color w:val="0D0D0D" w:themeColor="text1" w:themeTint="F2"/>
        </w:rPr>
        <w:tab/>
        <w:t>complete applications for the grant of temporary entry shall be processed as expeditiously as possible;</w:t>
      </w:r>
    </w:p>
    <w:p w14:paraId="046E2659" w14:textId="77777777" w:rsidR="006A6501" w:rsidRPr="00937F81" w:rsidRDefault="006A6501" w:rsidP="00026E68">
      <w:pPr>
        <w:spacing w:before="240" w:after="240" w:line="240" w:lineRule="atLeast"/>
        <w:ind w:left="567" w:hanging="567"/>
        <w:rPr>
          <w:color w:val="0D0D0D" w:themeColor="text1" w:themeTint="F2"/>
        </w:rPr>
      </w:pPr>
      <w:r w:rsidRPr="00937F81">
        <w:rPr>
          <w:color w:val="0D0D0D" w:themeColor="text1" w:themeTint="F2"/>
        </w:rPr>
        <w:t>(d)</w:t>
      </w:r>
      <w:r w:rsidRPr="00937F81">
        <w:rPr>
          <w:color w:val="0D0D0D" w:themeColor="text1" w:themeTint="F2"/>
        </w:rPr>
        <w:tab/>
        <w:t>the competent authorities of a Party shall endeavour to provide, without undue delay, information in response to any reasonable request from an applicant concerning the status of an application;</w:t>
      </w:r>
    </w:p>
    <w:p w14:paraId="20D2E9D4" w14:textId="77777777" w:rsidR="006A6501" w:rsidRPr="00937F81" w:rsidRDefault="006A6501" w:rsidP="00026E68">
      <w:pPr>
        <w:spacing w:before="240" w:after="240" w:line="240" w:lineRule="atLeast"/>
        <w:ind w:left="567" w:hanging="567"/>
      </w:pPr>
      <w:r w:rsidRPr="00937F81">
        <w:rPr>
          <w:color w:val="0D0D0D" w:themeColor="text1" w:themeTint="F2"/>
        </w:rPr>
        <w:t>(e)</w:t>
      </w:r>
      <w:r w:rsidRPr="00937F81">
        <w:rPr>
          <w:color w:val="0D0D0D" w:themeColor="text1" w:themeTint="F2"/>
        </w:rPr>
        <w:tab/>
        <w:t xml:space="preserve">if the competent authorities of a Party require additional information from the applicant </w:t>
      </w:r>
      <w:proofErr w:type="gramStart"/>
      <w:r w:rsidRPr="00937F81">
        <w:rPr>
          <w:color w:val="0D0D0D" w:themeColor="text1" w:themeTint="F2"/>
        </w:rPr>
        <w:t>in order to</w:t>
      </w:r>
      <w:proofErr w:type="gramEnd"/>
      <w:r w:rsidRPr="00937F81">
        <w:rPr>
          <w:color w:val="0D0D0D" w:themeColor="text1" w:themeTint="F2"/>
        </w:rPr>
        <w:t xml:space="preserve"> process the application, they shall endeavour to </w:t>
      </w:r>
      <w:r w:rsidRPr="00937F81">
        <w:t>notify the applicant without undue delay;</w:t>
      </w:r>
    </w:p>
    <w:p w14:paraId="67D4AF83" w14:textId="77777777" w:rsidR="006A6501" w:rsidRPr="00937F81" w:rsidRDefault="006A6501" w:rsidP="00026E68">
      <w:pPr>
        <w:spacing w:before="240" w:after="240" w:line="240" w:lineRule="atLeast"/>
        <w:ind w:left="567" w:hanging="567"/>
        <w:rPr>
          <w:color w:val="0D0D0D" w:themeColor="text1" w:themeTint="F2"/>
        </w:rPr>
      </w:pPr>
      <w:r w:rsidRPr="00937F81">
        <w:rPr>
          <w:color w:val="0D0D0D" w:themeColor="text1" w:themeTint="F2"/>
        </w:rPr>
        <w:t>(f)</w:t>
      </w:r>
      <w:r w:rsidRPr="00937F81">
        <w:rPr>
          <w:color w:val="0D0D0D" w:themeColor="text1" w:themeTint="F2"/>
        </w:rPr>
        <w:tab/>
        <w:t>the competent authorities of each Party shall notify the applicant of the outcome of the application promptly after a decision has been taken;</w:t>
      </w:r>
    </w:p>
    <w:p w14:paraId="65C69356" w14:textId="77777777" w:rsidR="006A6501" w:rsidRPr="00937F81" w:rsidRDefault="006A6501" w:rsidP="00026E68">
      <w:pPr>
        <w:spacing w:before="240" w:after="240" w:line="240" w:lineRule="atLeast"/>
        <w:ind w:left="567" w:hanging="567"/>
        <w:rPr>
          <w:color w:val="0D0D0D" w:themeColor="text1" w:themeTint="F2"/>
        </w:rPr>
      </w:pPr>
      <w:r w:rsidRPr="00937F81">
        <w:rPr>
          <w:color w:val="0D0D0D" w:themeColor="text1" w:themeTint="F2"/>
        </w:rPr>
        <w:t>(g)</w:t>
      </w:r>
      <w:r w:rsidRPr="00937F81">
        <w:rPr>
          <w:color w:val="0D0D0D" w:themeColor="text1" w:themeTint="F2"/>
        </w:rPr>
        <w:tab/>
        <w:t>if the application is approved, the competent authorities of each Party shall notify the applicant of the period of stay and other relevant terms and conditions;</w:t>
      </w:r>
    </w:p>
    <w:p w14:paraId="7882ED4B" w14:textId="77777777" w:rsidR="006A6501" w:rsidRPr="00937F81" w:rsidRDefault="006A6501" w:rsidP="00026E68">
      <w:pPr>
        <w:spacing w:before="240" w:after="240" w:line="240" w:lineRule="atLeast"/>
        <w:ind w:left="567" w:hanging="567"/>
      </w:pPr>
      <w:r w:rsidRPr="00937F81">
        <w:rPr>
          <w:color w:val="0D0D0D" w:themeColor="text1" w:themeTint="F2"/>
        </w:rPr>
        <w:t>(h)</w:t>
      </w:r>
      <w:r w:rsidRPr="00937F81">
        <w:rPr>
          <w:color w:val="0D0D0D" w:themeColor="text1" w:themeTint="F2"/>
        </w:rPr>
        <w:tab/>
        <w:t xml:space="preserve">if the application is denied, the competent authorities of a Party shall, upon request or upon their own initiative make available to the applicant information on any available administrative </w:t>
      </w:r>
      <w:r w:rsidRPr="00937F81">
        <w:t>review; and</w:t>
      </w:r>
    </w:p>
    <w:p w14:paraId="11D981AB" w14:textId="34B9890A" w:rsidR="00026E68" w:rsidRDefault="006A6501" w:rsidP="00026E68">
      <w:pPr>
        <w:spacing w:before="240" w:after="240" w:line="240" w:lineRule="atLeast"/>
        <w:ind w:left="567" w:hanging="567"/>
        <w:rPr>
          <w:color w:val="0D0D0D" w:themeColor="text1" w:themeTint="F2"/>
        </w:rPr>
      </w:pPr>
      <w:r w:rsidRPr="00937F81">
        <w:rPr>
          <w:color w:val="0D0D0D" w:themeColor="text1" w:themeTint="F2"/>
        </w:rPr>
        <w:t>(</w:t>
      </w:r>
      <w:proofErr w:type="spellStart"/>
      <w:r w:rsidRPr="00937F81">
        <w:rPr>
          <w:color w:val="0D0D0D" w:themeColor="text1" w:themeTint="F2"/>
        </w:rPr>
        <w:t>i</w:t>
      </w:r>
      <w:proofErr w:type="spellEnd"/>
      <w:r w:rsidRPr="00937F81">
        <w:rPr>
          <w:color w:val="0D0D0D" w:themeColor="text1" w:themeTint="F2"/>
        </w:rPr>
        <w:t>)</w:t>
      </w:r>
      <w:r w:rsidRPr="00937F81">
        <w:tab/>
        <w:t xml:space="preserve">each Party shall </w:t>
      </w:r>
      <w:r w:rsidRPr="00937F81">
        <w:rPr>
          <w:color w:val="0D0D0D" w:themeColor="text1" w:themeTint="F2"/>
        </w:rPr>
        <w:t>endeavour to accept and process applications in electronic format.</w:t>
      </w:r>
      <w:r w:rsidR="00026E68">
        <w:rPr>
          <w:color w:val="0D0D0D" w:themeColor="text1" w:themeTint="F2"/>
        </w:rPr>
        <w:br w:type="page"/>
      </w:r>
    </w:p>
    <w:p w14:paraId="4CDC7961" w14:textId="190B72E0" w:rsidR="006A6501" w:rsidRPr="00937F81" w:rsidRDefault="006A6501" w:rsidP="00026E68">
      <w:pPr>
        <w:pStyle w:val="Heading2"/>
        <w:spacing w:before="240" w:after="240" w:line="240" w:lineRule="atLeast"/>
      </w:pPr>
      <w:r w:rsidRPr="00937F81">
        <w:lastRenderedPageBreak/>
        <w:t>ARTICLE 2</w:t>
      </w:r>
      <w:r w:rsidR="005E11AA">
        <w:t xml:space="preserve"> - </w:t>
      </w:r>
      <w:r w:rsidRPr="00937F81">
        <w:t xml:space="preserve">Additional procedural commitments applying to intra-corporate transferees </w:t>
      </w:r>
      <w:r w:rsidRPr="00937F81">
        <w:br/>
        <w:t>and their family members</w:t>
      </w:r>
      <w:r w:rsidRPr="005E11AA">
        <w:rPr>
          <w:b/>
        </w:rPr>
        <w:footnoteReference w:id="1"/>
      </w:r>
    </w:p>
    <w:p w14:paraId="6ADCC0A9" w14:textId="77777777" w:rsidR="006A6501" w:rsidRPr="00937F81" w:rsidRDefault="006A6501" w:rsidP="00026E68">
      <w:pPr>
        <w:spacing w:before="240" w:after="240" w:line="240" w:lineRule="atLeast"/>
      </w:pPr>
      <w:r w:rsidRPr="00937F81">
        <w:t>The Union shall extend to family members of natural persons of Australia who are intra-corporate transferees to the Union, the right of temporary entry and stay granted to family members of an intra-corporate transferee under Article 19 of the</w:t>
      </w:r>
      <w:r w:rsidRPr="00937F81">
        <w:rPr>
          <w:rFonts w:eastAsia="MS Mincho"/>
          <w:lang w:eastAsia="en-GB"/>
        </w:rPr>
        <w:t xml:space="preserve"> Directive 2014/66/EU.</w:t>
      </w:r>
    </w:p>
    <w:p w14:paraId="0A3DFA84" w14:textId="166DC6F5" w:rsidR="006A6501" w:rsidRPr="00937F81" w:rsidRDefault="006A6501" w:rsidP="00026E68">
      <w:pPr>
        <w:spacing w:before="240" w:after="240" w:line="240" w:lineRule="atLeast"/>
        <w:jc w:val="center"/>
      </w:pPr>
      <w:r w:rsidRPr="00937F81">
        <w:t>_______________</w:t>
      </w:r>
    </w:p>
    <w:sectPr w:rsidR="006A6501" w:rsidRPr="00937F81" w:rsidSect="00F14842">
      <w:headerReference w:type="even" r:id="rId11"/>
      <w:headerReference w:type="default" r:id="rId12"/>
      <w:footerReference w:type="even" r:id="rId13"/>
      <w:footerReference w:type="default" r:id="rId14"/>
      <w:headerReference w:type="first" r:id="rId15"/>
      <w:footerReference w:type="first" r:id="rId16"/>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E5A49" w14:textId="77777777" w:rsidR="004F1A35" w:rsidRDefault="004F1A35">
      <w:r>
        <w:separator/>
      </w:r>
    </w:p>
  </w:endnote>
  <w:endnote w:type="continuationSeparator" w:id="0">
    <w:p w14:paraId="61107245" w14:textId="77777777" w:rsidR="004F1A35" w:rsidRDefault="004F1A3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EC03B" w14:textId="7D898EC9" w:rsidR="006A6501" w:rsidRDefault="00401529">
    <w:pPr>
      <w:pStyle w:val="Footer"/>
    </w:pPr>
    <w:r>
      <w:rPr>
        <w:noProof/>
      </w:rPr>
      <mc:AlternateContent>
        <mc:Choice Requires="wps">
          <w:drawing>
            <wp:anchor distT="0" distB="0" distL="0" distR="0" simplePos="0" relativeHeight="251658251" behindDoc="0" locked="0" layoutInCell="1" allowOverlap="1" wp14:anchorId="2137C269" wp14:editId="63A2119E">
              <wp:simplePos x="635" y="635"/>
              <wp:positionH relativeFrom="page">
                <wp:align>center</wp:align>
              </wp:positionH>
              <wp:positionV relativeFrom="page">
                <wp:align>bottom</wp:align>
              </wp:positionV>
              <wp:extent cx="622300" cy="469265"/>
              <wp:effectExtent l="0" t="0" r="6350" b="0"/>
              <wp:wrapNone/>
              <wp:docPr id="61506833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E90DB71" w14:textId="563F521F" w:rsidR="00401529" w:rsidRPr="00401529" w:rsidRDefault="00401529" w:rsidP="00401529">
                          <w:pPr>
                            <w:rPr>
                              <w:rFonts w:ascii="Aptos" w:eastAsia="Aptos" w:hAnsi="Aptos" w:cs="Aptos"/>
                              <w:noProof/>
                              <w:color w:val="FF0000"/>
                              <w:szCs w:val="24"/>
                            </w:rPr>
                          </w:pPr>
                          <w:r w:rsidRPr="00401529">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7C269" id="_x0000_t202" coordsize="21600,21600" o:spt="202" path="m,l,21600r21600,l21600,xe">
              <v:stroke joinstyle="miter"/>
              <v:path gradientshapeok="t" o:connecttype="rect"/>
            </v:shapetype>
            <v:shape id="Text Box 12" o:spid="_x0000_s1028" type="#_x0000_t202" alt="OFFICIAL" style="position:absolute;margin-left:0;margin-top:0;width:49pt;height:36.9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" filled="f" stroked="f">
              <v:textbox style="mso-fit-shape-to-text:t" inset="0,0,0,15pt">
                <w:txbxContent>
                  <w:p w14:paraId="3E90DB71" w14:textId="563F521F" w:rsidR="00401529" w:rsidRPr="00401529" w:rsidRDefault="00401529" w:rsidP="00401529">
                    <w:pPr>
                      <w:rPr>
                        <w:rFonts w:ascii="Aptos" w:eastAsia="Aptos" w:hAnsi="Aptos" w:cs="Aptos"/>
                        <w:noProof/>
                        <w:color w:val="FF0000"/>
                        <w:szCs w:val="24"/>
                      </w:rPr>
                    </w:pPr>
                    <w:r w:rsidRPr="00401529">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0661383"/>
      <w:docPartObj>
        <w:docPartGallery w:val="Page Numbers (Bottom of Page)"/>
        <w:docPartUnique/>
      </w:docPartObj>
    </w:sdtPr>
    <w:sdtEndPr>
      <w:rPr>
        <w:noProof/>
      </w:rPr>
    </w:sdtEndPr>
    <w:sdtContent>
      <w:p w14:paraId="255F40BD" w14:textId="3726E162" w:rsidR="005E11AA" w:rsidRDefault="005E11A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C95037" w14:textId="7917E954" w:rsidR="006A6501" w:rsidRPr="005846A5" w:rsidRDefault="006A6501" w:rsidP="005846A5">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9CE51" w14:textId="3E884073" w:rsidR="00E93AFB" w:rsidRDefault="00E93AFB" w:rsidP="00E93AFB">
    <w:pPr>
      <w:pStyle w:val="Footer"/>
    </w:pPr>
  </w:p>
  <w:p w14:paraId="7BAF718A" w14:textId="0C1D401E" w:rsidR="006A6501" w:rsidRDefault="005E11AA" w:rsidP="00E93AFB">
    <w:pPr>
      <w:pStyle w:val="Footer"/>
      <w:jc w:val="center"/>
    </w:pPr>
    <w:r>
      <w:rPr>
        <w:noProof/>
      </w:rPr>
      <mc:AlternateContent>
        <mc:Choice Requires="wps">
          <w:drawing>
            <wp:anchor distT="0" distB="0" distL="0" distR="0" simplePos="0" relativeHeight="251658250" behindDoc="0" locked="0" layoutInCell="1" allowOverlap="1" wp14:anchorId="702B0903" wp14:editId="59316530">
              <wp:simplePos x="0" y="0"/>
              <wp:positionH relativeFrom="page">
                <wp:posOffset>3962400</wp:posOffset>
              </wp:positionH>
              <wp:positionV relativeFrom="page">
                <wp:align>bottom</wp:align>
              </wp:positionV>
              <wp:extent cx="622300" cy="469265"/>
              <wp:effectExtent l="0" t="0" r="9525" b="0"/>
              <wp:wrapNone/>
              <wp:docPr id="37725133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D6723DA" w14:textId="5703B54F" w:rsidR="00401529" w:rsidRPr="00401529" w:rsidRDefault="00401529" w:rsidP="00401529">
                          <w:pPr>
                            <w:rPr>
                              <w:rFonts w:ascii="Aptos" w:eastAsia="Aptos" w:hAnsi="Aptos" w:cs="Aptos"/>
                              <w:noProof/>
                              <w:color w:val="FF0000"/>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2B0903" id="_x0000_t202" coordsize="21600,21600" o:spt="202" path="m,l,21600r21600,l21600,xe">
              <v:stroke joinstyle="miter"/>
              <v:path gradientshapeok="t" o:connecttype="rect"/>
            </v:shapetype>
            <v:shape id="Text Box 11" o:spid="_x0000_s1030" type="#_x0000_t202" alt="OFFICIAL" style="position:absolute;left:0;text-align:left;margin-left:312pt;margin-top:0;width:49pt;height:36.95pt;z-index:251658250;visibility:visible;mso-wrap-style:none;mso-wrap-distance-left:0;mso-wrap-distance-top:0;mso-wrap-distance-right:0;mso-wrap-distance-bottom:0;mso-position-horizontal:absolute;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" filled="f" stroked="f">
              <v:textbox style="mso-fit-shape-to-text:t" inset="0,0,0,15pt">
                <w:txbxContent>
                  <w:p w14:paraId="6D6723DA" w14:textId="5703B54F" w:rsidR="00401529" w:rsidRPr="00401529" w:rsidRDefault="00401529" w:rsidP="00401529">
                    <w:pPr>
                      <w:rPr>
                        <w:rFonts w:ascii="Aptos" w:eastAsia="Aptos" w:hAnsi="Aptos" w:cs="Aptos"/>
                        <w:noProof/>
                        <w:color w:val="FF0000"/>
                        <w:szCs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7EB95" w14:textId="77777777" w:rsidR="004F1A35" w:rsidRDefault="004F1A35">
      <w:pPr>
        <w:pStyle w:val="FootnoteText"/>
      </w:pPr>
      <w:r>
        <w:separator/>
      </w:r>
    </w:p>
  </w:footnote>
  <w:footnote w:type="continuationSeparator" w:id="0">
    <w:p w14:paraId="470B8093" w14:textId="77777777" w:rsidR="004F1A35" w:rsidRDefault="004F1A35">
      <w:pPr>
        <w:pStyle w:val="FootnoteText"/>
      </w:pPr>
      <w:r>
        <w:separator/>
      </w:r>
    </w:p>
  </w:footnote>
  <w:footnote w:id="1">
    <w:p w14:paraId="11530A13" w14:textId="77777777" w:rsidR="006A6501" w:rsidRPr="008857DD" w:rsidRDefault="006A6501" w:rsidP="006A6501">
      <w:pPr>
        <w:pStyle w:val="FootnoteText"/>
      </w:pPr>
      <w:r w:rsidRPr="007761D6">
        <w:rPr>
          <w:rStyle w:val="FootnoteReference"/>
        </w:rPr>
        <w:footnoteRef/>
      </w:r>
      <w:r w:rsidRPr="007761D6">
        <w:tab/>
        <w:t xml:space="preserve">This Article does not apply to </w:t>
      </w:r>
      <w:r w:rsidRPr="007761D6">
        <w:rPr>
          <w:rFonts w:eastAsia="MS Mincho"/>
          <w:lang w:eastAsia="en-GB"/>
        </w:rPr>
        <w:t>the</w:t>
      </w:r>
      <w:r w:rsidRPr="007761D6">
        <w:t xml:space="preserve"> Member States that are not subject to the</w:t>
      </w:r>
      <w:r w:rsidRPr="007761D6">
        <w:rPr>
          <w:rFonts w:eastAsia="MS Mincho"/>
          <w:strike/>
          <w:lang w:eastAsia="en-GB"/>
        </w:rPr>
        <w:t xml:space="preserve"> </w:t>
      </w:r>
      <w:r w:rsidRPr="007761D6">
        <w:rPr>
          <w:rFonts w:eastAsia="MS Mincho"/>
          <w:lang w:eastAsia="en-GB"/>
        </w:rPr>
        <w:t>Directive 2014/66/EU of the European Parliament and of the Council of 15 May 2014 on the conditions of entry and residence of third-country nationals in the framework of an intra</w:t>
      </w:r>
      <w:r>
        <w:rPr>
          <w:rFonts w:eastAsia="MS Mincho"/>
          <w:lang w:eastAsia="en-GB"/>
        </w:rPr>
        <w:noBreakHyphen/>
      </w:r>
      <w:r w:rsidRPr="007761D6">
        <w:rPr>
          <w:rFonts w:eastAsia="MS Mincho"/>
          <w:lang w:eastAsia="en-GB"/>
        </w:rPr>
        <w:t>corporate transfe</w:t>
      </w:r>
      <w:r w:rsidRPr="007761D6">
        <w:rPr>
          <w:rFonts w:eastAsia="MS Mincho"/>
        </w:rPr>
        <w:t>r (</w:t>
      </w:r>
      <w:hyperlink r:id="rId1" w:history="1">
        <w:r w:rsidRPr="00490F91">
          <w:t>OJ EU L 157, 27.5.2014, p. 1</w:t>
        </w:r>
      </w:hyperlink>
      <w:r w:rsidRPr="007761D6">
        <w:rPr>
          <w:szCs w:val="21"/>
          <w:lang w:val="en"/>
        </w:rPr>
        <w:t xml:space="preserve"> </w:t>
      </w:r>
      <w:r w:rsidRPr="007761D6">
        <w:rPr>
          <w:lang w:val="en"/>
        </w:rPr>
        <w:t>ELI: </w:t>
      </w:r>
      <w:hyperlink r:id="rId2" w:history="1">
        <w:r w:rsidRPr="007761D6">
          <w:rPr>
            <w:rStyle w:val="Hyperlink"/>
          </w:rPr>
          <w:t>http://data.europa.eu/eli/dir/2014/66/oj</w:t>
        </w:r>
      </w:hyperlink>
      <w:r w:rsidRPr="007761D6">
        <w:rPr>
          <w:rFonts w:eastAsia="MS Mincho"/>
          <w:lang w:eastAsia="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6350D" w14:textId="512AC94A" w:rsidR="006A6501" w:rsidRDefault="00401529">
    <w:pPr>
      <w:pStyle w:val="Header"/>
    </w:pPr>
    <w:r>
      <w:rPr>
        <w:noProof/>
      </w:rPr>
      <mc:AlternateContent>
        <mc:Choice Requires="wps">
          <w:drawing>
            <wp:anchor distT="0" distB="0" distL="0" distR="0" simplePos="0" relativeHeight="251658244" behindDoc="0" locked="0" layoutInCell="1" allowOverlap="1" wp14:anchorId="717901A2" wp14:editId="4E97DC7D">
              <wp:simplePos x="635" y="635"/>
              <wp:positionH relativeFrom="page">
                <wp:align>center</wp:align>
              </wp:positionH>
              <wp:positionV relativeFrom="page">
                <wp:align>top</wp:align>
              </wp:positionV>
              <wp:extent cx="622300" cy="469265"/>
              <wp:effectExtent l="0" t="0" r="6350" b="6985"/>
              <wp:wrapNone/>
              <wp:docPr id="875742145"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D664053" w14:textId="66BE874B" w:rsidR="00401529" w:rsidRPr="00401529" w:rsidRDefault="00401529" w:rsidP="00401529">
                          <w:pPr>
                            <w:rPr>
                              <w:rFonts w:ascii="Aptos" w:eastAsia="Aptos" w:hAnsi="Aptos" w:cs="Aptos"/>
                              <w:noProof/>
                              <w:color w:val="FF0000"/>
                              <w:szCs w:val="24"/>
                            </w:rPr>
                          </w:pPr>
                          <w:r w:rsidRPr="00401529">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7901A2" id="_x0000_t202" coordsize="21600,21600" o:spt="202" path="m,l,21600r21600,l21600,xe">
              <v:stroke joinstyle="miter"/>
              <v:path gradientshapeok="t" o:connecttype="rect"/>
            </v:shapetype>
            <v:shape id="Text Box 5" o:spid="_x0000_s1026"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4D664053" w14:textId="66BE874B" w:rsidR="00401529" w:rsidRPr="00401529" w:rsidRDefault="00401529" w:rsidP="00401529">
                    <w:pPr>
                      <w:rPr>
                        <w:rFonts w:ascii="Aptos" w:eastAsia="Aptos" w:hAnsi="Aptos" w:cs="Aptos"/>
                        <w:noProof/>
                        <w:color w:val="FF0000"/>
                        <w:szCs w:val="24"/>
                      </w:rPr>
                    </w:pPr>
                    <w:r w:rsidRPr="00401529">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D9385" w14:textId="1E8B8C72" w:rsidR="006A6501" w:rsidRDefault="00401529">
    <w:pPr>
      <w:pStyle w:val="Header"/>
    </w:pPr>
    <w:r>
      <w:rPr>
        <w:noProof/>
      </w:rPr>
      <mc:AlternateContent>
        <mc:Choice Requires="wps">
          <w:drawing>
            <wp:anchor distT="0" distB="0" distL="0" distR="0" simplePos="0" relativeHeight="251658245" behindDoc="0" locked="0" layoutInCell="1" allowOverlap="1" wp14:anchorId="6A97C495" wp14:editId="58B3ED52">
              <wp:simplePos x="723900" y="361950"/>
              <wp:positionH relativeFrom="page">
                <wp:align>center</wp:align>
              </wp:positionH>
              <wp:positionV relativeFrom="page">
                <wp:align>top</wp:align>
              </wp:positionV>
              <wp:extent cx="622300" cy="469265"/>
              <wp:effectExtent l="0" t="0" r="6350" b="6985"/>
              <wp:wrapNone/>
              <wp:docPr id="51332895"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EFA19D2" w14:textId="51349ABF" w:rsidR="00401529" w:rsidRPr="00401529" w:rsidRDefault="00401529" w:rsidP="00401529">
                          <w:pPr>
                            <w:rPr>
                              <w:rFonts w:ascii="Aptos" w:eastAsia="Aptos" w:hAnsi="Aptos" w:cs="Aptos"/>
                              <w:noProof/>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97C495" id="_x0000_t202" coordsize="21600,21600" o:spt="202" path="m,l,21600r21600,l21600,xe">
              <v:stroke joinstyle="miter"/>
              <v:path gradientshapeok="t" o:connecttype="rect"/>
            </v:shapetype>
            <v:shape id="Text Box 6" o:spid="_x0000_s1027"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" filled="f" stroked="f">
              <v:textbox style="mso-fit-shape-to-text:t" inset="0,15pt,0,0">
                <w:txbxContent>
                  <w:p w14:paraId="6EFA19D2" w14:textId="51349ABF" w:rsidR="00401529" w:rsidRPr="00401529" w:rsidRDefault="00401529" w:rsidP="00401529">
                    <w:pPr>
                      <w:rPr>
                        <w:rFonts w:ascii="Aptos" w:eastAsia="Aptos" w:hAnsi="Aptos" w:cs="Aptos"/>
                        <w:noProof/>
                        <w:color w:val="FF0000"/>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77717" w14:textId="299BB896" w:rsidR="006A6501" w:rsidRDefault="00401529">
    <w:pPr>
      <w:pStyle w:val="Header"/>
    </w:pPr>
    <w:r>
      <w:rPr>
        <w:noProof/>
      </w:rPr>
      <mc:AlternateContent>
        <mc:Choice Requires="wps">
          <w:drawing>
            <wp:anchor distT="0" distB="0" distL="0" distR="0" simplePos="0" relativeHeight="251658243" behindDoc="0" locked="0" layoutInCell="1" allowOverlap="1" wp14:anchorId="56050B96" wp14:editId="3E53C920">
              <wp:simplePos x="635" y="635"/>
              <wp:positionH relativeFrom="page">
                <wp:align>center</wp:align>
              </wp:positionH>
              <wp:positionV relativeFrom="page">
                <wp:align>top</wp:align>
              </wp:positionV>
              <wp:extent cx="622300" cy="469265"/>
              <wp:effectExtent l="0" t="0" r="6350" b="6985"/>
              <wp:wrapNone/>
              <wp:docPr id="33679527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3B398A6" w14:textId="35BE85BB" w:rsidR="00401529" w:rsidRPr="00401529" w:rsidRDefault="00401529" w:rsidP="00401529">
                          <w:pPr>
                            <w:rPr>
                              <w:rFonts w:ascii="Aptos" w:eastAsia="Aptos" w:hAnsi="Aptos" w:cs="Aptos"/>
                              <w:noProof/>
                              <w:color w:val="FF0000"/>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050B96"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zRuYqw0CAAAcBAAA&#10;DgAAAAAAAAAAAAAAAAAuAgAAZHJzL2Uyb0RvYy54bWxQSwECLQAUAAYACAAAACEAvcHDftkAAAAD&#10;AQAADwAAAAAAAAAAAAAAAABnBAAAZHJzL2Rvd25yZXYueG1sUEsFBgAAAAAEAAQA8wAAAG0FAAAA&#10;AA==&#10;" filled="f" stroked="f">
              <v:textbox style="mso-fit-shape-to-text:t" inset="0,15pt,0,0">
                <w:txbxContent>
                  <w:p w14:paraId="73B398A6" w14:textId="35BE85BB" w:rsidR="00401529" w:rsidRPr="00401529" w:rsidRDefault="00401529" w:rsidP="00401529">
                    <w:pPr>
                      <w:rPr>
                        <w:rFonts w:ascii="Aptos" w:eastAsia="Aptos" w:hAnsi="Aptos" w:cs="Aptos"/>
                        <w:noProof/>
                        <w:color w:val="FF0000"/>
                        <w:szCs w:val="24"/>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6E68"/>
    <w:rsid w:val="00027835"/>
    <w:rsid w:val="000449B4"/>
    <w:rsid w:val="0005086A"/>
    <w:rsid w:val="00050BEA"/>
    <w:rsid w:val="00054C4B"/>
    <w:rsid w:val="00063077"/>
    <w:rsid w:val="00065DF7"/>
    <w:rsid w:val="00067F31"/>
    <w:rsid w:val="00073E68"/>
    <w:rsid w:val="00075910"/>
    <w:rsid w:val="00083FBC"/>
    <w:rsid w:val="00083FBF"/>
    <w:rsid w:val="000867FF"/>
    <w:rsid w:val="00086ABD"/>
    <w:rsid w:val="00091CE0"/>
    <w:rsid w:val="00092472"/>
    <w:rsid w:val="0009569C"/>
    <w:rsid w:val="000A3826"/>
    <w:rsid w:val="000A4FE6"/>
    <w:rsid w:val="000B00CB"/>
    <w:rsid w:val="000C3691"/>
    <w:rsid w:val="000C4CE4"/>
    <w:rsid w:val="000D2B33"/>
    <w:rsid w:val="000E1C75"/>
    <w:rsid w:val="000E7936"/>
    <w:rsid w:val="00103ED5"/>
    <w:rsid w:val="00107F51"/>
    <w:rsid w:val="0012665C"/>
    <w:rsid w:val="00142789"/>
    <w:rsid w:val="0014406C"/>
    <w:rsid w:val="00156CB3"/>
    <w:rsid w:val="00164E11"/>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A1E"/>
    <w:rsid w:val="00376FF1"/>
    <w:rsid w:val="003812B9"/>
    <w:rsid w:val="0039090B"/>
    <w:rsid w:val="00392040"/>
    <w:rsid w:val="003970D6"/>
    <w:rsid w:val="003B4BBB"/>
    <w:rsid w:val="003C2D25"/>
    <w:rsid w:val="003C43A7"/>
    <w:rsid w:val="003C6B4C"/>
    <w:rsid w:val="003D12D6"/>
    <w:rsid w:val="003D5361"/>
    <w:rsid w:val="003E2882"/>
    <w:rsid w:val="003E6CAF"/>
    <w:rsid w:val="003F010B"/>
    <w:rsid w:val="003F33FE"/>
    <w:rsid w:val="003F460E"/>
    <w:rsid w:val="003F7522"/>
    <w:rsid w:val="00401529"/>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A0ADE"/>
    <w:rsid w:val="004B21B9"/>
    <w:rsid w:val="004B329D"/>
    <w:rsid w:val="004D07DD"/>
    <w:rsid w:val="004D202F"/>
    <w:rsid w:val="004E09B5"/>
    <w:rsid w:val="004E30A8"/>
    <w:rsid w:val="004F1708"/>
    <w:rsid w:val="004F1A35"/>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C1DE3"/>
    <w:rsid w:val="005C4936"/>
    <w:rsid w:val="005C5857"/>
    <w:rsid w:val="005D11D1"/>
    <w:rsid w:val="005D3C88"/>
    <w:rsid w:val="005E100D"/>
    <w:rsid w:val="005E11AA"/>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D97"/>
    <w:rsid w:val="006A6501"/>
    <w:rsid w:val="006B3FE1"/>
    <w:rsid w:val="006C6C26"/>
    <w:rsid w:val="006D1BE0"/>
    <w:rsid w:val="006D1D44"/>
    <w:rsid w:val="006D2C19"/>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86750"/>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25A4"/>
    <w:rsid w:val="008515A7"/>
    <w:rsid w:val="00852805"/>
    <w:rsid w:val="00853B46"/>
    <w:rsid w:val="008543F0"/>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37F81"/>
    <w:rsid w:val="00950B14"/>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344B7"/>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900"/>
    <w:rsid w:val="00B01529"/>
    <w:rsid w:val="00B051E8"/>
    <w:rsid w:val="00B104EA"/>
    <w:rsid w:val="00B112C8"/>
    <w:rsid w:val="00B12105"/>
    <w:rsid w:val="00B27BB7"/>
    <w:rsid w:val="00B40E1C"/>
    <w:rsid w:val="00B55A5E"/>
    <w:rsid w:val="00B722DD"/>
    <w:rsid w:val="00B73382"/>
    <w:rsid w:val="00B73B84"/>
    <w:rsid w:val="00B845E7"/>
    <w:rsid w:val="00B9096D"/>
    <w:rsid w:val="00B97461"/>
    <w:rsid w:val="00BC3FE8"/>
    <w:rsid w:val="00BE0095"/>
    <w:rsid w:val="00BE03E1"/>
    <w:rsid w:val="00BE0D86"/>
    <w:rsid w:val="00BE7C2A"/>
    <w:rsid w:val="00BF1051"/>
    <w:rsid w:val="00BF488D"/>
    <w:rsid w:val="00C01216"/>
    <w:rsid w:val="00C22400"/>
    <w:rsid w:val="00C351CC"/>
    <w:rsid w:val="00C4415B"/>
    <w:rsid w:val="00C44513"/>
    <w:rsid w:val="00C502FD"/>
    <w:rsid w:val="00C548E9"/>
    <w:rsid w:val="00C55246"/>
    <w:rsid w:val="00C56184"/>
    <w:rsid w:val="00C6320E"/>
    <w:rsid w:val="00C6321D"/>
    <w:rsid w:val="00C66281"/>
    <w:rsid w:val="00C66DC8"/>
    <w:rsid w:val="00C82663"/>
    <w:rsid w:val="00C83670"/>
    <w:rsid w:val="00C86DDC"/>
    <w:rsid w:val="00CA6B39"/>
    <w:rsid w:val="00CB3DCB"/>
    <w:rsid w:val="00CC075D"/>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3175"/>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56A41"/>
    <w:rsid w:val="00E67276"/>
    <w:rsid w:val="00E75033"/>
    <w:rsid w:val="00E75913"/>
    <w:rsid w:val="00E77134"/>
    <w:rsid w:val="00E802E7"/>
    <w:rsid w:val="00E847E1"/>
    <w:rsid w:val="00E93AFB"/>
    <w:rsid w:val="00EA59BC"/>
    <w:rsid w:val="00EB3FB2"/>
    <w:rsid w:val="00EC0A2A"/>
    <w:rsid w:val="00EC660F"/>
    <w:rsid w:val="00EE00BA"/>
    <w:rsid w:val="00EE6E72"/>
    <w:rsid w:val="00EF2318"/>
    <w:rsid w:val="00F01A57"/>
    <w:rsid w:val="00F02BEB"/>
    <w:rsid w:val="00F030A6"/>
    <w:rsid w:val="00F14842"/>
    <w:rsid w:val="00F1732C"/>
    <w:rsid w:val="00F40728"/>
    <w:rsid w:val="00F42ECF"/>
    <w:rsid w:val="00F45E98"/>
    <w:rsid w:val="00F61046"/>
    <w:rsid w:val="00F62DDE"/>
    <w:rsid w:val="00F631F5"/>
    <w:rsid w:val="00F64303"/>
    <w:rsid w:val="00F71710"/>
    <w:rsid w:val="00F75257"/>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spacing w:before="360" w:after="120" w:line="240" w:lineRule="auto"/>
      <w:jc w:val="both"/>
      <w:outlineLvl w:val="0"/>
    </w:pPr>
    <w:rPr>
      <w:b/>
      <w:smallCaps/>
    </w:rPr>
  </w:style>
  <w:style w:type="paragraph" w:styleId="Heading2">
    <w:name w:val="heading 2"/>
    <w:basedOn w:val="Normal"/>
    <w:next w:val="Normal"/>
    <w:link w:val="Heading2Char"/>
    <w:qFormat/>
    <w:rsid w:val="005E11AA"/>
    <w:pPr>
      <w:jc w:val="center"/>
      <w:outlineLvl w:val="1"/>
    </w:pPr>
    <w:rPr>
      <w:color w:val="0D0D0D" w:themeColor="text1" w:themeTint="F2"/>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keepNext w:val="0"/>
      <w:spacing w:before="0" w:after="240"/>
      <w:outlineLvl w:val="9"/>
    </w:pPr>
    <w:rPr>
      <w:b w:val="0"/>
      <w:smallCaps w:val="0"/>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C6320E"/>
    <w:rPr>
      <w:b/>
      <w:smallCaps/>
      <w:sz w:val="24"/>
      <w:lang w:eastAsia="fr-BE"/>
    </w:rPr>
  </w:style>
  <w:style w:type="character" w:customStyle="1" w:styleId="Heading2Char">
    <w:name w:val="Heading 2 Char"/>
    <w:basedOn w:val="DefaultParagraphFont"/>
    <w:link w:val="Heading2"/>
    <w:rsid w:val="005E11AA"/>
    <w:rPr>
      <w:color w:val="0D0D0D" w:themeColor="text1" w:themeTint="F2"/>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bCs/>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spacing w:before="0" w:after="0"/>
      <w:jc w:val="center"/>
    </w:pPr>
    <w:rPr>
      <w:rFonts w:eastAsiaTheme="minorEastAsia"/>
      <w:bCs/>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ir/2014/66/oj" TargetMode="External"/><Relationship Id="rId1" Type="http://schemas.openxmlformats.org/officeDocument/2006/relationships/hyperlink" Target="http://publications.europa.eu/resource/oj/JOL_2014_157_R_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0D37A-2B30-4C74-A7A4-5D272CDA3B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E717A27-5F13-436E-BE3E-5F02183CEA27}">
  <ds:schemaRefs>
    <ds:schemaRef ds:uri="http://schemas.microsoft.com/sharepoint/v3/contenttype/forms"/>
  </ds:schemaRefs>
</ds:datastoreItem>
</file>

<file path=customXml/itemProps3.xml><?xml version="1.0" encoding="utf-8"?>
<ds:datastoreItem xmlns:ds="http://schemas.openxmlformats.org/officeDocument/2006/customXml" ds:itemID="{17A139F4-E897-452B-BFBC-C73D6F815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1985</Characters>
  <Application>Microsoft Office Word</Application>
  <DocSecurity>0</DocSecurity>
  <Lines>36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9-A movement of natural persons for business purposes</dc:title>
  <dc:subject/>
  <dc:creator/>
  <cp:keywords/>
  <cp:lastModifiedBy/>
  <cp:revision>1</cp:revision>
  <dcterms:created xsi:type="dcterms:W3CDTF">2026-10-06T22:57:00Z</dcterms:created>
  <dcterms:modified xsi:type="dcterms:W3CDTF">2026-10-07T04:16:00Z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MSIP_Label_6bd9ddd1-4d20-43f6-abfa-fc3c07406f94_Name">
    <vt:lpwstr>Commission Use</vt:lpwstr>
  </property>
  <property fmtid="{D5CDD505-2E9C-101B-9397-08002B2CF9AE}" pid="4" name="ClassificationContentMarkingHeaderText">
    <vt:lpwstr>OFFICIAL</vt:lpwstr>
  </property>
  <property fmtid="{D5CDD505-2E9C-101B-9397-08002B2CF9AE}" pid="5" name="MSIP_Label_6bd9ddd1-4d20-43f6-abfa-fc3c07406f94_ContentBits">
    <vt:lpwstr>0</vt:lpwstr>
  </property>
  <property fmtid="{D5CDD505-2E9C-101B-9397-08002B2CF9AE}" pid="6" name="ContentTypeId">
    <vt:lpwstr>0x010100131255C347DD0040B93446FCC2667F19</vt:lpwstr>
  </property>
  <property fmtid="{D5CDD505-2E9C-101B-9397-08002B2CF9AE}" pid="7" name="ClassificationContentMarkingHeaderFontProps">
    <vt:lpwstr>#ff0000,12,Aptos</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Method">
    <vt:lpwstr>Standard</vt:lpwstr>
  </property>
  <property fmtid="{D5CDD505-2E9C-101B-9397-08002B2CF9AE}" pid="10" name="MSIP_Label_af60b174-6478-47f9-866e-33f097bb6603_SiteId">
    <vt:lpwstr>03ad1c97-0a4d-4e82-8f93-27291a6a0767</vt:lpwstr>
  </property>
  <property fmtid="{D5CDD505-2E9C-101B-9397-08002B2CF9AE}" pid="11" name="MSIP_Label_6bd9ddd1-4d20-43f6-abfa-fc3c07406f94_Enabled">
    <vt:lpwstr>true</vt:lpwstr>
  </property>
  <property fmtid="{D5CDD505-2E9C-101B-9397-08002B2CF9AE}" pid="12" name="MSIP_Label_af60b174-6478-47f9-866e-33f097bb6603_Method">
    <vt:lpwstr>Privileged</vt:lpwstr>
  </property>
  <property fmtid="{D5CDD505-2E9C-101B-9397-08002B2CF9AE}" pid="13" name="MSIP_Label_af60b174-6478-47f9-866e-33f097bb6603_ContentBits">
    <vt:lpwstr>0</vt:lpwstr>
  </property>
  <property fmtid="{D5CDD505-2E9C-101B-9397-08002B2CF9AE}" pid="14" name="docLang">
    <vt:lpwstr>en</vt:lpwstr>
  </property>
  <property fmtid="{D5CDD505-2E9C-101B-9397-08002B2CF9AE}" pid="15" name="MSIP_Label_af60b174-6478-47f9-866e-33f097bb6603_Name">
    <vt:lpwstr>GSCEU - PUBLIC Label</vt:lpwstr>
  </property>
  <property fmtid="{D5CDD505-2E9C-101B-9397-08002B2CF9AE}" pid="16" name="ClassificationContentMarkingFooterShapeIds">
    <vt:lpwstr>6fc3d7f0,4d130954,4c8c8331,283c4b66,167c6603,24a932ad,d96d1f2</vt:lpwstr>
  </property>
  <property fmtid="{D5CDD505-2E9C-101B-9397-08002B2CF9AE}" pid="17" name="MSIP_Label_6bd9ddd1-4d20-43f6-abfa-fc3c07406f94_SetDate">
    <vt:lpwstr>2026-09-11T08:29:36Z</vt:lpwstr>
  </property>
  <property fmtid="{D5CDD505-2E9C-101B-9397-08002B2CF9AE}" pid="18" name="ClassificationContentMarkingHeaderShapeIds">
    <vt:lpwstr>254c193d,1b4025a8,7c3878ee,1413168a,3432c3c1,30f471f</vt:lpwstr>
  </property>
  <property fmtid="{D5CDD505-2E9C-101B-9397-08002B2CF9AE}" pid="19" name="ClassificationContentMarkingFooterFontProps">
    <vt:lpwstr>#ff0000,12,Aptos</vt:lpwstr>
  </property>
  <property fmtid="{D5CDD505-2E9C-101B-9397-08002B2CF9AE}" pid="20" name="MSIP_Label_af60b174-6478-47f9-866e-33f097bb6603_Enabled">
    <vt:lpwstr>true</vt:lpwstr>
  </property>
  <property fmtid="{D5CDD505-2E9C-101B-9397-08002B2CF9AE}" pid="21" name="MSIP_Label_6bd9ddd1-4d20-43f6-abfa-fc3c07406f94_ActionId">
    <vt:lpwstr>9259a3b6-ad7f-4ade-b8fc-9313d83aabff</vt:lpwstr>
  </property>
  <property fmtid="{D5CDD505-2E9C-101B-9397-08002B2CF9AE}" pid="22" name="MSIP_Label_6bd9ddd1-4d20-43f6-abfa-fc3c07406f94_Tag">
    <vt:lpwstr>10, 3, 0, 1</vt:lpwstr>
  </property>
  <property fmtid="{D5CDD505-2E9C-101B-9397-08002B2CF9AE}" pid="23" name="MSIP_Label_af60b174-6478-47f9-866e-33f097bb6603_ActionId">
    <vt:lpwstr>40163f7f-db10-4b85-b254-9cc4e293b280</vt:lpwstr>
  </property>
  <property fmtid="{D5CDD505-2E9C-101B-9397-08002B2CF9AE}" pid="24" name="MSIP_Label_af60b174-6478-47f9-866e-33f097bb6603_SetDate">
    <vt:lpwstr>2023-01-10T15:44:46Z</vt:lpwstr>
  </property>
</Properties>
</file>