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AE80" w14:textId="1FCE834B" w:rsidR="00F14842" w:rsidRPr="000C3C0E" w:rsidRDefault="00F14842" w:rsidP="006864FB">
      <w:pPr>
        <w:pStyle w:val="Heading1"/>
        <w:spacing w:before="240" w:after="240" w:line="240" w:lineRule="atLeast"/>
        <w:jc w:val="center"/>
      </w:pPr>
      <w:bookmarkStart w:id="0" w:name="_Hlk222870231"/>
      <w:bookmarkEnd w:id="0"/>
      <w:r w:rsidRPr="000C3C0E">
        <w:t xml:space="preserve">ANNEX 6-A – </w:t>
      </w:r>
      <w:r w:rsidR="00AD3391" w:rsidRPr="000C3C0E">
        <w:t>COMPETENT AUTHORITIES</w:t>
      </w:r>
    </w:p>
    <w:p w14:paraId="4EEAADFD" w14:textId="77777777" w:rsidR="00F14842" w:rsidRPr="000C3C0E" w:rsidRDefault="00F14842" w:rsidP="006864FB">
      <w:pPr>
        <w:pStyle w:val="Heading2"/>
        <w:spacing w:before="240" w:after="240" w:line="240" w:lineRule="atLeast"/>
      </w:pPr>
      <w:r w:rsidRPr="000C3C0E">
        <w:t>SECTION A – COMPETENT AUTHORITIES OF THE EUROPEAN UNION</w:t>
      </w:r>
    </w:p>
    <w:p w14:paraId="6DCA37E9" w14:textId="77777777" w:rsidR="009E1F71" w:rsidRPr="00937F81" w:rsidRDefault="00F14842" w:rsidP="006864FB">
      <w:pPr>
        <w:spacing w:before="240" w:after="240" w:line="240" w:lineRule="atLeast"/>
        <w:rPr>
          <w:szCs w:val="24"/>
        </w:rPr>
      </w:pPr>
      <w:r w:rsidRPr="00937F81">
        <w:rPr>
          <w:szCs w:val="24"/>
        </w:rPr>
        <w:t>For the Union, with respect to competent authorities, c</w:t>
      </w:r>
      <w:r w:rsidRPr="00937F81">
        <w:t>ontrol</w:t>
      </w:r>
      <w:r w:rsidRPr="00937F81">
        <w:rPr>
          <w:szCs w:val="24"/>
        </w:rPr>
        <w:t xml:space="preserve"> </w:t>
      </w:r>
      <w:proofErr w:type="gramStart"/>
      <w:r w:rsidRPr="00937F81">
        <w:rPr>
          <w:szCs w:val="24"/>
        </w:rPr>
        <w:t>in the area of</w:t>
      </w:r>
      <w:proofErr w:type="gramEnd"/>
      <w:r w:rsidRPr="00937F81">
        <w:rPr>
          <w:szCs w:val="24"/>
        </w:rPr>
        <w:t xml:space="preserve"> sanitary and phytosanitary matters is shared between the national authorities of the Member States and the European Commission. In that respect, the following applies:</w:t>
      </w:r>
    </w:p>
    <w:p w14:paraId="1F866972" w14:textId="77777777" w:rsidR="009E1F71" w:rsidRPr="00937F81" w:rsidRDefault="00F14842" w:rsidP="006864FB">
      <w:pPr>
        <w:spacing w:before="240" w:after="240" w:line="240" w:lineRule="atLeast"/>
        <w:ind w:left="567" w:hanging="567"/>
        <w:rPr>
          <w:szCs w:val="24"/>
        </w:rPr>
      </w:pPr>
      <w:r w:rsidRPr="00937F81">
        <w:rPr>
          <w:szCs w:val="24"/>
        </w:rPr>
        <w:t>(a)</w:t>
      </w:r>
      <w:r w:rsidRPr="00937F81">
        <w:rPr>
          <w:szCs w:val="24"/>
        </w:rPr>
        <w:tab/>
        <w:t>for exports to Australia, the national authorities of the Member States are responsible for the control of the production circumstances and requirements, including statutory inspections or audits and issuing health certificates in relation to the agreed SPS measures and requirements;</w:t>
      </w:r>
    </w:p>
    <w:p w14:paraId="3730A4CD" w14:textId="77777777" w:rsidR="009E1F71" w:rsidRPr="00937F81" w:rsidRDefault="00F14842" w:rsidP="006864FB">
      <w:pPr>
        <w:spacing w:before="240" w:after="240" w:line="240" w:lineRule="atLeast"/>
        <w:ind w:left="567" w:hanging="567"/>
        <w:rPr>
          <w:szCs w:val="24"/>
        </w:rPr>
      </w:pPr>
      <w:r w:rsidRPr="00937F81">
        <w:rPr>
          <w:szCs w:val="24"/>
        </w:rPr>
        <w:t>(b)</w:t>
      </w:r>
      <w:r w:rsidRPr="00937F81">
        <w:rPr>
          <w:szCs w:val="24"/>
        </w:rPr>
        <w:tab/>
        <w:t>for imports from Australia, the national authorities of the Member States are responsible for the control of compliance of the imports with the Union's import conditions; and</w:t>
      </w:r>
    </w:p>
    <w:p w14:paraId="501D03C1" w14:textId="48D023D6" w:rsidR="00F14842" w:rsidRPr="00937F81" w:rsidRDefault="00F14842" w:rsidP="006864FB">
      <w:pPr>
        <w:spacing w:before="240" w:after="240" w:line="240" w:lineRule="atLeast"/>
        <w:ind w:left="567" w:hanging="567"/>
        <w:rPr>
          <w:szCs w:val="24"/>
        </w:rPr>
      </w:pPr>
      <w:r w:rsidRPr="00937F81">
        <w:rPr>
          <w:szCs w:val="24"/>
        </w:rPr>
        <w:t>(c)</w:t>
      </w:r>
      <w:r w:rsidRPr="00937F81">
        <w:rPr>
          <w:szCs w:val="24"/>
        </w:rPr>
        <w:tab/>
        <w:t>the European Commission is responsible for the overall coordination, inspection or audits of control systems and the necessary measures, including legislative action to ensure uniform application of standards and requirements of Chapter 6 (Sanitary and phytosanitary measures).</w:t>
      </w:r>
    </w:p>
    <w:p w14:paraId="007436F0" w14:textId="77777777" w:rsidR="00F14842" w:rsidRPr="00937F81" w:rsidRDefault="00F14842" w:rsidP="006864FB">
      <w:pPr>
        <w:pStyle w:val="Heading2"/>
        <w:spacing w:before="240" w:after="240" w:line="240" w:lineRule="atLeast"/>
      </w:pPr>
      <w:r>
        <w:t>SECTION B – COMPETENT AUTHORITIES OF AUSTRALIA</w:t>
      </w:r>
    </w:p>
    <w:p w14:paraId="5D3623E2" w14:textId="77777777" w:rsidR="00F14842" w:rsidRPr="00937F81" w:rsidRDefault="00F14842" w:rsidP="006864FB">
      <w:pPr>
        <w:spacing w:before="240" w:after="240" w:line="240" w:lineRule="atLeast"/>
        <w:rPr>
          <w:szCs w:val="24"/>
        </w:rPr>
      </w:pPr>
      <w:r w:rsidRPr="00937F81">
        <w:rPr>
          <w:szCs w:val="24"/>
        </w:rPr>
        <w:t>For Australia, the competent authority, for the purposes of implementing Chapter 6 (Sanitary and phytosanitary measures), is the Department of Agriculture, Fisheries and Forestry or its successor.</w:t>
      </w:r>
    </w:p>
    <w:p w14:paraId="4F101D37" w14:textId="77777777" w:rsidR="007F6AC3" w:rsidRPr="00937F81" w:rsidRDefault="007F6AC3" w:rsidP="006864FB">
      <w:pPr>
        <w:spacing w:before="240" w:after="240" w:line="240" w:lineRule="atLeast"/>
        <w:jc w:val="center"/>
      </w:pPr>
      <w:r w:rsidRPr="00937F81">
        <w:t>________________</w:t>
      </w:r>
    </w:p>
    <w:sectPr w:rsidR="007F6AC3" w:rsidRPr="00937F81" w:rsidSect="00F14842">
      <w:headerReference w:type="even" r:id="rId11"/>
      <w:footerReference w:type="even" r:id="rId12"/>
      <w:footerReference w:type="default" r:id="rId13"/>
      <w:footerReference w:type="first" r:id="rId14"/>
      <w:footnotePr>
        <w:numRestart w:val="eachPage"/>
      </w:foot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A895C" w14:textId="77777777" w:rsidR="00C801F0" w:rsidRDefault="00C801F0">
      <w:r>
        <w:separator/>
      </w:r>
    </w:p>
  </w:endnote>
  <w:endnote w:type="continuationSeparator" w:id="0">
    <w:p w14:paraId="1D088D15" w14:textId="77777777" w:rsidR="00C801F0" w:rsidRDefault="00C801F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71F2" w14:textId="6A5084AA" w:rsidR="00E93AFB" w:rsidRDefault="00AD3391">
    <w:pPr>
      <w:pStyle w:val="Footer"/>
    </w:pPr>
    <w:r>
      <w:rPr>
        <w:noProof/>
      </w:rPr>
      <mc:AlternateContent>
        <mc:Choice Requires="wps">
          <w:drawing>
            <wp:anchor distT="0" distB="0" distL="0" distR="0" simplePos="0" relativeHeight="251658241" behindDoc="0" locked="0" layoutInCell="1" allowOverlap="1" wp14:anchorId="2DFE4D5E" wp14:editId="4ACD0936">
              <wp:simplePos x="635" y="635"/>
              <wp:positionH relativeFrom="page">
                <wp:align>center</wp:align>
              </wp:positionH>
              <wp:positionV relativeFrom="page">
                <wp:align>bottom</wp:align>
              </wp:positionV>
              <wp:extent cx="622300" cy="469265"/>
              <wp:effectExtent l="0" t="0" r="6350" b="0"/>
              <wp:wrapNone/>
              <wp:docPr id="19117009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1234934" w14:textId="11BC1906" w:rsidR="00AD3391" w:rsidRPr="00AD3391" w:rsidRDefault="00AD3391" w:rsidP="00AD3391">
                          <w:pPr>
                            <w:rPr>
                              <w:rFonts w:ascii="Aptos" w:eastAsia="Aptos" w:hAnsi="Aptos" w:cs="Aptos"/>
                              <w:noProof/>
                              <w:color w:val="FF0000"/>
                              <w:szCs w:val="24"/>
                            </w:rPr>
                          </w:pPr>
                          <w:r w:rsidRPr="00AD339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FE4D5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11234934" w14:textId="11BC1906" w:rsidR="00AD3391" w:rsidRPr="00AD3391" w:rsidRDefault="00AD3391" w:rsidP="00AD3391">
                    <w:pPr>
                      <w:rPr>
                        <w:rFonts w:ascii="Aptos" w:eastAsia="Aptos" w:hAnsi="Aptos" w:cs="Aptos"/>
                        <w:noProof/>
                        <w:color w:val="FF0000"/>
                        <w:szCs w:val="24"/>
                      </w:rPr>
                    </w:pPr>
                    <w:r w:rsidRPr="00AD339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5B03" w14:textId="1FD2E164" w:rsidR="00AD3391" w:rsidRDefault="00AD3391" w:rsidP="00852805">
    <w:pPr>
      <w:pStyle w:val="Footer"/>
      <w:rPr>
        <w:sz w:val="32"/>
        <w:szCs w:val="28"/>
      </w:rPr>
    </w:pPr>
  </w:p>
  <w:sdt>
    <w:sdtPr>
      <w:rPr>
        <w:sz w:val="32"/>
        <w:szCs w:val="28"/>
      </w:rPr>
      <w:id w:val="1738972347"/>
      <w:docPartObj>
        <w:docPartGallery w:val="Page Numbers (Bottom of Page)"/>
        <w:docPartUnique/>
      </w:docPartObj>
    </w:sdtPr>
    <w:sdtEndPr>
      <w:rPr>
        <w:noProof/>
        <w:sz w:val="24"/>
        <w:szCs w:val="40"/>
      </w:rPr>
    </w:sdtEndPr>
    <w:sdtContent>
      <w:p w14:paraId="1294B1BA" w14:textId="77777777" w:rsidR="00F14842" w:rsidRPr="00852805" w:rsidRDefault="00F14842" w:rsidP="00852805">
        <w:pPr>
          <w:pStyle w:val="Footer"/>
          <w:rPr>
            <w:szCs w:val="24"/>
          </w:rPr>
        </w:pPr>
      </w:p>
      <w:p w14:paraId="44412A64" w14:textId="77777777" w:rsidR="00852805" w:rsidRPr="00852805" w:rsidRDefault="00852805" w:rsidP="00852805">
        <w:pPr>
          <w:pStyle w:val="Footer"/>
          <w:rPr>
            <w:szCs w:val="24"/>
          </w:rPr>
        </w:pPr>
      </w:p>
      <w:p w14:paraId="6D72D721" w14:textId="6A0C55E2" w:rsidR="00F14842" w:rsidRPr="00411132" w:rsidRDefault="00000000" w:rsidP="00E7666B">
        <w:pPr>
          <w:pStyle w:val="Footer"/>
          <w:jc w:val="center"/>
          <w:rPr>
            <w:szCs w:val="40"/>
          </w:rPr>
        </w:pPr>
      </w:p>
    </w:sdtContent>
  </w:sdt>
  <w:p w14:paraId="71072C0D" w14:textId="77777777" w:rsidR="00C05F27" w:rsidRDefault="00060E2B">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3990" w14:textId="77777777" w:rsidR="009E1F71" w:rsidRDefault="009E1F71" w:rsidP="009E1F71">
    <w:pPr>
      <w:pStyle w:val="Footer"/>
    </w:pPr>
  </w:p>
  <w:p w14:paraId="11A143F3" w14:textId="77777777" w:rsidR="009E1F71" w:rsidRDefault="009E1F71" w:rsidP="009E1F71">
    <w:pPr>
      <w:pStyle w:val="Footer"/>
    </w:pPr>
  </w:p>
  <w:p w14:paraId="5D06DC53" w14:textId="2D137C4A" w:rsidR="00F14842" w:rsidRPr="009F4594" w:rsidRDefault="00F14842" w:rsidP="009F4594">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5D90" w14:textId="77777777" w:rsidR="00C801F0" w:rsidRDefault="00C801F0">
      <w:pPr>
        <w:pStyle w:val="FootnoteText"/>
      </w:pPr>
      <w:r>
        <w:separator/>
      </w:r>
    </w:p>
  </w:footnote>
  <w:footnote w:type="continuationSeparator" w:id="0">
    <w:p w14:paraId="566E173F" w14:textId="77777777" w:rsidR="00C801F0" w:rsidRDefault="00C801F0">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168E2" w14:textId="423FA03E" w:rsidR="00E93AFB" w:rsidRDefault="00AD3391">
    <w:pPr>
      <w:pStyle w:val="Header"/>
    </w:pPr>
    <w:r>
      <w:rPr>
        <w:noProof/>
      </w:rPr>
      <mc:AlternateContent>
        <mc:Choice Requires="wps">
          <w:drawing>
            <wp:anchor distT="0" distB="0" distL="0" distR="0" simplePos="0" relativeHeight="251658240" behindDoc="0" locked="0" layoutInCell="1" allowOverlap="1" wp14:anchorId="1DF33FB8" wp14:editId="23170D9A">
              <wp:simplePos x="635" y="635"/>
              <wp:positionH relativeFrom="page">
                <wp:align>center</wp:align>
              </wp:positionH>
              <wp:positionV relativeFrom="page">
                <wp:align>top</wp:align>
              </wp:positionV>
              <wp:extent cx="622300" cy="469265"/>
              <wp:effectExtent l="0" t="0" r="6350" b="6985"/>
              <wp:wrapNone/>
              <wp:docPr id="6189373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81CCD8" w14:textId="4B9C60BF" w:rsidR="00AD3391" w:rsidRPr="00AD3391" w:rsidRDefault="00AD3391" w:rsidP="00AD3391">
                          <w:pPr>
                            <w:rPr>
                              <w:rFonts w:ascii="Aptos" w:eastAsia="Aptos" w:hAnsi="Aptos" w:cs="Aptos"/>
                              <w:noProof/>
                              <w:color w:val="FF0000"/>
                              <w:szCs w:val="24"/>
                            </w:rPr>
                          </w:pPr>
                          <w:r w:rsidRPr="00AD339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F33FB8"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6181CCD8" w14:textId="4B9C60BF" w:rsidR="00AD3391" w:rsidRPr="00AD3391" w:rsidRDefault="00AD3391" w:rsidP="00AD3391">
                    <w:pPr>
                      <w:rPr>
                        <w:rFonts w:ascii="Aptos" w:eastAsia="Aptos" w:hAnsi="Aptos" w:cs="Aptos"/>
                        <w:noProof/>
                        <w:color w:val="FF0000"/>
                        <w:szCs w:val="24"/>
                      </w:rPr>
                    </w:pPr>
                    <w:r w:rsidRPr="00AD339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0E2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3C0E"/>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35A7"/>
    <w:rsid w:val="001D60D8"/>
    <w:rsid w:val="001F0CE6"/>
    <w:rsid w:val="001F59C5"/>
    <w:rsid w:val="001F7964"/>
    <w:rsid w:val="0020127F"/>
    <w:rsid w:val="00201CAE"/>
    <w:rsid w:val="00204F63"/>
    <w:rsid w:val="00220AE0"/>
    <w:rsid w:val="0022170F"/>
    <w:rsid w:val="0022250D"/>
    <w:rsid w:val="00230CE3"/>
    <w:rsid w:val="00234D95"/>
    <w:rsid w:val="0024283F"/>
    <w:rsid w:val="0025703C"/>
    <w:rsid w:val="002607F4"/>
    <w:rsid w:val="00281441"/>
    <w:rsid w:val="00282009"/>
    <w:rsid w:val="00282319"/>
    <w:rsid w:val="00283973"/>
    <w:rsid w:val="002A000E"/>
    <w:rsid w:val="002B28C5"/>
    <w:rsid w:val="002C2564"/>
    <w:rsid w:val="002D0849"/>
    <w:rsid w:val="002D1EFE"/>
    <w:rsid w:val="002D5B64"/>
    <w:rsid w:val="002D75FD"/>
    <w:rsid w:val="002E06B3"/>
    <w:rsid w:val="002E46F1"/>
    <w:rsid w:val="002E59AC"/>
    <w:rsid w:val="002E5A9D"/>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6A1A"/>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864FB"/>
    <w:rsid w:val="0069311C"/>
    <w:rsid w:val="006937B9"/>
    <w:rsid w:val="006A0D97"/>
    <w:rsid w:val="006A6501"/>
    <w:rsid w:val="006B3FE1"/>
    <w:rsid w:val="006C6C26"/>
    <w:rsid w:val="006D1BE0"/>
    <w:rsid w:val="006D1D44"/>
    <w:rsid w:val="006D2C19"/>
    <w:rsid w:val="006E5355"/>
    <w:rsid w:val="006E595F"/>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64B15"/>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3391"/>
    <w:rsid w:val="00AD47E2"/>
    <w:rsid w:val="00AD538F"/>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05F27"/>
    <w:rsid w:val="00C22400"/>
    <w:rsid w:val="00C351CC"/>
    <w:rsid w:val="00C4415B"/>
    <w:rsid w:val="00C44513"/>
    <w:rsid w:val="00C502FD"/>
    <w:rsid w:val="00C548E9"/>
    <w:rsid w:val="00C55246"/>
    <w:rsid w:val="00C56184"/>
    <w:rsid w:val="00C6320E"/>
    <w:rsid w:val="00C6321D"/>
    <w:rsid w:val="00C66281"/>
    <w:rsid w:val="00C66DC8"/>
    <w:rsid w:val="00C70B1D"/>
    <w:rsid w:val="00C801F0"/>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10"/>
    <w:unhideWhenUsed/>
    <w:qFormat/>
    <w:rsid w:val="000C3C0E"/>
    <w:pPr>
      <w:jc w:val="right"/>
      <w:outlineLvl w:val="0"/>
    </w:pPr>
    <w:rPr>
      <w:b/>
      <w:bCs/>
      <w:szCs w:val="24"/>
      <w:u w:val="single"/>
    </w:rPr>
  </w:style>
  <w:style w:type="paragraph" w:styleId="Heading2">
    <w:name w:val="heading 2"/>
    <w:basedOn w:val="Normal"/>
    <w:next w:val="Normal"/>
    <w:link w:val="Heading2Char"/>
    <w:uiPriority w:val="11"/>
    <w:unhideWhenUsed/>
    <w:qFormat/>
    <w:rsid w:val="000C3C0E"/>
    <w:pPr>
      <w:jc w:val="center"/>
      <w:outlineLvl w:val="1"/>
    </w:pPr>
    <w:rPr>
      <w:szCs w:val="24"/>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lang w:eastAsia="en-US"/>
    </w:rPr>
  </w:style>
  <w:style w:type="paragraph" w:customStyle="1" w:styleId="NumPar2">
    <w:name w:val="NumPar 2"/>
    <w:basedOn w:val="Heading2"/>
    <w:next w:val="Text2"/>
    <w:rsid w:val="00C6320E"/>
    <w:pPr>
      <w:spacing w:after="240"/>
      <w:outlineLvl w:val="9"/>
    </w:pPr>
    <w:rPr>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10"/>
    <w:rsid w:val="000C3C0E"/>
    <w:rPr>
      <w:b/>
      <w:bCs/>
      <w:sz w:val="24"/>
      <w:szCs w:val="24"/>
      <w:u w:val="single"/>
      <w:lang w:eastAsia="fr-BE"/>
    </w:rPr>
  </w:style>
  <w:style w:type="character" w:customStyle="1" w:styleId="Heading2Char">
    <w:name w:val="Heading 2 Char"/>
    <w:basedOn w:val="DefaultParagraphFont"/>
    <w:link w:val="Heading2"/>
    <w:uiPriority w:val="11"/>
    <w:rsid w:val="000C3C0E"/>
    <w:rPr>
      <w:sz w:val="24"/>
      <w:szCs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466110-0CEC-4452-B12E-4B676B159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C1D49A-FF78-4CE6-B86B-9CF98BF721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65BD26A2-2424-445B-88C8-2C888EC79926}">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1156</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6-A - Competent Authorities</dc:title>
  <dc:subject/>
  <dc:creator/>
  <cp:keywords/>
  <cp:lastModifiedBy/>
  <cp:revision>1</cp:revision>
  <dcterms:created xsi:type="dcterms:W3CDTF">2026-10-02T04:12:00Z</dcterms:created>
  <dcterms:modified xsi:type="dcterms:W3CDTF">2026-10-07T03:22:00Z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