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D0322" w14:textId="090A2C9F" w:rsidR="00790256" w:rsidRPr="00AE1FD7" w:rsidRDefault="001675B3" w:rsidP="00766B44">
      <w:pPr>
        <w:pStyle w:val="Heading1"/>
        <w:spacing w:before="120" w:after="120" w:line="240" w:lineRule="atLeast"/>
      </w:pPr>
      <w:r w:rsidRPr="00AE1FD7">
        <w:t>ANNEX 3-C</w:t>
      </w:r>
      <w:r w:rsidR="00790256" w:rsidRPr="00AE1FD7">
        <w:t xml:space="preserve"> - ORIGIN QUOTAS AND ALTERNATIVES </w:t>
      </w:r>
      <w:r w:rsidR="00790256" w:rsidRPr="00AE1FD7">
        <w:br/>
        <w:t>TO THE PRODUCT-SPECIFIC RULES OF ORIGIN IN ANNEX 3-B</w:t>
      </w:r>
    </w:p>
    <w:p w14:paraId="4C3E6ED5" w14:textId="77777777" w:rsidR="001675B3" w:rsidRDefault="001675B3" w:rsidP="00766B44">
      <w:pPr>
        <w:pStyle w:val="Heading2"/>
        <w:spacing w:before="120" w:after="120" w:line="240" w:lineRule="atLeast"/>
      </w:pPr>
      <w:r w:rsidRPr="000474CC">
        <w:t>Common provisions</w:t>
      </w:r>
    </w:p>
    <w:p w14:paraId="25F96335" w14:textId="77777777" w:rsidR="001675B3" w:rsidRDefault="001675B3" w:rsidP="00766B44">
      <w:pPr>
        <w:spacing w:before="120" w:after="120" w:line="240" w:lineRule="atLeast"/>
        <w:rPr>
          <w:szCs w:val="24"/>
        </w:rPr>
      </w:pPr>
      <w:r w:rsidRPr="000474CC">
        <w:rPr>
          <w:szCs w:val="24"/>
        </w:rPr>
        <w:t>1.</w:t>
      </w:r>
      <w:r w:rsidRPr="000474CC">
        <w:rPr>
          <w:szCs w:val="24"/>
        </w:rPr>
        <w:tab/>
        <w:t>For the products listed in the tables below, the corresponding product specific rules of origin are alternatives to those set out in Annex 3-B (Product-specific rules of origin), within the limits of the applicable annual quota. If the date of entry into force of this Agreement is not 1 January, the origin quota specified for the year in which this Agreement enters into force shall be calculated as a proportion of the annual origin quota equal to the period remaining in the year.</w:t>
      </w:r>
    </w:p>
    <w:p w14:paraId="50AF0688" w14:textId="77777777" w:rsidR="001675B3" w:rsidRDefault="001675B3" w:rsidP="00766B44">
      <w:pPr>
        <w:spacing w:before="120" w:after="120" w:line="240" w:lineRule="atLeast"/>
        <w:rPr>
          <w:szCs w:val="24"/>
        </w:rPr>
      </w:pPr>
      <w:r w:rsidRPr="000474CC">
        <w:rPr>
          <w:szCs w:val="24"/>
        </w:rPr>
        <w:t>2.</w:t>
      </w:r>
      <w:r w:rsidRPr="000474CC">
        <w:rPr>
          <w:szCs w:val="24"/>
        </w:rPr>
        <w:tab/>
        <w:t>A statement on origin made out for a product listed in table 1 of this Annex, which obtained originating status in accordance with the alternative rules of origin set out in this Annex, shall contain the following statement: "Origin quotas – Product originating in accordance with Annex</w:t>
      </w:r>
      <w:r>
        <w:rPr>
          <w:szCs w:val="24"/>
        </w:rPr>
        <w:t> </w:t>
      </w:r>
      <w:r w:rsidRPr="000474CC">
        <w:rPr>
          <w:szCs w:val="24"/>
        </w:rPr>
        <w:t>3</w:t>
      </w:r>
      <w:r>
        <w:rPr>
          <w:szCs w:val="24"/>
        </w:rPr>
        <w:noBreakHyphen/>
      </w:r>
      <w:r w:rsidRPr="000474CC">
        <w:rPr>
          <w:szCs w:val="24"/>
        </w:rPr>
        <w:t>C".</w:t>
      </w:r>
    </w:p>
    <w:p w14:paraId="71C9D047" w14:textId="77777777" w:rsidR="001675B3" w:rsidRPr="000474CC" w:rsidRDefault="001675B3" w:rsidP="00766B44">
      <w:pPr>
        <w:spacing w:before="120" w:after="120" w:line="240" w:lineRule="atLeast"/>
        <w:rPr>
          <w:szCs w:val="24"/>
        </w:rPr>
      </w:pPr>
      <w:r w:rsidRPr="000474CC">
        <w:rPr>
          <w:szCs w:val="24"/>
        </w:rPr>
        <w:t>3.</w:t>
      </w:r>
      <w:r w:rsidRPr="000474CC">
        <w:rPr>
          <w:szCs w:val="24"/>
        </w:rPr>
        <w:tab/>
        <w:t>A statement on origin made out for a product listed in table 2 of this Annex, which obtained originating status in accordance with the alternative rules of origin set out in this Annex, shall contain the following statement: "Origin quotas – Product originating in accordance with Annex</w:t>
      </w:r>
      <w:r>
        <w:rPr>
          <w:szCs w:val="24"/>
        </w:rPr>
        <w:t> </w:t>
      </w:r>
      <w:r w:rsidRPr="000474CC">
        <w:rPr>
          <w:szCs w:val="24"/>
        </w:rPr>
        <w:t>3</w:t>
      </w:r>
      <w:r>
        <w:rPr>
          <w:szCs w:val="24"/>
        </w:rPr>
        <w:noBreakHyphen/>
      </w:r>
      <w:r w:rsidRPr="000474CC">
        <w:rPr>
          <w:szCs w:val="24"/>
        </w:rPr>
        <w:t>C, caught by the foreign chartered vessel [name of vessel] in the Exclusive Economic Zone of Australia"</w:t>
      </w:r>
      <w:r>
        <w:rPr>
          <w:szCs w:val="24"/>
        </w:rPr>
        <w:t>.</w:t>
      </w:r>
    </w:p>
    <w:p w14:paraId="0C36E26D" w14:textId="77777777" w:rsidR="001675B3" w:rsidRDefault="001675B3" w:rsidP="00766B44">
      <w:pPr>
        <w:spacing w:before="120" w:after="120" w:line="240" w:lineRule="atLeast"/>
        <w:rPr>
          <w:szCs w:val="24"/>
        </w:rPr>
      </w:pPr>
      <w:r w:rsidRPr="000474CC">
        <w:rPr>
          <w:szCs w:val="24"/>
        </w:rPr>
        <w:t>4.</w:t>
      </w:r>
      <w:r w:rsidRPr="000474CC">
        <w:rPr>
          <w:szCs w:val="24"/>
        </w:rPr>
        <w:tab/>
        <w:t>The Union</w:t>
      </w:r>
      <w:r w:rsidRPr="000474CC">
        <w:rPr>
          <w:rStyle w:val="FootnoteReference"/>
        </w:rPr>
        <w:footnoteReference w:id="1"/>
      </w:r>
      <w:r w:rsidRPr="000474CC">
        <w:rPr>
          <w:szCs w:val="24"/>
        </w:rPr>
        <w:t xml:space="preserve"> shall administer the origin quotas established under this Agreement in a transparent, objective and non-discriminatory manner on behalf of both parties. This includes making publicly available in a timely and continuous manner all relevant information concerning the administration of the origin quota, including the volume available.</w:t>
      </w:r>
    </w:p>
    <w:p w14:paraId="7D08EB66" w14:textId="77777777" w:rsidR="001675B3" w:rsidRPr="000474CC" w:rsidRDefault="001675B3" w:rsidP="00766B44">
      <w:pPr>
        <w:spacing w:before="120" w:after="120" w:line="240" w:lineRule="atLeast"/>
        <w:rPr>
          <w:szCs w:val="24"/>
        </w:rPr>
      </w:pPr>
      <w:r w:rsidRPr="000474CC">
        <w:rPr>
          <w:szCs w:val="24"/>
        </w:rPr>
        <w:t>5.</w:t>
      </w:r>
      <w:r w:rsidRPr="000474CC">
        <w:rPr>
          <w:szCs w:val="24"/>
        </w:rPr>
        <w:tab/>
        <w:t>The European Union shall manage the origin quotas for textile and apparel products set out in this Annex on a first-come first-served basis and shall calculate the value of products entered under origin quotas on the basis of the imports into the European Union from Australia.</w:t>
      </w:r>
    </w:p>
    <w:p w14:paraId="3E92F3A3" w14:textId="77777777" w:rsidR="001675B3" w:rsidRPr="000474CC" w:rsidRDefault="001675B3" w:rsidP="00766B44">
      <w:pPr>
        <w:spacing w:before="120" w:after="120" w:line="240" w:lineRule="atLeast"/>
        <w:rPr>
          <w:szCs w:val="24"/>
        </w:rPr>
      </w:pPr>
      <w:r w:rsidRPr="000474CC">
        <w:rPr>
          <w:szCs w:val="24"/>
        </w:rPr>
        <w:t>6.</w:t>
      </w:r>
      <w:r w:rsidRPr="000474CC">
        <w:rPr>
          <w:szCs w:val="24"/>
        </w:rPr>
        <w:tab/>
        <w:t>The European Union shall manage the origin quotas for fish and seafood products set out in this Annex on a first-come first-served basis and shall calculate the quantity of products entered under origin quotas on the basis of the imports into the European Union from Australia.</w:t>
      </w:r>
    </w:p>
    <w:p w14:paraId="2D492991" w14:textId="00183548" w:rsidR="00766B44" w:rsidRDefault="001675B3" w:rsidP="00766B44">
      <w:pPr>
        <w:spacing w:before="120" w:after="120" w:line="240" w:lineRule="atLeast"/>
        <w:rPr>
          <w:szCs w:val="24"/>
        </w:rPr>
      </w:pPr>
      <w:r w:rsidRPr="000474CC">
        <w:rPr>
          <w:szCs w:val="24"/>
        </w:rPr>
        <w:t>Table 1 – Annual quota allocation for certain textile and apparel products exported from Australia to the European Union</w:t>
      </w:r>
    </w:p>
    <w:p w14:paraId="3BC0B664" w14:textId="77777777" w:rsidR="00766B44" w:rsidRDefault="00766B44">
      <w:pPr>
        <w:widowControl/>
        <w:spacing w:line="240" w:lineRule="auto"/>
        <w:rPr>
          <w:szCs w:val="24"/>
        </w:rPr>
      </w:pPr>
      <w:r>
        <w:rPr>
          <w:szCs w:val="24"/>
        </w:rPr>
        <w:br w:type="page"/>
      </w:r>
    </w:p>
    <w:p w14:paraId="0C144142" w14:textId="77777777" w:rsidR="001675B3" w:rsidRPr="000474CC" w:rsidRDefault="001675B3" w:rsidP="00766B44">
      <w:pPr>
        <w:spacing w:before="120" w:after="120" w:line="240" w:lineRule="atLeast"/>
        <w:rPr>
          <w:szCs w:val="24"/>
        </w:rPr>
      </w:pPr>
    </w:p>
    <w:tbl>
      <w:tblPr>
        <w:tblStyle w:val="TableGrid"/>
        <w:tblW w:w="5000" w:type="pct"/>
        <w:tblLook w:val="04A0" w:firstRow="1" w:lastRow="0" w:firstColumn="1" w:lastColumn="0" w:noHBand="0" w:noVBand="1"/>
      </w:tblPr>
      <w:tblGrid>
        <w:gridCol w:w="1539"/>
        <w:gridCol w:w="5467"/>
        <w:gridCol w:w="1296"/>
        <w:gridCol w:w="1327"/>
      </w:tblGrid>
      <w:tr w:rsidR="001675B3" w:rsidRPr="00E76594" w14:paraId="4CD1DFC8" w14:textId="77777777" w:rsidTr="00460396">
        <w:trPr>
          <w:cantSplit/>
          <w:tblHeader/>
        </w:trPr>
        <w:tc>
          <w:tcPr>
            <w:tcW w:w="799" w:type="pct"/>
            <w:vAlign w:val="center"/>
            <w:hideMark/>
          </w:tcPr>
          <w:p w14:paraId="6ACC6C2D"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Harmonized System classification (HS 2022)</w:t>
            </w:r>
          </w:p>
        </w:tc>
        <w:tc>
          <w:tcPr>
            <w:tcW w:w="2839" w:type="pct"/>
            <w:vAlign w:val="center"/>
            <w:hideMark/>
          </w:tcPr>
          <w:p w14:paraId="3F5EE5A5"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Product description</w:t>
            </w:r>
          </w:p>
        </w:tc>
        <w:tc>
          <w:tcPr>
            <w:tcW w:w="673" w:type="pct"/>
            <w:vAlign w:val="center"/>
            <w:hideMark/>
          </w:tcPr>
          <w:p w14:paraId="369CC8FA" w14:textId="77777777" w:rsidR="001675B3" w:rsidRPr="00E76594" w:rsidRDefault="001675B3" w:rsidP="00460396">
            <w:pPr>
              <w:widowControl/>
              <w:suppressAutoHyphens/>
              <w:spacing w:before="60" w:after="60" w:line="240" w:lineRule="auto"/>
              <w:ind w:left="-145" w:right="-110"/>
              <w:jc w:val="center"/>
              <w:rPr>
                <w:rFonts w:eastAsiaTheme="minorEastAsia"/>
                <w:szCs w:val="24"/>
              </w:rPr>
            </w:pPr>
            <w:r w:rsidRPr="00E76594">
              <w:rPr>
                <w:rFonts w:eastAsiaTheme="minorEastAsia"/>
                <w:szCs w:val="24"/>
              </w:rPr>
              <w:t>Alternative product-specific rule</w:t>
            </w:r>
          </w:p>
        </w:tc>
        <w:tc>
          <w:tcPr>
            <w:tcW w:w="689" w:type="pct"/>
            <w:vAlign w:val="center"/>
            <w:hideMark/>
          </w:tcPr>
          <w:p w14:paraId="37D6F716"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Annual quota</w:t>
            </w:r>
            <w:r>
              <w:rPr>
                <w:rFonts w:eastAsiaTheme="minorEastAsia"/>
                <w:szCs w:val="24"/>
              </w:rPr>
              <w:t xml:space="preserve"> </w:t>
            </w:r>
            <w:r w:rsidRPr="00E76594">
              <w:rPr>
                <w:rFonts w:eastAsiaTheme="minorEastAsia"/>
                <w:szCs w:val="24"/>
              </w:rPr>
              <w:br/>
              <w:t>[EUR]</w:t>
            </w:r>
          </w:p>
        </w:tc>
      </w:tr>
      <w:tr w:rsidR="001675B3" w:rsidRPr="00E76594" w14:paraId="0CF99D53" w14:textId="77777777" w:rsidTr="00460396">
        <w:tc>
          <w:tcPr>
            <w:tcW w:w="799" w:type="pct"/>
          </w:tcPr>
          <w:p w14:paraId="2A82DEDD"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56.07-56.09</w:t>
            </w:r>
          </w:p>
        </w:tc>
        <w:tc>
          <w:tcPr>
            <w:tcW w:w="2839" w:type="pct"/>
          </w:tcPr>
          <w:p w14:paraId="79AC8AA4"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Twine, cordage, ropes and cables, whether or not plaited or braided and whether or not impregnated, coated, covered or sheathed with rubber or plastics; knotted netting of twine, cordage or rope; made-up fishing nets and other made-up nets, of textile materials; articles of yarn, strip or the like of heading</w:t>
            </w:r>
            <w:r>
              <w:rPr>
                <w:rFonts w:eastAsiaTheme="minorEastAsia"/>
                <w:szCs w:val="24"/>
              </w:rPr>
              <w:t> </w:t>
            </w:r>
            <w:r w:rsidRPr="00E76594">
              <w:rPr>
                <w:rFonts w:eastAsiaTheme="minorEastAsia"/>
                <w:szCs w:val="24"/>
              </w:rPr>
              <w:t>5404 or 5405, twine, cordage, rope or cables, not elsewhere specified or included</w:t>
            </w:r>
          </w:p>
        </w:tc>
        <w:tc>
          <w:tcPr>
            <w:tcW w:w="673" w:type="pct"/>
          </w:tcPr>
          <w:p w14:paraId="6B4FA4EB"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tcPr>
          <w:p w14:paraId="6976C893" w14:textId="77777777" w:rsidR="001675B3" w:rsidRPr="00E76594" w:rsidRDefault="001675B3" w:rsidP="00460396">
            <w:pPr>
              <w:widowControl/>
              <w:suppressAutoHyphens/>
              <w:spacing w:before="60" w:after="60" w:line="240" w:lineRule="auto"/>
              <w:jc w:val="center"/>
              <w:rPr>
                <w:szCs w:val="24"/>
              </w:rPr>
            </w:pPr>
            <w:r w:rsidRPr="00E76594">
              <w:rPr>
                <w:szCs w:val="24"/>
              </w:rPr>
              <w:t>900</w:t>
            </w:r>
            <w:r>
              <w:rPr>
                <w:szCs w:val="24"/>
              </w:rPr>
              <w:t> </w:t>
            </w:r>
            <w:r w:rsidRPr="00E76594">
              <w:rPr>
                <w:szCs w:val="24"/>
              </w:rPr>
              <w:t>000</w:t>
            </w:r>
          </w:p>
        </w:tc>
      </w:tr>
      <w:tr w:rsidR="001675B3" w:rsidRPr="00E76594" w14:paraId="725B9654" w14:textId="77777777" w:rsidTr="00460396">
        <w:tc>
          <w:tcPr>
            <w:tcW w:w="799" w:type="pct"/>
            <w:hideMark/>
          </w:tcPr>
          <w:p w14:paraId="5F153E89" w14:textId="77777777" w:rsidR="001675B3" w:rsidRPr="00E76594" w:rsidRDefault="001675B3" w:rsidP="00460396">
            <w:pPr>
              <w:pageBreakBefore/>
              <w:widowControl/>
              <w:suppressAutoHyphens/>
              <w:spacing w:before="60" w:after="60" w:line="240" w:lineRule="auto"/>
              <w:rPr>
                <w:rFonts w:eastAsiaTheme="minorEastAsia"/>
                <w:szCs w:val="24"/>
              </w:rPr>
            </w:pPr>
            <w:r w:rsidRPr="00E76594">
              <w:rPr>
                <w:rFonts w:eastAsiaTheme="minorEastAsia"/>
                <w:szCs w:val="24"/>
              </w:rPr>
              <w:lastRenderedPageBreak/>
              <w:t>61.03</w:t>
            </w:r>
            <w:r>
              <w:rPr>
                <w:rFonts w:eastAsiaTheme="minorEastAsia"/>
                <w:szCs w:val="24"/>
              </w:rPr>
              <w:t>-</w:t>
            </w:r>
            <w:r w:rsidRPr="00E76594">
              <w:rPr>
                <w:rFonts w:eastAsiaTheme="minorEastAsia"/>
                <w:szCs w:val="24"/>
              </w:rPr>
              <w:t>61.04</w:t>
            </w:r>
          </w:p>
        </w:tc>
        <w:tc>
          <w:tcPr>
            <w:tcW w:w="2839" w:type="pct"/>
            <w:hideMark/>
          </w:tcPr>
          <w:p w14:paraId="4D0CEF40"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Men's or boys' suits, ensembles, jackets, blazers, trousers, bib and brace overalls, breeches and shorts (other than swimwear), knitted or crocheted; Women's or girls' suits, ensembles, jackets, blazers, dresses, skirts, divided skirts, trousers, bib and brace overalls, breeches and shorts (other than swimwear), knitted or crocheted</w:t>
            </w:r>
          </w:p>
        </w:tc>
        <w:tc>
          <w:tcPr>
            <w:tcW w:w="673" w:type="pct"/>
            <w:hideMark/>
          </w:tcPr>
          <w:p w14:paraId="04435028"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2566C335"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4</w:t>
            </w:r>
            <w:r>
              <w:rPr>
                <w:rFonts w:eastAsiaTheme="minorEastAsia"/>
                <w:szCs w:val="24"/>
              </w:rPr>
              <w:t> </w:t>
            </w:r>
            <w:r w:rsidRPr="00E76594">
              <w:rPr>
                <w:rFonts w:eastAsiaTheme="minorEastAsia"/>
                <w:szCs w:val="24"/>
              </w:rPr>
              <w:t>500</w:t>
            </w:r>
            <w:r>
              <w:rPr>
                <w:rFonts w:eastAsiaTheme="minorEastAsia"/>
                <w:szCs w:val="24"/>
              </w:rPr>
              <w:t> </w:t>
            </w:r>
            <w:r w:rsidRPr="00E76594">
              <w:rPr>
                <w:rFonts w:eastAsiaTheme="minorEastAsia"/>
                <w:szCs w:val="24"/>
              </w:rPr>
              <w:t>000</w:t>
            </w:r>
          </w:p>
        </w:tc>
      </w:tr>
      <w:tr w:rsidR="001675B3" w:rsidRPr="00E76594" w14:paraId="681FED1D" w14:textId="77777777" w:rsidTr="00460396">
        <w:tc>
          <w:tcPr>
            <w:tcW w:w="799" w:type="pct"/>
            <w:hideMark/>
          </w:tcPr>
          <w:p w14:paraId="3EA2F8B2"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61.05</w:t>
            </w:r>
            <w:r>
              <w:rPr>
                <w:rFonts w:eastAsiaTheme="minorEastAsia"/>
                <w:szCs w:val="24"/>
              </w:rPr>
              <w:t>-</w:t>
            </w:r>
            <w:r w:rsidRPr="00E76594">
              <w:rPr>
                <w:rFonts w:eastAsiaTheme="minorEastAsia"/>
                <w:szCs w:val="24"/>
              </w:rPr>
              <w:t>61.06</w:t>
            </w:r>
          </w:p>
        </w:tc>
        <w:tc>
          <w:tcPr>
            <w:tcW w:w="2839" w:type="pct"/>
            <w:hideMark/>
          </w:tcPr>
          <w:p w14:paraId="0D2B98F6"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Men's or boys' shirts, knitted or crocheted; Women's or girls' blouses, shirts and shirt-blouses, knitted or crocheted</w:t>
            </w:r>
          </w:p>
        </w:tc>
        <w:tc>
          <w:tcPr>
            <w:tcW w:w="673" w:type="pct"/>
            <w:hideMark/>
          </w:tcPr>
          <w:p w14:paraId="5C97D61B"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47FDA140"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1</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3334DEAA" w14:textId="77777777" w:rsidTr="00460396">
        <w:tc>
          <w:tcPr>
            <w:tcW w:w="799" w:type="pct"/>
            <w:hideMark/>
          </w:tcPr>
          <w:p w14:paraId="2BD85BB6"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61.07</w:t>
            </w:r>
            <w:r>
              <w:rPr>
                <w:rFonts w:eastAsiaTheme="minorEastAsia"/>
                <w:szCs w:val="24"/>
              </w:rPr>
              <w:t>-</w:t>
            </w:r>
            <w:r w:rsidRPr="00E76594">
              <w:rPr>
                <w:rFonts w:eastAsiaTheme="minorEastAsia"/>
                <w:szCs w:val="24"/>
              </w:rPr>
              <w:t>61.08</w:t>
            </w:r>
          </w:p>
        </w:tc>
        <w:tc>
          <w:tcPr>
            <w:tcW w:w="2839" w:type="pct"/>
            <w:hideMark/>
          </w:tcPr>
          <w:p w14:paraId="2643175B"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Men's or boys' underpants, briefs, nightshirts, pyjamas, bathrobes, dressing gowns and similar articles, knitted or crocheted; Women's or girls' slips, petticoats, briefs, panties, nightdresses, pyjamas, negligees, bathrobes, dressing gowns and similar articles, knitted or crocheted</w:t>
            </w:r>
          </w:p>
        </w:tc>
        <w:tc>
          <w:tcPr>
            <w:tcW w:w="673" w:type="pct"/>
            <w:hideMark/>
          </w:tcPr>
          <w:p w14:paraId="76E3C769"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1B6600AE"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1</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4294C801" w14:textId="77777777" w:rsidTr="00460396">
        <w:tc>
          <w:tcPr>
            <w:tcW w:w="799" w:type="pct"/>
            <w:hideMark/>
          </w:tcPr>
          <w:p w14:paraId="0E4EF63A"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61.09</w:t>
            </w:r>
          </w:p>
        </w:tc>
        <w:tc>
          <w:tcPr>
            <w:tcW w:w="2839" w:type="pct"/>
            <w:hideMark/>
          </w:tcPr>
          <w:p w14:paraId="0648DA14"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T-shirts, singlets and other vests, knitted or crocheted</w:t>
            </w:r>
          </w:p>
        </w:tc>
        <w:tc>
          <w:tcPr>
            <w:tcW w:w="673" w:type="pct"/>
            <w:hideMark/>
          </w:tcPr>
          <w:p w14:paraId="33E2DDED"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21688A77"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5</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3E911AFE" w14:textId="77777777" w:rsidTr="00460396">
        <w:tc>
          <w:tcPr>
            <w:tcW w:w="799" w:type="pct"/>
            <w:hideMark/>
          </w:tcPr>
          <w:p w14:paraId="60C9A0DC"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61.10</w:t>
            </w:r>
          </w:p>
        </w:tc>
        <w:tc>
          <w:tcPr>
            <w:tcW w:w="2839" w:type="pct"/>
            <w:hideMark/>
          </w:tcPr>
          <w:p w14:paraId="322CF13D"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Jerseys, pullovers, cardigans, waistcoats and similar articles, knitted or crocheted</w:t>
            </w:r>
          </w:p>
        </w:tc>
        <w:tc>
          <w:tcPr>
            <w:tcW w:w="673" w:type="pct"/>
            <w:hideMark/>
          </w:tcPr>
          <w:p w14:paraId="012F786C"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152B70BF"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4</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1F570A85" w14:textId="77777777" w:rsidTr="00460396">
        <w:tc>
          <w:tcPr>
            <w:tcW w:w="799" w:type="pct"/>
            <w:hideMark/>
          </w:tcPr>
          <w:p w14:paraId="5FC54BD0"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61.12</w:t>
            </w:r>
          </w:p>
        </w:tc>
        <w:tc>
          <w:tcPr>
            <w:tcW w:w="2839" w:type="pct"/>
            <w:hideMark/>
          </w:tcPr>
          <w:p w14:paraId="2EFA624D"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Track suits, ski suits and swimwear, knitted or crocheted</w:t>
            </w:r>
          </w:p>
        </w:tc>
        <w:tc>
          <w:tcPr>
            <w:tcW w:w="673" w:type="pct"/>
            <w:hideMark/>
          </w:tcPr>
          <w:p w14:paraId="5699E17D"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686C571E"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5</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5CBFDA89" w14:textId="77777777" w:rsidTr="00460396">
        <w:tc>
          <w:tcPr>
            <w:tcW w:w="799" w:type="pct"/>
            <w:hideMark/>
          </w:tcPr>
          <w:p w14:paraId="693B4404"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61.14</w:t>
            </w:r>
          </w:p>
        </w:tc>
        <w:tc>
          <w:tcPr>
            <w:tcW w:w="2839" w:type="pct"/>
            <w:hideMark/>
          </w:tcPr>
          <w:p w14:paraId="21AD3408"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Other garments, knitted or crocheted</w:t>
            </w:r>
          </w:p>
        </w:tc>
        <w:tc>
          <w:tcPr>
            <w:tcW w:w="673" w:type="pct"/>
            <w:hideMark/>
          </w:tcPr>
          <w:p w14:paraId="0CB1E3F0"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1F82172D"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1</w:t>
            </w:r>
            <w:r>
              <w:rPr>
                <w:rFonts w:eastAsiaTheme="minorEastAsia"/>
                <w:szCs w:val="24"/>
              </w:rPr>
              <w:t> </w:t>
            </w:r>
            <w:r w:rsidRPr="00E76594">
              <w:rPr>
                <w:rFonts w:eastAsiaTheme="minorEastAsia"/>
                <w:szCs w:val="24"/>
              </w:rPr>
              <w:t>500</w:t>
            </w:r>
            <w:r>
              <w:rPr>
                <w:rFonts w:eastAsiaTheme="minorEastAsia"/>
                <w:szCs w:val="24"/>
              </w:rPr>
              <w:t> </w:t>
            </w:r>
            <w:r w:rsidRPr="00E76594">
              <w:rPr>
                <w:rFonts w:eastAsiaTheme="minorEastAsia"/>
                <w:szCs w:val="24"/>
              </w:rPr>
              <w:t>000</w:t>
            </w:r>
          </w:p>
        </w:tc>
      </w:tr>
      <w:tr w:rsidR="001675B3" w:rsidRPr="00E76594" w14:paraId="20DB5C3A" w14:textId="77777777" w:rsidTr="00460396">
        <w:tc>
          <w:tcPr>
            <w:tcW w:w="799" w:type="pct"/>
            <w:hideMark/>
          </w:tcPr>
          <w:p w14:paraId="472F94A8"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61.17</w:t>
            </w:r>
          </w:p>
        </w:tc>
        <w:tc>
          <w:tcPr>
            <w:tcW w:w="2839" w:type="pct"/>
            <w:hideMark/>
          </w:tcPr>
          <w:p w14:paraId="0766D789"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Other made</w:t>
            </w:r>
            <w:r>
              <w:rPr>
                <w:rFonts w:eastAsiaTheme="minorEastAsia"/>
                <w:szCs w:val="24"/>
              </w:rPr>
              <w:t>-</w:t>
            </w:r>
            <w:r w:rsidRPr="00E76594">
              <w:rPr>
                <w:rFonts w:eastAsiaTheme="minorEastAsia"/>
                <w:szCs w:val="24"/>
              </w:rPr>
              <w:t>up clothing accessories, knitted or crocheted; knitted or crocheted parts of garments or of clothing accessories</w:t>
            </w:r>
          </w:p>
        </w:tc>
        <w:tc>
          <w:tcPr>
            <w:tcW w:w="673" w:type="pct"/>
            <w:hideMark/>
          </w:tcPr>
          <w:p w14:paraId="0F6768D5"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0D2D607D"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750</w:t>
            </w:r>
            <w:r>
              <w:rPr>
                <w:rFonts w:eastAsiaTheme="minorEastAsia"/>
                <w:szCs w:val="24"/>
              </w:rPr>
              <w:t> </w:t>
            </w:r>
            <w:r w:rsidRPr="00E76594">
              <w:rPr>
                <w:rFonts w:eastAsiaTheme="minorEastAsia"/>
                <w:szCs w:val="24"/>
              </w:rPr>
              <w:t>000</w:t>
            </w:r>
          </w:p>
        </w:tc>
      </w:tr>
      <w:tr w:rsidR="001675B3" w:rsidRPr="00E76594" w14:paraId="6EB74D81" w14:textId="77777777" w:rsidTr="00460396">
        <w:tc>
          <w:tcPr>
            <w:tcW w:w="799" w:type="pct"/>
            <w:hideMark/>
          </w:tcPr>
          <w:p w14:paraId="1A6DD51F" w14:textId="77777777" w:rsidR="001675B3" w:rsidRPr="00E76594" w:rsidRDefault="001675B3" w:rsidP="00460396">
            <w:pPr>
              <w:pageBreakBefore/>
              <w:widowControl/>
              <w:suppressAutoHyphens/>
              <w:spacing w:before="60" w:after="60" w:line="240" w:lineRule="auto"/>
              <w:rPr>
                <w:rFonts w:eastAsiaTheme="minorEastAsia"/>
                <w:szCs w:val="24"/>
              </w:rPr>
            </w:pPr>
            <w:r w:rsidRPr="00E76594">
              <w:rPr>
                <w:rFonts w:eastAsiaTheme="minorEastAsia"/>
                <w:szCs w:val="24"/>
              </w:rPr>
              <w:lastRenderedPageBreak/>
              <w:t>62.01</w:t>
            </w:r>
            <w:r>
              <w:rPr>
                <w:rFonts w:eastAsiaTheme="minorEastAsia"/>
                <w:szCs w:val="24"/>
              </w:rPr>
              <w:t>-</w:t>
            </w:r>
            <w:r w:rsidRPr="00E76594">
              <w:rPr>
                <w:rFonts w:eastAsiaTheme="minorEastAsia"/>
                <w:szCs w:val="24"/>
              </w:rPr>
              <w:t>62.02</w:t>
            </w:r>
          </w:p>
        </w:tc>
        <w:tc>
          <w:tcPr>
            <w:tcW w:w="2839" w:type="pct"/>
            <w:hideMark/>
          </w:tcPr>
          <w:p w14:paraId="0295B4A5"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Men's or boys' overcoats, car-coats, capes, cloaks, anoraks (including ski-jackets), wind-cheaters, wind</w:t>
            </w:r>
            <w:r>
              <w:rPr>
                <w:rFonts w:eastAsiaTheme="minorEastAsia"/>
                <w:szCs w:val="24"/>
              </w:rPr>
              <w:noBreakHyphen/>
            </w:r>
            <w:r w:rsidRPr="00E76594">
              <w:rPr>
                <w:rFonts w:eastAsiaTheme="minorEastAsia"/>
                <w:szCs w:val="24"/>
              </w:rPr>
              <w:t>jackets and similar articles, other than those of</w:t>
            </w:r>
            <w:r>
              <w:rPr>
                <w:rFonts w:eastAsiaTheme="minorEastAsia"/>
                <w:szCs w:val="24"/>
              </w:rPr>
              <w:t> </w:t>
            </w:r>
            <w:r w:rsidRPr="00E76594">
              <w:rPr>
                <w:rFonts w:eastAsiaTheme="minorEastAsia"/>
                <w:szCs w:val="24"/>
              </w:rPr>
              <w:t>6203; Women's or girls' overcoats, car-coats, capes, cloaks, anoraks (including ski-jackets), wind-cheaters, wind-jackets and similar articles, other than those of</w:t>
            </w:r>
            <w:r>
              <w:rPr>
                <w:rFonts w:eastAsiaTheme="minorEastAsia"/>
                <w:szCs w:val="24"/>
              </w:rPr>
              <w:t> </w:t>
            </w:r>
            <w:r w:rsidRPr="00E76594">
              <w:rPr>
                <w:rFonts w:eastAsiaTheme="minorEastAsia"/>
                <w:szCs w:val="24"/>
              </w:rPr>
              <w:t>6204</w:t>
            </w:r>
          </w:p>
        </w:tc>
        <w:tc>
          <w:tcPr>
            <w:tcW w:w="673" w:type="pct"/>
            <w:hideMark/>
          </w:tcPr>
          <w:p w14:paraId="443FE220"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61D2CAB4"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5</w:t>
            </w:r>
            <w:r>
              <w:rPr>
                <w:rFonts w:eastAsiaTheme="minorEastAsia"/>
                <w:szCs w:val="24"/>
              </w:rPr>
              <w:t> </w:t>
            </w:r>
            <w:r w:rsidRPr="00E76594">
              <w:rPr>
                <w:rFonts w:eastAsiaTheme="minorEastAsia"/>
                <w:szCs w:val="24"/>
              </w:rPr>
              <w:t>750</w:t>
            </w:r>
            <w:r>
              <w:rPr>
                <w:rFonts w:eastAsiaTheme="minorEastAsia"/>
                <w:szCs w:val="24"/>
              </w:rPr>
              <w:t> </w:t>
            </w:r>
            <w:r w:rsidRPr="00E76594">
              <w:rPr>
                <w:rFonts w:eastAsiaTheme="minorEastAsia"/>
                <w:szCs w:val="24"/>
              </w:rPr>
              <w:t>000</w:t>
            </w:r>
          </w:p>
        </w:tc>
      </w:tr>
      <w:tr w:rsidR="001675B3" w:rsidRPr="00E76594" w14:paraId="39349E89" w14:textId="77777777" w:rsidTr="00460396">
        <w:tc>
          <w:tcPr>
            <w:tcW w:w="799" w:type="pct"/>
            <w:hideMark/>
          </w:tcPr>
          <w:p w14:paraId="09254035"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62.03</w:t>
            </w:r>
            <w:r>
              <w:rPr>
                <w:rFonts w:eastAsiaTheme="minorEastAsia"/>
                <w:szCs w:val="24"/>
              </w:rPr>
              <w:t>-</w:t>
            </w:r>
            <w:r w:rsidRPr="00E76594">
              <w:rPr>
                <w:rFonts w:eastAsiaTheme="minorEastAsia"/>
                <w:szCs w:val="24"/>
              </w:rPr>
              <w:t>62.04</w:t>
            </w:r>
          </w:p>
        </w:tc>
        <w:tc>
          <w:tcPr>
            <w:tcW w:w="2839" w:type="pct"/>
            <w:hideMark/>
          </w:tcPr>
          <w:p w14:paraId="751CEBEB"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Men's or boys' suits, ensembles, jackets, blazers, trousers, bib and brace overalls, breeches and shorts (other than swimwear); Women's or girls' suits, ensembles, jackets, blazers, dresses, skirts, divided skirts, trousers, bib and brace overalls, breeches and shorts (other than swimwear)</w:t>
            </w:r>
          </w:p>
        </w:tc>
        <w:tc>
          <w:tcPr>
            <w:tcW w:w="673" w:type="pct"/>
            <w:hideMark/>
          </w:tcPr>
          <w:p w14:paraId="71939F30"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474EE85A"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15</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019D55D7" w14:textId="77777777" w:rsidTr="00460396">
        <w:tc>
          <w:tcPr>
            <w:tcW w:w="799" w:type="pct"/>
            <w:hideMark/>
          </w:tcPr>
          <w:p w14:paraId="32B2BF71"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62.05</w:t>
            </w:r>
            <w:r>
              <w:rPr>
                <w:rFonts w:eastAsiaTheme="minorEastAsia"/>
                <w:szCs w:val="24"/>
              </w:rPr>
              <w:t>-</w:t>
            </w:r>
            <w:r w:rsidRPr="00E76594">
              <w:rPr>
                <w:rFonts w:eastAsiaTheme="minorEastAsia"/>
                <w:szCs w:val="24"/>
              </w:rPr>
              <w:t>62.06</w:t>
            </w:r>
          </w:p>
        </w:tc>
        <w:tc>
          <w:tcPr>
            <w:tcW w:w="2839" w:type="pct"/>
            <w:hideMark/>
          </w:tcPr>
          <w:p w14:paraId="0E672B72"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Men's or boys' shirts; Women's or girls' blouses, shirts and shirt-blouses</w:t>
            </w:r>
          </w:p>
        </w:tc>
        <w:tc>
          <w:tcPr>
            <w:tcW w:w="673" w:type="pct"/>
            <w:hideMark/>
          </w:tcPr>
          <w:p w14:paraId="26FA5C47"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6DB2DB8B"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3</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028AD8CB" w14:textId="77777777" w:rsidTr="00460396">
        <w:tc>
          <w:tcPr>
            <w:tcW w:w="799" w:type="pct"/>
            <w:hideMark/>
          </w:tcPr>
          <w:p w14:paraId="0BF2D3C7"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62.08</w:t>
            </w:r>
          </w:p>
        </w:tc>
        <w:tc>
          <w:tcPr>
            <w:tcW w:w="2839" w:type="pct"/>
            <w:hideMark/>
          </w:tcPr>
          <w:p w14:paraId="7DB33562"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Women's or girls' singlets and other vests, slips, petticoats, briefs, panties, nightdresses, pyjamas, negligees, bathrobes, dressing gowns and similar articles</w:t>
            </w:r>
          </w:p>
        </w:tc>
        <w:tc>
          <w:tcPr>
            <w:tcW w:w="673" w:type="pct"/>
            <w:hideMark/>
          </w:tcPr>
          <w:p w14:paraId="5F13EFDE"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1AE5F23D"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1</w:t>
            </w:r>
            <w:r>
              <w:rPr>
                <w:rFonts w:eastAsiaTheme="minorEastAsia"/>
                <w:szCs w:val="24"/>
              </w:rPr>
              <w:t> </w:t>
            </w:r>
            <w:r w:rsidRPr="00E76594">
              <w:rPr>
                <w:rFonts w:eastAsiaTheme="minorEastAsia"/>
                <w:szCs w:val="24"/>
              </w:rPr>
              <w:t>000</w:t>
            </w:r>
            <w:r>
              <w:rPr>
                <w:rFonts w:eastAsiaTheme="minorEastAsia"/>
                <w:szCs w:val="24"/>
              </w:rPr>
              <w:t> </w:t>
            </w:r>
            <w:r w:rsidRPr="00E76594">
              <w:rPr>
                <w:rFonts w:eastAsiaTheme="minorEastAsia"/>
                <w:szCs w:val="24"/>
              </w:rPr>
              <w:t>000</w:t>
            </w:r>
          </w:p>
        </w:tc>
      </w:tr>
      <w:tr w:rsidR="001675B3" w:rsidRPr="00E76594" w14:paraId="3FAEAB6F" w14:textId="77777777" w:rsidTr="00460396">
        <w:tc>
          <w:tcPr>
            <w:tcW w:w="799" w:type="pct"/>
            <w:hideMark/>
          </w:tcPr>
          <w:p w14:paraId="23AB93ED"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62.11</w:t>
            </w:r>
          </w:p>
        </w:tc>
        <w:tc>
          <w:tcPr>
            <w:tcW w:w="2839" w:type="pct"/>
            <w:hideMark/>
          </w:tcPr>
          <w:p w14:paraId="0856BD13" w14:textId="77777777" w:rsidR="001675B3" w:rsidRPr="00E76594" w:rsidRDefault="001675B3" w:rsidP="00460396">
            <w:pPr>
              <w:widowControl/>
              <w:suppressAutoHyphens/>
              <w:spacing w:before="60" w:after="60" w:line="240" w:lineRule="auto"/>
              <w:rPr>
                <w:rFonts w:eastAsiaTheme="minorEastAsia"/>
                <w:szCs w:val="24"/>
              </w:rPr>
            </w:pPr>
            <w:r w:rsidRPr="00E76594">
              <w:rPr>
                <w:rFonts w:eastAsiaTheme="minorEastAsia"/>
                <w:szCs w:val="24"/>
              </w:rPr>
              <w:t>Track suits, ski suits and swimwear; other garments</w:t>
            </w:r>
          </w:p>
        </w:tc>
        <w:tc>
          <w:tcPr>
            <w:tcW w:w="673" w:type="pct"/>
            <w:hideMark/>
          </w:tcPr>
          <w:p w14:paraId="02A04172"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CC</w:t>
            </w:r>
          </w:p>
        </w:tc>
        <w:tc>
          <w:tcPr>
            <w:tcW w:w="689" w:type="pct"/>
            <w:hideMark/>
          </w:tcPr>
          <w:p w14:paraId="58FB6716" w14:textId="77777777" w:rsidR="001675B3" w:rsidRPr="00E76594" w:rsidRDefault="001675B3" w:rsidP="00460396">
            <w:pPr>
              <w:widowControl/>
              <w:suppressAutoHyphens/>
              <w:spacing w:before="60" w:after="60" w:line="240" w:lineRule="auto"/>
              <w:jc w:val="center"/>
              <w:rPr>
                <w:rFonts w:eastAsiaTheme="minorEastAsia"/>
                <w:szCs w:val="24"/>
              </w:rPr>
            </w:pPr>
            <w:r w:rsidRPr="00E76594">
              <w:rPr>
                <w:rFonts w:eastAsiaTheme="minorEastAsia"/>
                <w:szCs w:val="24"/>
              </w:rPr>
              <w:t>2</w:t>
            </w:r>
            <w:r>
              <w:rPr>
                <w:rFonts w:eastAsiaTheme="minorEastAsia"/>
                <w:szCs w:val="24"/>
              </w:rPr>
              <w:t> </w:t>
            </w:r>
            <w:r w:rsidRPr="00E76594">
              <w:rPr>
                <w:rFonts w:eastAsiaTheme="minorEastAsia"/>
                <w:szCs w:val="24"/>
              </w:rPr>
              <w:t>500</w:t>
            </w:r>
            <w:r>
              <w:rPr>
                <w:rFonts w:eastAsiaTheme="minorEastAsia"/>
                <w:szCs w:val="24"/>
              </w:rPr>
              <w:t> </w:t>
            </w:r>
            <w:r w:rsidRPr="00E76594">
              <w:rPr>
                <w:rFonts w:eastAsiaTheme="minorEastAsia"/>
                <w:szCs w:val="24"/>
              </w:rPr>
              <w:t>000</w:t>
            </w:r>
          </w:p>
        </w:tc>
      </w:tr>
    </w:tbl>
    <w:p w14:paraId="5DD3D498" w14:textId="77777777" w:rsidR="001675B3" w:rsidRDefault="001675B3" w:rsidP="001675B3">
      <w:pPr>
        <w:widowControl/>
        <w:spacing w:line="240" w:lineRule="auto"/>
        <w:rPr>
          <w:szCs w:val="24"/>
        </w:rPr>
      </w:pPr>
      <w:r>
        <w:rPr>
          <w:szCs w:val="24"/>
        </w:rPr>
        <w:br w:type="page"/>
      </w:r>
    </w:p>
    <w:p w14:paraId="228FAC2E" w14:textId="77777777" w:rsidR="001675B3" w:rsidRDefault="001675B3" w:rsidP="001445F8">
      <w:pPr>
        <w:spacing w:before="120" w:after="120" w:line="240" w:lineRule="atLeast"/>
        <w:rPr>
          <w:szCs w:val="24"/>
        </w:rPr>
      </w:pPr>
      <w:r w:rsidRPr="000474CC">
        <w:rPr>
          <w:szCs w:val="24"/>
        </w:rPr>
        <w:lastRenderedPageBreak/>
        <w:t>Table 2 – Annual quota allocation for fish and seafood products exported from Australia to the European Union which are, caught in the Exclusive Economic Zone of Australia by foreign chartered vessels registered in Australia, which sail under the flag of Australia.</w:t>
      </w:r>
    </w:p>
    <w:p w14:paraId="65EF09E1" w14:textId="77777777" w:rsidR="000B1630" w:rsidRDefault="000B1630" w:rsidP="001445F8">
      <w:pPr>
        <w:spacing w:before="120" w:after="120" w:line="240" w:lineRule="atLeast"/>
        <w:rPr>
          <w:szCs w:val="24"/>
        </w:rPr>
      </w:pPr>
    </w:p>
    <w:tbl>
      <w:tblPr>
        <w:tblStyle w:val="TableGrid"/>
        <w:tblW w:w="5000" w:type="pct"/>
        <w:tblLayout w:type="fixed"/>
        <w:tblLook w:val="04A0" w:firstRow="1" w:lastRow="0" w:firstColumn="1" w:lastColumn="0" w:noHBand="0" w:noVBand="1"/>
      </w:tblPr>
      <w:tblGrid>
        <w:gridCol w:w="1554"/>
        <w:gridCol w:w="4961"/>
        <w:gridCol w:w="1417"/>
        <w:gridCol w:w="1697"/>
      </w:tblGrid>
      <w:tr w:rsidR="001675B3" w:rsidRPr="00244758" w14:paraId="2374A563" w14:textId="77777777" w:rsidTr="00460396">
        <w:trPr>
          <w:cantSplit/>
          <w:tblHeader/>
        </w:trPr>
        <w:tc>
          <w:tcPr>
            <w:tcW w:w="807" w:type="pct"/>
            <w:vAlign w:val="center"/>
          </w:tcPr>
          <w:p w14:paraId="62CB8443" w14:textId="77777777" w:rsidR="001675B3" w:rsidRPr="00244758" w:rsidRDefault="001675B3" w:rsidP="001445F8">
            <w:pPr>
              <w:widowControl/>
              <w:suppressAutoHyphens/>
              <w:spacing w:before="120" w:after="120" w:line="240" w:lineRule="atLeast"/>
              <w:jc w:val="center"/>
              <w:rPr>
                <w:szCs w:val="24"/>
              </w:rPr>
            </w:pPr>
            <w:r w:rsidRPr="00244758">
              <w:rPr>
                <w:szCs w:val="24"/>
              </w:rPr>
              <w:t>Harmonized System classification (HS 2022)</w:t>
            </w:r>
          </w:p>
        </w:tc>
        <w:tc>
          <w:tcPr>
            <w:tcW w:w="2576" w:type="pct"/>
            <w:vAlign w:val="center"/>
          </w:tcPr>
          <w:p w14:paraId="349DF028" w14:textId="77777777" w:rsidR="001675B3" w:rsidRPr="00244758" w:rsidRDefault="001675B3" w:rsidP="001445F8">
            <w:pPr>
              <w:widowControl/>
              <w:suppressAutoHyphens/>
              <w:spacing w:before="120" w:after="120" w:line="240" w:lineRule="atLeast"/>
              <w:jc w:val="center"/>
              <w:rPr>
                <w:szCs w:val="24"/>
              </w:rPr>
            </w:pPr>
            <w:r w:rsidRPr="00244758">
              <w:rPr>
                <w:szCs w:val="24"/>
              </w:rPr>
              <w:t>Product description</w:t>
            </w:r>
          </w:p>
        </w:tc>
        <w:tc>
          <w:tcPr>
            <w:tcW w:w="736" w:type="pct"/>
            <w:vAlign w:val="center"/>
          </w:tcPr>
          <w:p w14:paraId="2A130500" w14:textId="77777777" w:rsidR="001675B3" w:rsidRPr="00244758" w:rsidRDefault="001675B3" w:rsidP="001445F8">
            <w:pPr>
              <w:widowControl/>
              <w:suppressAutoHyphens/>
              <w:spacing w:before="120" w:after="120" w:line="240" w:lineRule="atLeast"/>
              <w:jc w:val="center"/>
              <w:rPr>
                <w:szCs w:val="24"/>
              </w:rPr>
            </w:pPr>
            <w:r w:rsidRPr="00244758">
              <w:rPr>
                <w:szCs w:val="24"/>
              </w:rPr>
              <w:t>Alternative product-specific rule</w:t>
            </w:r>
          </w:p>
        </w:tc>
        <w:tc>
          <w:tcPr>
            <w:tcW w:w="881" w:type="pct"/>
            <w:vAlign w:val="center"/>
          </w:tcPr>
          <w:p w14:paraId="36B39C01" w14:textId="77777777" w:rsidR="001675B3" w:rsidRPr="00244758" w:rsidRDefault="001675B3" w:rsidP="001445F8">
            <w:pPr>
              <w:widowControl/>
              <w:suppressAutoHyphens/>
              <w:spacing w:before="120" w:after="120" w:line="240" w:lineRule="atLeast"/>
              <w:jc w:val="center"/>
              <w:rPr>
                <w:szCs w:val="24"/>
              </w:rPr>
            </w:pPr>
            <w:r w:rsidRPr="00244758">
              <w:rPr>
                <w:szCs w:val="24"/>
              </w:rPr>
              <w:t>Annual quota</w:t>
            </w:r>
            <w:r>
              <w:rPr>
                <w:szCs w:val="24"/>
              </w:rPr>
              <w:t xml:space="preserve"> </w:t>
            </w:r>
            <w:r>
              <w:rPr>
                <w:szCs w:val="24"/>
              </w:rPr>
              <w:br/>
            </w:r>
            <w:r w:rsidRPr="00244758">
              <w:rPr>
                <w:szCs w:val="24"/>
              </w:rPr>
              <w:t>(metric tonnes, net weight)</w:t>
            </w:r>
          </w:p>
        </w:tc>
      </w:tr>
      <w:tr w:rsidR="001675B3" w:rsidRPr="00244758" w14:paraId="61D3C8A8" w14:textId="77777777" w:rsidTr="00460396">
        <w:tc>
          <w:tcPr>
            <w:tcW w:w="807" w:type="pct"/>
          </w:tcPr>
          <w:p w14:paraId="4CF98455" w14:textId="77777777" w:rsidR="001675B3" w:rsidRPr="00244758" w:rsidRDefault="001675B3" w:rsidP="001445F8">
            <w:pPr>
              <w:widowControl/>
              <w:suppressAutoHyphens/>
              <w:spacing w:before="120" w:after="120" w:line="240" w:lineRule="atLeast"/>
              <w:rPr>
                <w:szCs w:val="24"/>
              </w:rPr>
            </w:pPr>
            <w:r w:rsidRPr="00244758">
              <w:rPr>
                <w:szCs w:val="24"/>
              </w:rPr>
              <w:t>Chapter 03</w:t>
            </w:r>
          </w:p>
        </w:tc>
        <w:tc>
          <w:tcPr>
            <w:tcW w:w="2576" w:type="pct"/>
          </w:tcPr>
          <w:p w14:paraId="1B5681A7" w14:textId="77777777" w:rsidR="001675B3" w:rsidRPr="00244758" w:rsidRDefault="001675B3" w:rsidP="001445F8">
            <w:pPr>
              <w:widowControl/>
              <w:suppressAutoHyphens/>
              <w:spacing w:before="120" w:after="120" w:line="240" w:lineRule="atLeast"/>
              <w:rPr>
                <w:szCs w:val="24"/>
              </w:rPr>
            </w:pPr>
            <w:r w:rsidRPr="00244758">
              <w:rPr>
                <w:szCs w:val="24"/>
              </w:rPr>
              <w:t>Fish and crustaceans, molluscs and other aquatic invertebrates</w:t>
            </w:r>
          </w:p>
        </w:tc>
        <w:tc>
          <w:tcPr>
            <w:tcW w:w="736" w:type="pct"/>
          </w:tcPr>
          <w:p w14:paraId="60B8B62A" w14:textId="77777777" w:rsidR="001675B3" w:rsidRPr="00244758" w:rsidRDefault="001675B3" w:rsidP="001445F8">
            <w:pPr>
              <w:widowControl/>
              <w:suppressAutoHyphens/>
              <w:spacing w:before="120" w:after="120" w:line="240" w:lineRule="atLeast"/>
              <w:jc w:val="center"/>
              <w:rPr>
                <w:szCs w:val="24"/>
              </w:rPr>
            </w:pPr>
            <w:r w:rsidRPr="00244758">
              <w:rPr>
                <w:szCs w:val="24"/>
              </w:rPr>
              <w:t>CTH</w:t>
            </w:r>
          </w:p>
        </w:tc>
        <w:tc>
          <w:tcPr>
            <w:tcW w:w="881" w:type="pct"/>
          </w:tcPr>
          <w:p w14:paraId="29314293" w14:textId="77777777" w:rsidR="001675B3" w:rsidRPr="00244758" w:rsidRDefault="001675B3" w:rsidP="001445F8">
            <w:pPr>
              <w:widowControl/>
              <w:suppressAutoHyphens/>
              <w:spacing w:before="120" w:after="120" w:line="240" w:lineRule="atLeast"/>
              <w:jc w:val="center"/>
              <w:rPr>
                <w:szCs w:val="24"/>
              </w:rPr>
            </w:pPr>
            <w:r w:rsidRPr="00244758">
              <w:rPr>
                <w:szCs w:val="24"/>
              </w:rPr>
              <w:t>2</w:t>
            </w:r>
            <w:r>
              <w:rPr>
                <w:szCs w:val="24"/>
              </w:rPr>
              <w:t> </w:t>
            </w:r>
            <w:r w:rsidRPr="00244758">
              <w:rPr>
                <w:szCs w:val="24"/>
              </w:rPr>
              <w:t>500</w:t>
            </w:r>
          </w:p>
        </w:tc>
      </w:tr>
    </w:tbl>
    <w:p w14:paraId="0313E1AC" w14:textId="77777777" w:rsidR="001675B3" w:rsidRPr="000474CC" w:rsidRDefault="001675B3" w:rsidP="001445F8">
      <w:pPr>
        <w:pStyle w:val="Heading2"/>
        <w:spacing w:before="120" w:after="120" w:line="240" w:lineRule="atLeast"/>
      </w:pPr>
      <w:r w:rsidRPr="000474CC">
        <w:t xml:space="preserve">Review of quotas for textile and apparel products in table 1 </w:t>
      </w:r>
      <w:r>
        <w:br/>
      </w:r>
      <w:r w:rsidRPr="000474CC">
        <w:t>and fish and seafood products in Table</w:t>
      </w:r>
      <w:r>
        <w:t> </w:t>
      </w:r>
      <w:r w:rsidRPr="000474CC">
        <w:t>2</w:t>
      </w:r>
    </w:p>
    <w:p w14:paraId="266F9ACF" w14:textId="77777777" w:rsidR="001675B3" w:rsidRPr="000474CC" w:rsidRDefault="001675B3" w:rsidP="001445F8">
      <w:pPr>
        <w:spacing w:before="120" w:after="120" w:line="240" w:lineRule="atLeast"/>
        <w:rPr>
          <w:szCs w:val="24"/>
        </w:rPr>
      </w:pPr>
      <w:r w:rsidRPr="000474CC">
        <w:rPr>
          <w:szCs w:val="24"/>
        </w:rPr>
        <w:t>1.</w:t>
      </w:r>
      <w:r w:rsidRPr="000474CC">
        <w:rPr>
          <w:szCs w:val="24"/>
        </w:rPr>
        <w:tab/>
        <w:t>Not earlier than 3 years from the entry into force of this Agreement, the Trade Committee, at the request of either Party, and assisted by the Committee on Customs shall review the quotas for textiles and apparel contained in Table 1 and for fish and seafood products in Table 2.</w:t>
      </w:r>
    </w:p>
    <w:p w14:paraId="7234234A" w14:textId="77777777" w:rsidR="001675B3" w:rsidRDefault="001675B3" w:rsidP="001445F8">
      <w:pPr>
        <w:spacing w:before="120" w:after="120" w:line="240" w:lineRule="atLeast"/>
        <w:rPr>
          <w:szCs w:val="24"/>
        </w:rPr>
      </w:pPr>
      <w:r w:rsidRPr="000474CC">
        <w:rPr>
          <w:szCs w:val="24"/>
        </w:rPr>
        <w:t>2.</w:t>
      </w:r>
      <w:r w:rsidRPr="000474CC">
        <w:rPr>
          <w:szCs w:val="24"/>
        </w:rPr>
        <w:tab/>
        <w:t>The review referred to in paragraph</w:t>
      </w:r>
      <w:r>
        <w:rPr>
          <w:szCs w:val="24"/>
        </w:rPr>
        <w:t> </w:t>
      </w:r>
      <w:r w:rsidRPr="000474CC">
        <w:rPr>
          <w:szCs w:val="24"/>
        </w:rPr>
        <w:t>1 shall be made on the basis of available information about the market conditions in both Parties and information about their imports and exports of relevant products.</w:t>
      </w:r>
    </w:p>
    <w:p w14:paraId="5B9E7DE9" w14:textId="7ECE0BBC" w:rsidR="001675B3" w:rsidRDefault="001675B3" w:rsidP="000B1630">
      <w:pPr>
        <w:spacing w:before="120" w:after="120" w:line="240" w:lineRule="atLeast"/>
        <w:rPr>
          <w:szCs w:val="24"/>
        </w:rPr>
      </w:pPr>
      <w:r w:rsidRPr="000474CC">
        <w:rPr>
          <w:szCs w:val="24"/>
        </w:rPr>
        <w:t>3.</w:t>
      </w:r>
      <w:r w:rsidRPr="000474CC">
        <w:rPr>
          <w:szCs w:val="24"/>
        </w:rPr>
        <w:tab/>
        <w:t>On the basis of the result of a review carried out pursuant to paragraph</w:t>
      </w:r>
      <w:r>
        <w:rPr>
          <w:szCs w:val="24"/>
        </w:rPr>
        <w:t> </w:t>
      </w:r>
      <w:r w:rsidRPr="000474CC">
        <w:rPr>
          <w:szCs w:val="24"/>
        </w:rPr>
        <w:t>1, the Trade Committee may adopt a decision to revise the product coverage and allocation of the quota and maintain or increase the quantities of the quota.</w:t>
      </w:r>
      <w:r>
        <w:rPr>
          <w:szCs w:val="24"/>
        </w:rPr>
        <w:br w:type="page"/>
      </w:r>
    </w:p>
    <w:p w14:paraId="6A51363F" w14:textId="77777777" w:rsidR="001675B3" w:rsidRPr="000474CC" w:rsidRDefault="001675B3" w:rsidP="001445F8">
      <w:pPr>
        <w:pStyle w:val="Heading2"/>
        <w:spacing w:before="120" w:after="120" w:line="240" w:lineRule="atLeast"/>
      </w:pPr>
      <w:r w:rsidRPr="000474CC">
        <w:lastRenderedPageBreak/>
        <w:t>Growth provision for textile and apparel products in table 1</w:t>
      </w:r>
    </w:p>
    <w:p w14:paraId="7FD83470" w14:textId="77777777" w:rsidR="001675B3" w:rsidRDefault="001675B3" w:rsidP="001445F8">
      <w:pPr>
        <w:spacing w:before="120" w:after="120" w:line="240" w:lineRule="atLeast"/>
        <w:rPr>
          <w:szCs w:val="24"/>
        </w:rPr>
      </w:pPr>
      <w:r w:rsidRPr="000474CC">
        <w:rPr>
          <w:szCs w:val="24"/>
        </w:rPr>
        <w:t>1.</w:t>
      </w:r>
      <w:r w:rsidRPr="000474CC">
        <w:rPr>
          <w:szCs w:val="24"/>
        </w:rPr>
        <w:tab/>
        <w:t>For each of the products listed in Table 1, if more than 80</w:t>
      </w:r>
      <w:r>
        <w:rPr>
          <w:szCs w:val="24"/>
        </w:rPr>
        <w:t> </w:t>
      </w:r>
      <w:r w:rsidRPr="000474CC">
        <w:rPr>
          <w:szCs w:val="24"/>
        </w:rPr>
        <w:t>% of an origin quota assigned to a product is used during a calendar year, the origin quota allocation will be increased for the following calendar year.</w:t>
      </w:r>
    </w:p>
    <w:p w14:paraId="2AE9C32E" w14:textId="77777777" w:rsidR="001675B3" w:rsidRDefault="001675B3" w:rsidP="001445F8">
      <w:pPr>
        <w:spacing w:before="120" w:after="120" w:line="240" w:lineRule="atLeast"/>
        <w:rPr>
          <w:szCs w:val="24"/>
        </w:rPr>
      </w:pPr>
      <w:r w:rsidRPr="000474CC">
        <w:rPr>
          <w:szCs w:val="24"/>
        </w:rPr>
        <w:t>2.</w:t>
      </w:r>
      <w:r w:rsidRPr="000474CC">
        <w:rPr>
          <w:szCs w:val="24"/>
        </w:rPr>
        <w:tab/>
        <w:t>The increase will be 5</w:t>
      </w:r>
      <w:r>
        <w:rPr>
          <w:szCs w:val="24"/>
        </w:rPr>
        <w:t> </w:t>
      </w:r>
      <w:r w:rsidRPr="000474CC">
        <w:rPr>
          <w:szCs w:val="24"/>
        </w:rPr>
        <w:t>% of the origin quota assigned to the product in the previous calendar year.</w:t>
      </w:r>
    </w:p>
    <w:p w14:paraId="22E37552" w14:textId="77777777" w:rsidR="001675B3" w:rsidRDefault="001675B3" w:rsidP="001445F8">
      <w:pPr>
        <w:spacing w:before="120" w:after="120" w:line="240" w:lineRule="atLeast"/>
        <w:rPr>
          <w:szCs w:val="24"/>
        </w:rPr>
      </w:pPr>
      <w:r w:rsidRPr="000474CC">
        <w:rPr>
          <w:szCs w:val="24"/>
        </w:rPr>
        <w:t>3.</w:t>
      </w:r>
      <w:r w:rsidRPr="000474CC">
        <w:rPr>
          <w:szCs w:val="24"/>
        </w:rPr>
        <w:tab/>
        <w:t>The growth provision will apply for the first time after the expiry of the first complete calendar year following the entry into force of the Agreement and will be applied for any 6 years in total within the first 10 complete calendar years.</w:t>
      </w:r>
    </w:p>
    <w:p w14:paraId="5E47A19B" w14:textId="77777777" w:rsidR="000B1630" w:rsidRDefault="001675B3" w:rsidP="000B1630">
      <w:pPr>
        <w:spacing w:before="120" w:after="120" w:line="240" w:lineRule="atLeast"/>
        <w:rPr>
          <w:szCs w:val="24"/>
        </w:rPr>
      </w:pPr>
      <w:r w:rsidRPr="000474CC">
        <w:rPr>
          <w:szCs w:val="24"/>
        </w:rPr>
        <w:t>4.</w:t>
      </w:r>
      <w:r w:rsidRPr="000474CC">
        <w:rPr>
          <w:szCs w:val="24"/>
        </w:rPr>
        <w:tab/>
        <w:t>Any increase in the origin quota volume will be implemented in the first quarter of the subsequent calendar year. The Parties shall ensure that the increased origin quota and the date when it becomes applicable are publicly available.</w:t>
      </w:r>
    </w:p>
    <w:p w14:paraId="325E1AE0" w14:textId="2A92D6D0" w:rsidR="00206C23" w:rsidRDefault="001675B3" w:rsidP="000B1630">
      <w:pPr>
        <w:spacing w:before="120" w:after="120" w:line="240" w:lineRule="atLeast"/>
        <w:rPr>
          <w:szCs w:val="24"/>
        </w:rPr>
      </w:pPr>
      <w:r>
        <w:rPr>
          <w:szCs w:val="24"/>
        </w:rPr>
        <w:t>______________</w:t>
      </w:r>
    </w:p>
    <w:sectPr w:rsidR="00206C23" w:rsidSect="001675B3">
      <w:footerReference w:type="default" r:id="rId11"/>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E9997" w14:textId="77777777" w:rsidR="00EE1298" w:rsidRDefault="00EE1298">
      <w:r>
        <w:separator/>
      </w:r>
    </w:p>
  </w:endnote>
  <w:endnote w:type="continuationSeparator" w:id="0">
    <w:p w14:paraId="01A25D2A" w14:textId="77777777" w:rsidR="00EE1298" w:rsidRDefault="00EE1298">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charset w:val="00"/>
    <w:family w:val="auto"/>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253649"/>
      <w:docPartObj>
        <w:docPartGallery w:val="Page Numbers (Bottom of Page)"/>
        <w:docPartUnique/>
      </w:docPartObj>
    </w:sdtPr>
    <w:sdtEndPr>
      <w:rPr>
        <w:noProof/>
      </w:rPr>
    </w:sdtEndPr>
    <w:sdtContent>
      <w:p w14:paraId="11B0B370" w14:textId="08A4C082" w:rsidR="00862472" w:rsidRDefault="008624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20F06476" w:rsidR="001675B3" w:rsidRPr="005846A5" w:rsidRDefault="001675B3" w:rsidP="005846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CC62" w14:textId="77777777" w:rsidR="00EE1298" w:rsidRDefault="00EE1298">
      <w:pPr>
        <w:pStyle w:val="FootnoteText"/>
      </w:pPr>
      <w:r>
        <w:separator/>
      </w:r>
    </w:p>
  </w:footnote>
  <w:footnote w:type="continuationSeparator" w:id="0">
    <w:p w14:paraId="4E6A98AB" w14:textId="77777777" w:rsidR="00EE1298" w:rsidRDefault="00EE1298">
      <w:pPr>
        <w:pStyle w:val="FootnoteText"/>
      </w:pPr>
      <w:r>
        <w:separator/>
      </w:r>
    </w:p>
  </w:footnote>
  <w:footnote w:id="1">
    <w:p w14:paraId="5CE15D9C" w14:textId="77777777" w:rsidR="001675B3" w:rsidRPr="005E6B76" w:rsidRDefault="001675B3" w:rsidP="001675B3">
      <w:pPr>
        <w:pStyle w:val="FootnoteText"/>
      </w:pPr>
      <w:r w:rsidRPr="000474CC">
        <w:rPr>
          <w:rStyle w:val="FootnoteReference"/>
        </w:rPr>
        <w:footnoteRef/>
      </w:r>
      <w:r w:rsidRPr="000474CC">
        <w:tab/>
        <w:t>The authority responsible for the administration of the relevant quotas in the Union is the European Commission.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B1630"/>
    <w:rsid w:val="000C3691"/>
    <w:rsid w:val="000C4CE4"/>
    <w:rsid w:val="000D1EE4"/>
    <w:rsid w:val="000D2B33"/>
    <w:rsid w:val="000E1C75"/>
    <w:rsid w:val="000E7936"/>
    <w:rsid w:val="00103ED5"/>
    <w:rsid w:val="00107F51"/>
    <w:rsid w:val="0012665C"/>
    <w:rsid w:val="0014406C"/>
    <w:rsid w:val="001445F8"/>
    <w:rsid w:val="00156CB3"/>
    <w:rsid w:val="00164E11"/>
    <w:rsid w:val="001675B3"/>
    <w:rsid w:val="0017134A"/>
    <w:rsid w:val="00171F08"/>
    <w:rsid w:val="0017477F"/>
    <w:rsid w:val="00174E40"/>
    <w:rsid w:val="00174EC6"/>
    <w:rsid w:val="00184FBE"/>
    <w:rsid w:val="001915AA"/>
    <w:rsid w:val="00193907"/>
    <w:rsid w:val="001D60D8"/>
    <w:rsid w:val="001F0CE6"/>
    <w:rsid w:val="001F59C5"/>
    <w:rsid w:val="001F7964"/>
    <w:rsid w:val="0020127F"/>
    <w:rsid w:val="00201CAE"/>
    <w:rsid w:val="00204F63"/>
    <w:rsid w:val="00206C23"/>
    <w:rsid w:val="00220AE0"/>
    <w:rsid w:val="0022170F"/>
    <w:rsid w:val="0022250D"/>
    <w:rsid w:val="00234D95"/>
    <w:rsid w:val="0024283F"/>
    <w:rsid w:val="00243375"/>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199"/>
    <w:rsid w:val="003F33FE"/>
    <w:rsid w:val="003F460E"/>
    <w:rsid w:val="003F7522"/>
    <w:rsid w:val="00406C19"/>
    <w:rsid w:val="00410588"/>
    <w:rsid w:val="004167FD"/>
    <w:rsid w:val="00426C28"/>
    <w:rsid w:val="00434BDE"/>
    <w:rsid w:val="00441267"/>
    <w:rsid w:val="00445F2C"/>
    <w:rsid w:val="00446EA1"/>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71D81"/>
    <w:rsid w:val="00573235"/>
    <w:rsid w:val="00575B8E"/>
    <w:rsid w:val="005846A5"/>
    <w:rsid w:val="00584E06"/>
    <w:rsid w:val="00591446"/>
    <w:rsid w:val="0059477B"/>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B3FE1"/>
    <w:rsid w:val="006C6C26"/>
    <w:rsid w:val="006D1BE0"/>
    <w:rsid w:val="006D1D44"/>
    <w:rsid w:val="006D2C19"/>
    <w:rsid w:val="006E5355"/>
    <w:rsid w:val="006F22F6"/>
    <w:rsid w:val="006F3E3F"/>
    <w:rsid w:val="00704CF0"/>
    <w:rsid w:val="00711D82"/>
    <w:rsid w:val="00733608"/>
    <w:rsid w:val="00742B86"/>
    <w:rsid w:val="00750DD2"/>
    <w:rsid w:val="007532E6"/>
    <w:rsid w:val="0075359F"/>
    <w:rsid w:val="00754CB7"/>
    <w:rsid w:val="007651B0"/>
    <w:rsid w:val="007654CE"/>
    <w:rsid w:val="00766B44"/>
    <w:rsid w:val="0076794C"/>
    <w:rsid w:val="00772B33"/>
    <w:rsid w:val="00775244"/>
    <w:rsid w:val="0077561E"/>
    <w:rsid w:val="007838EE"/>
    <w:rsid w:val="00790256"/>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60242"/>
    <w:rsid w:val="00862472"/>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50B14"/>
    <w:rsid w:val="009700CD"/>
    <w:rsid w:val="00976E03"/>
    <w:rsid w:val="00983D6C"/>
    <w:rsid w:val="009846A3"/>
    <w:rsid w:val="00995506"/>
    <w:rsid w:val="009A1D2C"/>
    <w:rsid w:val="009C2FBA"/>
    <w:rsid w:val="009D15C2"/>
    <w:rsid w:val="009D5EB6"/>
    <w:rsid w:val="009E1F71"/>
    <w:rsid w:val="009E7878"/>
    <w:rsid w:val="009F0FE5"/>
    <w:rsid w:val="009F4594"/>
    <w:rsid w:val="00A034A1"/>
    <w:rsid w:val="00A10406"/>
    <w:rsid w:val="00A12F9B"/>
    <w:rsid w:val="00A16A16"/>
    <w:rsid w:val="00A22530"/>
    <w:rsid w:val="00A3456F"/>
    <w:rsid w:val="00A35D1A"/>
    <w:rsid w:val="00A36332"/>
    <w:rsid w:val="00A55EB4"/>
    <w:rsid w:val="00A56CF2"/>
    <w:rsid w:val="00A64775"/>
    <w:rsid w:val="00A76A38"/>
    <w:rsid w:val="00A776F7"/>
    <w:rsid w:val="00A83A74"/>
    <w:rsid w:val="00A8452C"/>
    <w:rsid w:val="00A9225C"/>
    <w:rsid w:val="00A9613B"/>
    <w:rsid w:val="00AA3A04"/>
    <w:rsid w:val="00AC0ED4"/>
    <w:rsid w:val="00AD020C"/>
    <w:rsid w:val="00AD538F"/>
    <w:rsid w:val="00AE1FD7"/>
    <w:rsid w:val="00AE6D64"/>
    <w:rsid w:val="00AF3900"/>
    <w:rsid w:val="00B01529"/>
    <w:rsid w:val="00B051E8"/>
    <w:rsid w:val="00B104EA"/>
    <w:rsid w:val="00B112C8"/>
    <w:rsid w:val="00B12105"/>
    <w:rsid w:val="00B27BB7"/>
    <w:rsid w:val="00B40E1C"/>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15718"/>
    <w:rsid w:val="00C22400"/>
    <w:rsid w:val="00C351CC"/>
    <w:rsid w:val="00C4415B"/>
    <w:rsid w:val="00C502FD"/>
    <w:rsid w:val="00C548E9"/>
    <w:rsid w:val="00C55246"/>
    <w:rsid w:val="00C56184"/>
    <w:rsid w:val="00C6320E"/>
    <w:rsid w:val="00C66DC8"/>
    <w:rsid w:val="00C82295"/>
    <w:rsid w:val="00C82663"/>
    <w:rsid w:val="00C83670"/>
    <w:rsid w:val="00C86DDC"/>
    <w:rsid w:val="00CA6B39"/>
    <w:rsid w:val="00CB3DCB"/>
    <w:rsid w:val="00CD2C1A"/>
    <w:rsid w:val="00CD35C2"/>
    <w:rsid w:val="00CE0701"/>
    <w:rsid w:val="00CE1387"/>
    <w:rsid w:val="00CE1C09"/>
    <w:rsid w:val="00CE3420"/>
    <w:rsid w:val="00CE51DE"/>
    <w:rsid w:val="00CF309C"/>
    <w:rsid w:val="00CF4777"/>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67907"/>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59BC"/>
    <w:rsid w:val="00EB3FB2"/>
    <w:rsid w:val="00EC0A2A"/>
    <w:rsid w:val="00EC4E34"/>
    <w:rsid w:val="00EC660F"/>
    <w:rsid w:val="00EE00BA"/>
    <w:rsid w:val="00EE1298"/>
    <w:rsid w:val="00EE6E72"/>
    <w:rsid w:val="00EF2318"/>
    <w:rsid w:val="00F02BEB"/>
    <w:rsid w:val="00F030A6"/>
    <w:rsid w:val="00F14842"/>
    <w:rsid w:val="00F1732C"/>
    <w:rsid w:val="00F40728"/>
    <w:rsid w:val="00F42ECF"/>
    <w:rsid w:val="00F45E98"/>
    <w:rsid w:val="00F60D59"/>
    <w:rsid w:val="00F61046"/>
    <w:rsid w:val="00F62DDE"/>
    <w:rsid w:val="00F631F5"/>
    <w:rsid w:val="00F64303"/>
    <w:rsid w:val="00F71710"/>
    <w:rsid w:val="00F75257"/>
    <w:rsid w:val="00F75783"/>
    <w:rsid w:val="00F91457"/>
    <w:rsid w:val="00F93D73"/>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AE1FD7"/>
    <w:pPr>
      <w:jc w:val="center"/>
      <w:outlineLvl w:val="0"/>
    </w:pPr>
    <w:rPr>
      <w:b/>
      <w:bCs/>
      <w:szCs w:val="24"/>
      <w:u w:val="single"/>
    </w:rPr>
  </w:style>
  <w:style w:type="paragraph" w:styleId="Heading2">
    <w:name w:val="heading 2"/>
    <w:basedOn w:val="Normal"/>
    <w:next w:val="Normal"/>
    <w:link w:val="Heading2Char"/>
    <w:qFormat/>
    <w:rsid w:val="00790256"/>
    <w:pPr>
      <w:jc w:val="center"/>
      <w:outlineLvl w:val="1"/>
    </w:pPr>
    <w:rPr>
      <w:szCs w:val="24"/>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AE1FD7"/>
    <w:rPr>
      <w:b/>
      <w:bCs/>
      <w:sz w:val="24"/>
      <w:szCs w:val="24"/>
      <w:u w:val="single"/>
      <w:lang w:eastAsia="fr-BE"/>
    </w:rPr>
  </w:style>
  <w:style w:type="character" w:customStyle="1" w:styleId="Heading2Char">
    <w:name w:val="Heading 2 Char"/>
    <w:basedOn w:val="DefaultParagraphFont"/>
    <w:link w:val="Heading2"/>
    <w:rsid w:val="00790256"/>
    <w:rPr>
      <w:sz w:val="24"/>
      <w:szCs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12696-5BC3-48E6-92ED-02305D25742F}">
  <ds:schemaRefs>
    <ds:schemaRef ds:uri="http://schemas.microsoft.com/sharepoint/v3/contenttype/form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F4E830BC-5263-4127-A363-D994AEDAC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6656F-BBBA-4DF6-877A-E032B005AD8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6201</Characters>
  <Application>Microsoft Office Word</Application>
  <DocSecurity>0</DocSecurity>
  <Lines>206</Lines>
  <Paragraphs>103</Paragraphs>
  <ScaleCrop>false</ScaleCrop>
  <HeadingPairs>
    <vt:vector size="2" baseType="variant">
      <vt:variant>
        <vt:lpstr>Title</vt:lpstr>
      </vt:variant>
      <vt:variant>
        <vt:i4>1</vt:i4>
      </vt:variant>
    </vt:vector>
  </HeadingPairs>
  <TitlesOfParts>
    <vt:vector size="1" baseType="lpstr">
      <vt:lpstr>A-EU FTA - Annex3-C-Origin Quotas and Alternatives to the Product-Specific Rules of Origin in Annex 3-B</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3-C-Origin Quotas and Alternatives to the Product-Specific Rules of Origin in Annex 3-B</dc:title>
  <dc:subject/>
  <dc:creator/>
  <cp:keywords/>
  <cp:lastModifiedBy/>
  <cp:revision>1</cp:revision>
  <dcterms:created xsi:type="dcterms:W3CDTF">2026-10-05T22:11:00Z</dcterms:created>
  <dcterms:modified xsi:type="dcterms:W3CDTF">2026-10-07T02:44:00Z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MSIP_Label_6bd9ddd1-4d20-43f6-abfa-fc3c07406f94_ContentBits">
    <vt:lpwstr>0</vt:lpwstr>
  </property>
  <property fmtid="{D5CDD505-2E9C-101B-9397-08002B2CF9AE}" pid="6" name="ContentTypeId">
    <vt:lpwstr>0x010100131255C347DD0040B93446FCC2667F19</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MSIP_Label_af60b174-6478-47f9-866e-33f097bb6603_Name">
    <vt:lpwstr>GSCEU - PUBLIC Label</vt:lpwstr>
  </property>
  <property fmtid="{D5CDD505-2E9C-101B-9397-08002B2CF9AE}" pid="15" name="ClassificationContentMarkingFooterShapeIds">
    <vt:lpwstr>5abcb35c,7f5d6abf,176fa954,28375044</vt:lpwstr>
  </property>
  <property fmtid="{D5CDD505-2E9C-101B-9397-08002B2CF9AE}" pid="16" name="MSIP_Label_6bd9ddd1-4d20-43f6-abfa-fc3c07406f94_SetDate">
    <vt:lpwstr>2026-09-11T08:29:36Z</vt:lpwstr>
  </property>
  <property fmtid="{D5CDD505-2E9C-101B-9397-08002B2CF9AE}" pid="17" name="ClassificationContentMarkingHeaderShapeIds">
    <vt:lpwstr>69aaf081,4c6364d8,22f63ee4</vt:lpwstr>
  </property>
  <property fmtid="{D5CDD505-2E9C-101B-9397-08002B2CF9AE}" pid="18" name="ClassificationContentMarkingFooterFontProps">
    <vt:lpwstr>#ff0000,12,Aptos</vt:lpwstr>
  </property>
  <property fmtid="{D5CDD505-2E9C-101B-9397-08002B2CF9AE}" pid="19" name="MSIP_Label_af60b174-6478-47f9-866e-33f097bb6603_Enabled">
    <vt:lpwstr>true</vt:lpwstr>
  </property>
  <property fmtid="{D5CDD505-2E9C-101B-9397-08002B2CF9AE}" pid="20" name="MSIP_Label_6bd9ddd1-4d20-43f6-abfa-fc3c07406f94_ActionId">
    <vt:lpwstr>9259a3b6-ad7f-4ade-b8fc-9313d83aabff</vt:lpwstr>
  </property>
  <property fmtid="{D5CDD505-2E9C-101B-9397-08002B2CF9AE}" pid="21" name="MSIP_Label_6bd9ddd1-4d20-43f6-abfa-fc3c07406f94_Tag">
    <vt:lpwstr>10, 3, 0, 1</vt:lpwstr>
  </property>
  <property fmtid="{D5CDD505-2E9C-101B-9397-08002B2CF9AE}" pid="22" name="MSIP_Label_af60b174-6478-47f9-866e-33f097bb6603_ActionId">
    <vt:lpwstr>40163f7f-db10-4b85-b254-9cc4e293b280</vt:lpwstr>
  </property>
  <property fmtid="{D5CDD505-2E9C-101B-9397-08002B2CF9AE}" pid="23" name="MSIP_Label_af60b174-6478-47f9-866e-33f097bb6603_SetDate">
    <vt:lpwstr>2023-01-10T15:44:46Z</vt:lpwstr>
  </property>
  <property fmtid="{D5CDD505-2E9C-101B-9397-08002B2CF9AE}" pid="24" name="docLang">
    <vt:lpwstr>en</vt:lpwstr>
  </property>
</Properties>
</file>