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D929" w14:textId="77777777" w:rsidR="00D60078" w:rsidRDefault="00D60078" w:rsidP="00CE6043">
      <w:pPr>
        <w:pStyle w:val="Heading1"/>
        <w:jc w:val="center"/>
      </w:pPr>
      <w:bookmarkStart w:id="0" w:name="_GoBack"/>
      <w:bookmarkEnd w:id="0"/>
      <w:r>
        <w:t>Australia China Papua New Guinea Pilot Cooperation on Malaria Control Project</w:t>
      </w:r>
    </w:p>
    <w:p w14:paraId="33873E6B" w14:textId="6F2D7F8C" w:rsidR="00D60078" w:rsidRDefault="00EE7EB0" w:rsidP="00CE6043">
      <w:pPr>
        <w:pStyle w:val="Heading2"/>
        <w:jc w:val="center"/>
      </w:pPr>
      <w:r>
        <w:t xml:space="preserve">Mid-Term Review: </w:t>
      </w:r>
      <w:r w:rsidR="001B33AE">
        <w:t xml:space="preserve">Joint </w:t>
      </w:r>
      <w:r w:rsidR="00D60078">
        <w:t>Management Response</w:t>
      </w:r>
    </w:p>
    <w:p w14:paraId="7D1BBF61" w14:textId="603805BB" w:rsidR="00267E18" w:rsidRDefault="00A024F0" w:rsidP="00267E18">
      <w:r>
        <w:t>The</w:t>
      </w:r>
      <w:r w:rsidR="00267E18">
        <w:t xml:space="preserve"> Australia-China-PNG Pilot Cooperation on Malaria Control</w:t>
      </w:r>
      <w:r w:rsidR="0060467C">
        <w:t xml:space="preserve"> Project</w:t>
      </w:r>
      <w:r w:rsidR="00267E18">
        <w:t xml:space="preserve"> </w:t>
      </w:r>
      <w:r w:rsidR="00EE7EB0">
        <w:t>is</w:t>
      </w:r>
      <w:r>
        <w:t xml:space="preserve"> supported by a strong </w:t>
      </w:r>
      <w:r w:rsidR="00EE7EB0">
        <w:t xml:space="preserve">three-country </w:t>
      </w:r>
      <w:r w:rsidR="00267E18">
        <w:t>partnership</w:t>
      </w:r>
      <w:r w:rsidR="00EE7EB0">
        <w:t xml:space="preserve">. </w:t>
      </w:r>
      <w:r w:rsidR="00B83652">
        <w:t xml:space="preserve">The </w:t>
      </w:r>
      <w:r w:rsidR="0060467C">
        <w:t>p</w:t>
      </w:r>
      <w:r w:rsidR="00B83652">
        <w:t>roject addresses a shared regional priority of promoting health security in the re</w:t>
      </w:r>
      <w:r w:rsidR="0060467C">
        <w:t>g</w:t>
      </w:r>
      <w:r w:rsidR="00B83652">
        <w:t>ion</w:t>
      </w:r>
      <w:r w:rsidR="0060467C">
        <w:t xml:space="preserve">, in this instance through </w:t>
      </w:r>
      <w:r w:rsidR="00B83652">
        <w:t xml:space="preserve">high quality malaria diagnosis. </w:t>
      </w:r>
      <w:r w:rsidR="0060467C">
        <w:t xml:space="preserve">All three partner </w:t>
      </w:r>
      <w:r w:rsidR="00EE7EB0">
        <w:t>governments provide i</w:t>
      </w:r>
      <w:r w:rsidR="00267E18">
        <w:t>n-kind contributions (personnel, facilities and equipment)</w:t>
      </w:r>
      <w:r w:rsidR="00B83652">
        <w:t xml:space="preserve">, which is underpinned by </w:t>
      </w:r>
      <w:r w:rsidR="00EE7EB0">
        <w:t>A</w:t>
      </w:r>
      <w:r w:rsidR="00267E18">
        <w:t>ustralian aid funding</w:t>
      </w:r>
      <w:r w:rsidR="00EE7EB0">
        <w:t xml:space="preserve">. </w:t>
      </w:r>
    </w:p>
    <w:p w14:paraId="77E0B179" w14:textId="30C9BF90" w:rsidR="007F2DB8" w:rsidRDefault="007F2DB8">
      <w:r>
        <w:t xml:space="preserve">The </w:t>
      </w:r>
      <w:r w:rsidR="0060467C">
        <w:t>p</w:t>
      </w:r>
      <w:r>
        <w:t>roject underwent an independent</w:t>
      </w:r>
      <w:r w:rsidR="00267E18">
        <w:t xml:space="preserve"> mid-term review </w:t>
      </w:r>
      <w:r w:rsidR="00D60078">
        <w:t>(MTR</w:t>
      </w:r>
      <w:r>
        <w:t>) between</w:t>
      </w:r>
      <w:r w:rsidR="00D60078">
        <w:t xml:space="preserve"> March</w:t>
      </w:r>
      <w:r>
        <w:t xml:space="preserve"> and May</w:t>
      </w:r>
      <w:r w:rsidR="00D60078">
        <w:t xml:space="preserve"> 2018</w:t>
      </w:r>
      <w:r w:rsidR="0060467C">
        <w:t>, which was co-designed by representatives from each partner country</w:t>
      </w:r>
      <w:r w:rsidR="00D60078">
        <w:t xml:space="preserve">. The purpose of the MTR was to verify the technical outcomes, review the trilateral cooperation arrangement which underpins this project, and </w:t>
      </w:r>
      <w:r w:rsidR="00D60078" w:rsidRPr="00144271">
        <w:t xml:space="preserve">make </w:t>
      </w:r>
      <w:r w:rsidR="00D60078" w:rsidRPr="00144271">
        <w:rPr>
          <w:iCs/>
        </w:rPr>
        <w:t>technical, cooperation and management recommendations for the remaining time of the project, as well as for potential ongoing or broader partnerships between the countries</w:t>
      </w:r>
      <w:r w:rsidR="00D60078" w:rsidRPr="00144271">
        <w:t>.</w:t>
      </w:r>
      <w:r w:rsidR="00D60078">
        <w:t xml:space="preserve"> </w:t>
      </w:r>
    </w:p>
    <w:p w14:paraId="6C841502" w14:textId="46C6C769" w:rsidR="00267E18" w:rsidRPr="009D7A41" w:rsidRDefault="00267E18">
      <w:r>
        <w:t>The Joint Project Working Group</w:t>
      </w:r>
      <w:r w:rsidR="007F2DB8">
        <w:t xml:space="preserve"> (JPWG) </w:t>
      </w:r>
      <w:r>
        <w:t xml:space="preserve">provides strategic oversight and high-level governance to the </w:t>
      </w:r>
      <w:r w:rsidR="006A1A3A">
        <w:t>P</w:t>
      </w:r>
      <w:r>
        <w:t>roject and includes representatives from</w:t>
      </w:r>
      <w:r w:rsidR="0060467C">
        <w:t xml:space="preserve"> the </w:t>
      </w:r>
      <w:r>
        <w:t>th</w:t>
      </w:r>
      <w:r w:rsidR="00F80644">
        <w:t>re</w:t>
      </w:r>
      <w:r>
        <w:t xml:space="preserve">e </w:t>
      </w:r>
      <w:r w:rsidR="0060467C">
        <w:t>partner g</w:t>
      </w:r>
      <w:r>
        <w:t>overnment</w:t>
      </w:r>
      <w:r w:rsidR="00F80644">
        <w:t>s</w:t>
      </w:r>
      <w:r>
        <w:t xml:space="preserve">. In June </w:t>
      </w:r>
      <w:r w:rsidR="00CE6043">
        <w:t>2018,</w:t>
      </w:r>
      <w:r>
        <w:t xml:space="preserve"> the </w:t>
      </w:r>
      <w:r w:rsidR="00CE6043">
        <w:t>JPWG reviewed</w:t>
      </w:r>
      <w:r>
        <w:t xml:space="preserve"> and accepted the </w:t>
      </w:r>
      <w:r w:rsidR="00393E3B">
        <w:t xml:space="preserve">MTR </w:t>
      </w:r>
      <w:r>
        <w:t xml:space="preserve">report and </w:t>
      </w:r>
      <w:r w:rsidR="00EE7EB0">
        <w:t>its</w:t>
      </w:r>
      <w:r w:rsidR="00D60078">
        <w:t xml:space="preserve"> recommendations</w:t>
      </w:r>
      <w:r w:rsidR="00C54493">
        <w:t xml:space="preserve">. </w:t>
      </w:r>
      <w:r w:rsidR="00EE7EB0">
        <w:t xml:space="preserve">The JPWG gave </w:t>
      </w:r>
      <w:r w:rsidR="009D7A41">
        <w:t xml:space="preserve">approval for </w:t>
      </w:r>
      <w:r w:rsidR="00F80644">
        <w:t xml:space="preserve">its </w:t>
      </w:r>
      <w:r w:rsidR="009D7A41">
        <w:t>publication</w:t>
      </w:r>
      <w:r w:rsidR="00EE7EB0">
        <w:t>.</w:t>
      </w:r>
      <w:r w:rsidR="006164A6">
        <w:t xml:space="preserve"> </w:t>
      </w:r>
    </w:p>
    <w:p w14:paraId="791C1147" w14:textId="7A365E2F" w:rsidR="00B200D9" w:rsidRPr="00047CEB" w:rsidRDefault="00B200D9" w:rsidP="00047CEB">
      <w:pPr>
        <w:pStyle w:val="Heading3"/>
      </w:pPr>
      <w:r w:rsidRPr="00047CEB">
        <w:t>R</w:t>
      </w:r>
      <w:r w:rsidR="004C79FA" w:rsidRPr="00047CEB">
        <w:t>ecommendations</w:t>
      </w:r>
    </w:p>
    <w:p w14:paraId="3A967697" w14:textId="590D4232" w:rsidR="00D60078" w:rsidRPr="00D60078" w:rsidRDefault="00D60078" w:rsidP="004C79FA">
      <w:pPr>
        <w:pStyle w:val="Heading4"/>
      </w:pPr>
      <w:r w:rsidRPr="004C79FA">
        <w:t>Recommendation 1:</w:t>
      </w:r>
      <w:r w:rsidRPr="00D60078">
        <w:rPr>
          <w:b/>
        </w:rPr>
        <w:t xml:space="preserve"> </w:t>
      </w:r>
      <w:r w:rsidRPr="00D60078">
        <w:t>Strengthening outcomes-focused monitoring and evaluation, risk management, long term sustainability, gender and social inclusion under the Project</w:t>
      </w:r>
    </w:p>
    <w:p w14:paraId="6A5D861C" w14:textId="727F17A7" w:rsidR="004C79FA" w:rsidRPr="009D7A41" w:rsidRDefault="00AA3174" w:rsidP="00267E18">
      <w:r>
        <w:t>A</w:t>
      </w:r>
      <w:r w:rsidR="009D7A41" w:rsidRPr="00960094">
        <w:t>ll</w:t>
      </w:r>
      <w:r>
        <w:t xml:space="preserve"> three governments</w:t>
      </w:r>
      <w:r w:rsidR="00EE7EB0">
        <w:t xml:space="preserve"> accept </w:t>
      </w:r>
      <w:r w:rsidR="009D7A41" w:rsidRPr="009D7A41">
        <w:t>this recommendation</w:t>
      </w:r>
      <w:r w:rsidR="006164A6">
        <w:t xml:space="preserve"> and work has begun </w:t>
      </w:r>
      <w:r w:rsidR="00EE7EB0">
        <w:t>on</w:t>
      </w:r>
      <w:r w:rsidR="006164A6">
        <w:t xml:space="preserve"> implement</w:t>
      </w:r>
      <w:r w:rsidR="00EE7EB0">
        <w:t>ation</w:t>
      </w:r>
      <w:r w:rsidR="0060467C">
        <w:t xml:space="preserve">. </w:t>
      </w:r>
    </w:p>
    <w:p w14:paraId="597868C8" w14:textId="77777777" w:rsidR="00D60078" w:rsidRPr="00D60078" w:rsidRDefault="00D60078" w:rsidP="004C79FA">
      <w:pPr>
        <w:pStyle w:val="Heading4"/>
        <w:rPr>
          <w:b/>
        </w:rPr>
      </w:pPr>
      <w:r w:rsidRPr="004C79FA">
        <w:t>Recommendation 2:</w:t>
      </w:r>
      <w:r w:rsidRPr="00D60078">
        <w:rPr>
          <w:b/>
        </w:rPr>
        <w:t xml:space="preserve"> </w:t>
      </w:r>
      <w:r w:rsidRPr="00D60078">
        <w:t xml:space="preserve">Strengthening training under the Project </w:t>
      </w:r>
    </w:p>
    <w:p w14:paraId="24B28530" w14:textId="5B89674F" w:rsidR="00D60078" w:rsidRPr="00D60078" w:rsidRDefault="00AE441C" w:rsidP="00393E3B">
      <w:r w:rsidRPr="00960094">
        <w:t>All</w:t>
      </w:r>
      <w:r>
        <w:t xml:space="preserve"> three governments</w:t>
      </w:r>
      <w:r w:rsidR="00393E3B" w:rsidRPr="00960094">
        <w:t xml:space="preserve"> </w:t>
      </w:r>
      <w:r w:rsidR="00EE7EB0">
        <w:t xml:space="preserve">accept </w:t>
      </w:r>
      <w:r w:rsidR="00D60078" w:rsidRPr="00960094">
        <w:t>this recommendation</w:t>
      </w:r>
      <w:r w:rsidR="00EE7EB0">
        <w:t xml:space="preserve"> in principle</w:t>
      </w:r>
      <w:r w:rsidR="00D60078" w:rsidRPr="00960094">
        <w:t>, noting specific sub-recommendations</w:t>
      </w:r>
      <w:r w:rsidR="00D60078" w:rsidRPr="00D60078">
        <w:t xml:space="preserve"> </w:t>
      </w:r>
      <w:r w:rsidR="00BC0B33">
        <w:t xml:space="preserve">need </w:t>
      </w:r>
      <w:r w:rsidR="00D60078" w:rsidRPr="00D60078">
        <w:t xml:space="preserve">to be considered by </w:t>
      </w:r>
      <w:r w:rsidR="00393E3B">
        <w:t xml:space="preserve">the Project </w:t>
      </w:r>
      <w:r w:rsidR="00D60078" w:rsidRPr="00D60078">
        <w:t>Technical Directors</w:t>
      </w:r>
      <w:r w:rsidR="00BC0B33">
        <w:t xml:space="preserve"> and Technical Advisors</w:t>
      </w:r>
      <w:r w:rsidR="00393E3B">
        <w:t xml:space="preserve">. </w:t>
      </w:r>
      <w:r w:rsidR="006164A6">
        <w:t>Work has begun to implement this recommendation</w:t>
      </w:r>
      <w:r w:rsidR="0060467C">
        <w:t xml:space="preserve"> through a training sub-working group</w:t>
      </w:r>
      <w:r w:rsidR="006164A6">
        <w:t xml:space="preserve">. </w:t>
      </w:r>
    </w:p>
    <w:p w14:paraId="6FAC4A37" w14:textId="76E8C722" w:rsidR="00D60078" w:rsidRPr="00D60078" w:rsidRDefault="00D60078" w:rsidP="004C79FA">
      <w:pPr>
        <w:pStyle w:val="Heading4"/>
        <w:rPr>
          <w:b/>
        </w:rPr>
      </w:pPr>
      <w:r w:rsidRPr="004C79FA">
        <w:t>Recommendation</w:t>
      </w:r>
      <w:r w:rsidR="00EE7EB0">
        <w:t xml:space="preserve"> 2</w:t>
      </w:r>
      <w:r w:rsidRPr="004C79FA">
        <w:t xml:space="preserve">i: </w:t>
      </w:r>
      <w:r w:rsidRPr="00D60078">
        <w:t xml:space="preserve">Design of Communication Strategy for the Project </w:t>
      </w:r>
    </w:p>
    <w:p w14:paraId="64915BD9" w14:textId="05DB3662" w:rsidR="004C79FA" w:rsidRDefault="00C51A6B" w:rsidP="00FB58F7">
      <w:r w:rsidRPr="00960094">
        <w:t>All</w:t>
      </w:r>
      <w:r w:rsidR="00FB58F7" w:rsidRPr="00960094">
        <w:t xml:space="preserve"> </w:t>
      </w:r>
      <w:r>
        <w:t>three governments</w:t>
      </w:r>
      <w:r w:rsidR="00EE7EB0">
        <w:t xml:space="preserve"> accept </w:t>
      </w:r>
      <w:r w:rsidR="00D60078" w:rsidRPr="00960094">
        <w:t>this recommendation</w:t>
      </w:r>
      <w:r w:rsidR="0060467C">
        <w:t xml:space="preserve"> and work has begun on </w:t>
      </w:r>
      <w:r w:rsidR="00EE7EB0">
        <w:t>implementation through a communications sub-working group.</w:t>
      </w:r>
      <w:r w:rsidR="006164A6">
        <w:t xml:space="preserve"> </w:t>
      </w:r>
    </w:p>
    <w:p w14:paraId="5B736C84" w14:textId="3137AEAE" w:rsidR="00D60078" w:rsidRPr="004C79FA" w:rsidRDefault="00D60078" w:rsidP="004C79FA">
      <w:pPr>
        <w:pStyle w:val="Heading4"/>
      </w:pPr>
      <w:r w:rsidRPr="004C79FA">
        <w:t xml:space="preserve">Recommendation 3: Extension of current Project </w:t>
      </w:r>
    </w:p>
    <w:p w14:paraId="5DB9F436" w14:textId="6420C137" w:rsidR="00D60078" w:rsidRPr="00D60078" w:rsidRDefault="00C51A6B" w:rsidP="006164A6">
      <w:r w:rsidRPr="00960094">
        <w:t>All</w:t>
      </w:r>
      <w:r w:rsidR="00393E3B" w:rsidRPr="00960094">
        <w:t xml:space="preserve"> </w:t>
      </w:r>
      <w:r>
        <w:t xml:space="preserve">three governments </w:t>
      </w:r>
      <w:r w:rsidR="00EE7EB0">
        <w:t>accept</w:t>
      </w:r>
      <w:r w:rsidR="00D60078" w:rsidRPr="00960094">
        <w:t xml:space="preserve"> this recommendation</w:t>
      </w:r>
      <w:r w:rsidR="00EE7EB0">
        <w:t xml:space="preserve"> and agreed to an </w:t>
      </w:r>
      <w:r w:rsidR="00FB58F7" w:rsidRPr="00960094">
        <w:t xml:space="preserve">extension </w:t>
      </w:r>
      <w:r w:rsidR="00960094" w:rsidRPr="00960094">
        <w:t xml:space="preserve">of the </w:t>
      </w:r>
      <w:r w:rsidR="00FB58F7" w:rsidRPr="00960094">
        <w:t xml:space="preserve">Project </w:t>
      </w:r>
      <w:r>
        <w:t xml:space="preserve">to the </w:t>
      </w:r>
      <w:r w:rsidR="00FB58F7" w:rsidRPr="00960094">
        <w:t xml:space="preserve">end </w:t>
      </w:r>
      <w:r>
        <w:t>of</w:t>
      </w:r>
      <w:r w:rsidR="00D60078" w:rsidRPr="00960094">
        <w:t xml:space="preserve"> 2019</w:t>
      </w:r>
      <w:r w:rsidR="00D60078" w:rsidRPr="00D60078">
        <w:t>.</w:t>
      </w:r>
      <w:r w:rsidR="00FB58F7">
        <w:t xml:space="preserve"> </w:t>
      </w:r>
      <w:r w:rsidR="00047CEB">
        <w:t>This has been implemented</w:t>
      </w:r>
      <w:r w:rsidR="00EE7EB0">
        <w:t xml:space="preserve"> through an extension of the Subsidiary Arrangement</w:t>
      </w:r>
      <w:r w:rsidR="006164A6">
        <w:t>.</w:t>
      </w:r>
    </w:p>
    <w:p w14:paraId="7AC24D97" w14:textId="1F839843" w:rsidR="004C79FA" w:rsidRPr="00D60078" w:rsidRDefault="004C79FA" w:rsidP="004C79FA">
      <w:pPr>
        <w:pStyle w:val="Heading4"/>
      </w:pPr>
      <w:r w:rsidRPr="004C79FA">
        <w:t>Recommendation 4:</w:t>
      </w:r>
      <w:r w:rsidRPr="00D60078">
        <w:rPr>
          <w:b/>
        </w:rPr>
        <w:t xml:space="preserve"> </w:t>
      </w:r>
      <w:r w:rsidRPr="00D60078">
        <w:t xml:space="preserve">Support for a new cooperation model with retains the existing model and approach, but gives fresh attention to new context and emerging opportunities </w:t>
      </w:r>
    </w:p>
    <w:p w14:paraId="2E741DAF" w14:textId="0D6E94E2" w:rsidR="00475A2B" w:rsidRDefault="001824FE" w:rsidP="006164A6">
      <w:r w:rsidRPr="00960094">
        <w:t>All</w:t>
      </w:r>
      <w:r w:rsidR="00FB58F7" w:rsidRPr="00960094">
        <w:t xml:space="preserve"> </w:t>
      </w:r>
      <w:r>
        <w:t>three governments</w:t>
      </w:r>
      <w:r w:rsidR="00EE7EB0">
        <w:t xml:space="preserve"> accept </w:t>
      </w:r>
      <w:r w:rsidR="004C79FA" w:rsidRPr="00960094">
        <w:t>this recommendation</w:t>
      </w:r>
      <w:r w:rsidR="00FB58F7" w:rsidRPr="00960094">
        <w:t xml:space="preserve">. The Government of PNG </w:t>
      </w:r>
      <w:r w:rsidR="00EE7EB0">
        <w:t>emphasises the importance of extending t</w:t>
      </w:r>
      <w:r w:rsidR="00FB58F7" w:rsidRPr="00960094">
        <w:t>he</w:t>
      </w:r>
      <w:r w:rsidR="00FB58F7">
        <w:t xml:space="preserve"> project </w:t>
      </w:r>
      <w:r w:rsidR="004C79FA" w:rsidRPr="00D60078">
        <w:t>engagement into provinces and address</w:t>
      </w:r>
      <w:r w:rsidR="00EE7EB0">
        <w:t>ing</w:t>
      </w:r>
      <w:r w:rsidR="004C79FA" w:rsidRPr="00D60078">
        <w:t xml:space="preserve"> the context of </w:t>
      </w:r>
      <w:r w:rsidR="00BC0B33">
        <w:t xml:space="preserve">the malaria </w:t>
      </w:r>
      <w:r w:rsidR="004C79FA" w:rsidRPr="00D60078">
        <w:t xml:space="preserve">resurgence in building readiness for pre-elimination. </w:t>
      </w:r>
      <w:r w:rsidR="00EE7EB0">
        <w:t>A detailed scoping and design process will take place over the course of</w:t>
      </w:r>
      <w:r w:rsidR="00901218">
        <w:t xml:space="preserve"> </w:t>
      </w:r>
      <w:r w:rsidR="00EE7EB0">
        <w:t>2019 which will set the budget, timeframe and parameters of the new project.</w:t>
      </w:r>
    </w:p>
    <w:p w14:paraId="19AB3098" w14:textId="57D15103" w:rsidR="004C79FA" w:rsidRPr="00D60078" w:rsidRDefault="004C79FA" w:rsidP="00475A2B">
      <w:pPr>
        <w:pStyle w:val="Heading4"/>
      </w:pPr>
      <w:r w:rsidRPr="00475A2B">
        <w:lastRenderedPageBreak/>
        <w:t>Recommendation 5: Commission</w:t>
      </w:r>
      <w:r w:rsidRPr="00D60078">
        <w:t xml:space="preserve"> a new design to extend the development benefits to PNG (with a focus on health security, undertaken by the partners, with technical support as required, in two parts – options paper and full design document) </w:t>
      </w:r>
    </w:p>
    <w:p w14:paraId="6B37A94F" w14:textId="0A11EA8D" w:rsidR="00475A2B" w:rsidRPr="00960094" w:rsidRDefault="00FB58F7" w:rsidP="00FB58F7">
      <w:r w:rsidRPr="00960094">
        <w:t xml:space="preserve">The Government of PNG </w:t>
      </w:r>
      <w:r w:rsidR="00EE7EB0">
        <w:t>accept</w:t>
      </w:r>
      <w:r w:rsidR="004C79FA" w:rsidRPr="00960094">
        <w:t xml:space="preserve"> this recommendation and note PNG’s interest in commencing this process </w:t>
      </w:r>
      <w:r w:rsidR="00EE7EB0">
        <w:t>as quickly as possible.</w:t>
      </w:r>
      <w:r w:rsidR="004C79FA" w:rsidRPr="00960094">
        <w:t xml:space="preserve"> </w:t>
      </w:r>
    </w:p>
    <w:p w14:paraId="0BA1F1A6" w14:textId="3665A40D" w:rsidR="00475A2B" w:rsidRPr="00960094" w:rsidRDefault="00FB58F7" w:rsidP="00FB58F7">
      <w:r w:rsidRPr="00960094">
        <w:t>The Government of the People’s Republic of China</w:t>
      </w:r>
      <w:r w:rsidR="00EE7EB0">
        <w:t xml:space="preserve"> accept</w:t>
      </w:r>
      <w:r w:rsidRPr="00960094">
        <w:t xml:space="preserve"> </w:t>
      </w:r>
      <w:r w:rsidR="004C79FA" w:rsidRPr="00960094">
        <w:t xml:space="preserve">in-principle this recommendation, noting </w:t>
      </w:r>
      <w:r w:rsidRPr="00960094">
        <w:t xml:space="preserve">that it will </w:t>
      </w:r>
      <w:r w:rsidR="004C79FA" w:rsidRPr="00960094">
        <w:t xml:space="preserve">be critical to </w:t>
      </w:r>
      <w:r w:rsidR="00960094" w:rsidRPr="00960094">
        <w:t xml:space="preserve">continue discussions </w:t>
      </w:r>
      <w:r w:rsidR="004C79FA" w:rsidRPr="00960094">
        <w:t xml:space="preserve">about the new design. </w:t>
      </w:r>
    </w:p>
    <w:p w14:paraId="59D87CB0" w14:textId="5B0CDFD8" w:rsidR="004C79FA" w:rsidRDefault="00FB58F7" w:rsidP="00FB58F7">
      <w:r w:rsidRPr="00960094">
        <w:t xml:space="preserve">The </w:t>
      </w:r>
      <w:r w:rsidR="00475A2B" w:rsidRPr="00960094">
        <w:t>G</w:t>
      </w:r>
      <w:r w:rsidRPr="00960094">
        <w:t xml:space="preserve">overnment </w:t>
      </w:r>
      <w:r w:rsidR="00475A2B" w:rsidRPr="00960094">
        <w:t>o</w:t>
      </w:r>
      <w:r w:rsidRPr="00960094">
        <w:t xml:space="preserve">f </w:t>
      </w:r>
      <w:r w:rsidR="004C79FA" w:rsidRPr="00960094">
        <w:t>A</w:t>
      </w:r>
      <w:r w:rsidRPr="00960094">
        <w:t xml:space="preserve">ustralia </w:t>
      </w:r>
      <w:r w:rsidR="001B0D23">
        <w:t>accept this</w:t>
      </w:r>
      <w:r w:rsidR="004C79FA" w:rsidRPr="00960094">
        <w:t xml:space="preserve"> recommendation</w:t>
      </w:r>
      <w:r w:rsidR="00960094" w:rsidRPr="00960094">
        <w:t xml:space="preserve"> and the </w:t>
      </w:r>
      <w:r w:rsidR="004C79FA" w:rsidRPr="00960094">
        <w:t>principles set out within it</w:t>
      </w:r>
      <w:r w:rsidRPr="00960094">
        <w:t xml:space="preserve">. </w:t>
      </w:r>
    </w:p>
    <w:p w14:paraId="7CA0C8D0" w14:textId="6E34FB41" w:rsidR="006164A6" w:rsidRPr="00960094" w:rsidRDefault="006164A6" w:rsidP="006164A6">
      <w:r>
        <w:t>Work has begun to implement this recommendation</w:t>
      </w:r>
      <w:r w:rsidR="00047CEB">
        <w:t xml:space="preserve"> as detailed above</w:t>
      </w:r>
      <w:r>
        <w:t>.</w:t>
      </w:r>
    </w:p>
    <w:p w14:paraId="35029C75" w14:textId="10538AB4" w:rsidR="004C79FA" w:rsidRPr="00D60078" w:rsidRDefault="004C79FA" w:rsidP="00475A2B">
      <w:pPr>
        <w:pStyle w:val="Heading4"/>
      </w:pPr>
      <w:r w:rsidRPr="00475A2B">
        <w:t xml:space="preserve">Recommendation 6: </w:t>
      </w:r>
      <w:r w:rsidRPr="00D60078">
        <w:t xml:space="preserve">Partner government to consider detailed research and documentation of the development cooperation model to share lessons widely in the aid community </w:t>
      </w:r>
    </w:p>
    <w:p w14:paraId="536B062C" w14:textId="338C97FB" w:rsidR="006164A6" w:rsidRDefault="009348AD" w:rsidP="00960094">
      <w:r w:rsidRPr="00960094">
        <w:t>All</w:t>
      </w:r>
      <w:r w:rsidR="00960094" w:rsidRPr="00960094">
        <w:t xml:space="preserve"> </w:t>
      </w:r>
      <w:r>
        <w:t xml:space="preserve">three governments </w:t>
      </w:r>
      <w:r w:rsidR="001B0D23">
        <w:t>accept</w:t>
      </w:r>
      <w:r w:rsidR="004C79FA" w:rsidRPr="00960094">
        <w:t xml:space="preserve"> this recommendation</w:t>
      </w:r>
      <w:r w:rsidR="001B0D23">
        <w:t xml:space="preserve"> and recognise the</w:t>
      </w:r>
      <w:r w:rsidR="00960094">
        <w:t xml:space="preserve"> opportunity to </w:t>
      </w:r>
      <w:r w:rsidR="009D7A41">
        <w:t xml:space="preserve">inform other development initiatives about the </w:t>
      </w:r>
      <w:r w:rsidR="00960094" w:rsidRPr="00960094">
        <w:t>Project</w:t>
      </w:r>
      <w:r>
        <w:t xml:space="preserve">’s </w:t>
      </w:r>
      <w:r w:rsidR="004C79FA" w:rsidRPr="00960094">
        <w:t xml:space="preserve">model. </w:t>
      </w:r>
    </w:p>
    <w:p w14:paraId="6AD2768F" w14:textId="0197CC3A" w:rsidR="004C79FA" w:rsidRPr="00D60078" w:rsidRDefault="006164A6" w:rsidP="00960094">
      <w:r>
        <w:t>Work has begun to address this recommendation</w:t>
      </w:r>
      <w:r w:rsidR="001B0D23">
        <w:t xml:space="preserve"> through the communications sub-working group.</w:t>
      </w:r>
    </w:p>
    <w:p w14:paraId="0C8B4E2D" w14:textId="77777777" w:rsidR="006164A6" w:rsidRDefault="004C79FA" w:rsidP="00475A2B">
      <w:pPr>
        <w:pStyle w:val="Heading4"/>
      </w:pPr>
      <w:r w:rsidRPr="00475A2B">
        <w:t>Recommendation 7: PNG</w:t>
      </w:r>
      <w:r w:rsidRPr="00D60078">
        <w:t>, China and Australia to consider using the relationships and systems established through the trilateral project to explore other collaboration in PNG and the region</w:t>
      </w:r>
    </w:p>
    <w:p w14:paraId="22242C7F" w14:textId="547318D8" w:rsidR="00C54493" w:rsidRDefault="002B1373" w:rsidP="00CE6043">
      <w:r>
        <w:t>All partners accept</w:t>
      </w:r>
      <w:r w:rsidR="001B0D23">
        <w:t xml:space="preserve"> this recommendation in principle and agreed to discuss it further in the appropriate bilateral and trilateral fora.</w:t>
      </w:r>
    </w:p>
    <w:p w14:paraId="29487782" w14:textId="5E8CE67E" w:rsidR="004C79FA" w:rsidRPr="00C54493" w:rsidRDefault="004C79FA" w:rsidP="00475A2B">
      <w:pPr>
        <w:pStyle w:val="Heading4"/>
      </w:pPr>
      <w:r w:rsidRPr="00C54493">
        <w:t xml:space="preserve">PNG to consider utilising the model of trilateral project donor cooperation with other donors </w:t>
      </w:r>
    </w:p>
    <w:p w14:paraId="29D9F950" w14:textId="78442413" w:rsidR="004C79FA" w:rsidRPr="00D60078" w:rsidRDefault="009D7A41" w:rsidP="009D7A41">
      <w:r>
        <w:t xml:space="preserve">The Government of PNG </w:t>
      </w:r>
      <w:r w:rsidR="001B0D23">
        <w:t>accept</w:t>
      </w:r>
      <w:r w:rsidR="004C79FA" w:rsidRPr="00D60078">
        <w:t xml:space="preserve"> this recommendation</w:t>
      </w:r>
      <w:r>
        <w:t xml:space="preserve"> and </w:t>
      </w:r>
      <w:r w:rsidR="001B0D23">
        <w:t xml:space="preserve">notes </w:t>
      </w:r>
      <w:r>
        <w:t xml:space="preserve">that PNG has </w:t>
      </w:r>
      <w:r w:rsidR="004C79FA" w:rsidRPr="00D60078">
        <w:t xml:space="preserve">some </w:t>
      </w:r>
      <w:r w:rsidR="00C54493">
        <w:t xml:space="preserve">bilateral </w:t>
      </w:r>
      <w:r w:rsidR="004C79FA" w:rsidRPr="00D60078">
        <w:t>programs that may benefit from having a third party involve</w:t>
      </w:r>
      <w:r>
        <w:t>d</w:t>
      </w:r>
      <w:r w:rsidR="004C79FA" w:rsidRPr="00D60078">
        <w:t xml:space="preserve">. </w:t>
      </w:r>
      <w:r w:rsidR="00C54493">
        <w:t xml:space="preserve">They </w:t>
      </w:r>
      <w:r w:rsidR="001B0D23">
        <w:t>highlight</w:t>
      </w:r>
      <w:r w:rsidR="00C54493">
        <w:t xml:space="preserve"> the </w:t>
      </w:r>
      <w:r>
        <w:t xml:space="preserve">trust </w:t>
      </w:r>
      <w:r w:rsidR="004C79FA" w:rsidRPr="00D60078">
        <w:t xml:space="preserve">generated between institutions and </w:t>
      </w:r>
      <w:r>
        <w:t xml:space="preserve">partners through this project and the </w:t>
      </w:r>
      <w:r w:rsidR="004C79FA" w:rsidRPr="00D60078">
        <w:t>wealth of lessons learned</w:t>
      </w:r>
      <w:r w:rsidR="00C54493">
        <w:t xml:space="preserve"> as a key strength</w:t>
      </w:r>
      <w:r w:rsidR="004C79FA" w:rsidRPr="00D60078">
        <w:t xml:space="preserve">. </w:t>
      </w:r>
    </w:p>
    <w:sectPr w:rsidR="004C79FA" w:rsidRPr="00D60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81E9" w14:textId="77777777" w:rsidR="00765E7E" w:rsidRDefault="00765E7E" w:rsidP="00765E7E">
      <w:pPr>
        <w:spacing w:after="0" w:line="240" w:lineRule="auto"/>
      </w:pPr>
      <w:r>
        <w:separator/>
      </w:r>
    </w:p>
  </w:endnote>
  <w:endnote w:type="continuationSeparator" w:id="0">
    <w:p w14:paraId="5A056F9C" w14:textId="77777777" w:rsidR="00765E7E" w:rsidRDefault="00765E7E" w:rsidP="0076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287" w:usb1="080E0000" w:usb2="00000010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FD8F" w14:textId="77777777" w:rsidR="00A46ECC" w:rsidRDefault="00A46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941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27A802" w14:textId="0F098D61" w:rsidR="00765E7E" w:rsidRPr="00765E7E" w:rsidRDefault="00765E7E" w:rsidP="00765E7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ECC" w:rsidRPr="00A46EC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75C7" w14:textId="77777777" w:rsidR="00A46ECC" w:rsidRDefault="00A46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DA93" w14:textId="77777777" w:rsidR="00765E7E" w:rsidRDefault="00765E7E" w:rsidP="00765E7E">
      <w:pPr>
        <w:spacing w:after="0" w:line="240" w:lineRule="auto"/>
      </w:pPr>
      <w:r>
        <w:separator/>
      </w:r>
    </w:p>
  </w:footnote>
  <w:footnote w:type="continuationSeparator" w:id="0">
    <w:p w14:paraId="12DEDF26" w14:textId="77777777" w:rsidR="00765E7E" w:rsidRDefault="00765E7E" w:rsidP="0076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FEAF" w14:textId="77777777" w:rsidR="00A46ECC" w:rsidRDefault="00A46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DAB3" w14:textId="77777777" w:rsidR="00A46ECC" w:rsidRDefault="00A46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61B2" w14:textId="77777777" w:rsidR="00A46ECC" w:rsidRDefault="00A4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251"/>
    <w:multiLevelType w:val="hybridMultilevel"/>
    <w:tmpl w:val="F19C9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E0D62"/>
    <w:multiLevelType w:val="hybridMultilevel"/>
    <w:tmpl w:val="4F34CD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BB7"/>
    <w:multiLevelType w:val="hybridMultilevel"/>
    <w:tmpl w:val="B1161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51197"/>
    <w:multiLevelType w:val="hybridMultilevel"/>
    <w:tmpl w:val="27A0A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533D3"/>
    <w:multiLevelType w:val="hybridMultilevel"/>
    <w:tmpl w:val="1EE6E5A4"/>
    <w:lvl w:ilvl="0" w:tplc="BBAAE4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64FCD"/>
    <w:multiLevelType w:val="hybridMultilevel"/>
    <w:tmpl w:val="5C12B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F2835"/>
    <w:multiLevelType w:val="hybridMultilevel"/>
    <w:tmpl w:val="5566B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631DC"/>
    <w:multiLevelType w:val="hybridMultilevel"/>
    <w:tmpl w:val="2CFC4F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607F8"/>
    <w:multiLevelType w:val="hybridMultilevel"/>
    <w:tmpl w:val="BDCCB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76A96"/>
    <w:multiLevelType w:val="hybridMultilevel"/>
    <w:tmpl w:val="95CE9048"/>
    <w:lvl w:ilvl="0" w:tplc="98AEC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0D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82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E2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F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6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24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7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AD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86993"/>
    <w:multiLevelType w:val="hybridMultilevel"/>
    <w:tmpl w:val="80BE8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15554"/>
    <w:multiLevelType w:val="hybridMultilevel"/>
    <w:tmpl w:val="71368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E08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34F3D"/>
    <w:multiLevelType w:val="hybridMultilevel"/>
    <w:tmpl w:val="47DAD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78"/>
    <w:rsid w:val="000033DF"/>
    <w:rsid w:val="00047CEB"/>
    <w:rsid w:val="00052F4E"/>
    <w:rsid w:val="001263E0"/>
    <w:rsid w:val="001824FE"/>
    <w:rsid w:val="001B0D23"/>
    <w:rsid w:val="001B33AE"/>
    <w:rsid w:val="00267E18"/>
    <w:rsid w:val="002B1373"/>
    <w:rsid w:val="00355286"/>
    <w:rsid w:val="00393E3B"/>
    <w:rsid w:val="00475A2B"/>
    <w:rsid w:val="004C79FA"/>
    <w:rsid w:val="00584A7A"/>
    <w:rsid w:val="0060467C"/>
    <w:rsid w:val="006164A6"/>
    <w:rsid w:val="00652A07"/>
    <w:rsid w:val="006A1A3A"/>
    <w:rsid w:val="006C6B48"/>
    <w:rsid w:val="006F675B"/>
    <w:rsid w:val="00765E7E"/>
    <w:rsid w:val="007F2DB8"/>
    <w:rsid w:val="008625EC"/>
    <w:rsid w:val="008F0CAA"/>
    <w:rsid w:val="008F3825"/>
    <w:rsid w:val="00901218"/>
    <w:rsid w:val="009229D3"/>
    <w:rsid w:val="009348AD"/>
    <w:rsid w:val="00960094"/>
    <w:rsid w:val="009D7A41"/>
    <w:rsid w:val="00A024F0"/>
    <w:rsid w:val="00A34618"/>
    <w:rsid w:val="00A46ECC"/>
    <w:rsid w:val="00AA3174"/>
    <w:rsid w:val="00AE441C"/>
    <w:rsid w:val="00B200D9"/>
    <w:rsid w:val="00B83652"/>
    <w:rsid w:val="00BC0B33"/>
    <w:rsid w:val="00C51A6B"/>
    <w:rsid w:val="00C54493"/>
    <w:rsid w:val="00CE6043"/>
    <w:rsid w:val="00D36A1C"/>
    <w:rsid w:val="00D60078"/>
    <w:rsid w:val="00DC5D1E"/>
    <w:rsid w:val="00E90DF1"/>
    <w:rsid w:val="00EE7EB0"/>
    <w:rsid w:val="00F80644"/>
    <w:rsid w:val="00FB58F7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22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0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9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60078"/>
  </w:style>
  <w:style w:type="paragraph" w:styleId="ListParagraph">
    <w:name w:val="List Paragraph"/>
    <w:basedOn w:val="Normal"/>
    <w:link w:val="ListParagraphChar"/>
    <w:uiPriority w:val="34"/>
    <w:qFormat/>
    <w:rsid w:val="00D60078"/>
    <w:pPr>
      <w:ind w:left="720"/>
      <w:contextualSpacing/>
    </w:pPr>
  </w:style>
  <w:style w:type="table" w:styleId="TableGrid">
    <w:name w:val="Table Grid"/>
    <w:basedOn w:val="TableNormal"/>
    <w:uiPriority w:val="59"/>
    <w:rsid w:val="00D60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60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6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0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0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79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2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D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E"/>
  </w:style>
  <w:style w:type="paragraph" w:styleId="Footer">
    <w:name w:val="footer"/>
    <w:basedOn w:val="Normal"/>
    <w:link w:val="FooterChar"/>
    <w:uiPriority w:val="99"/>
    <w:unhideWhenUsed/>
    <w:rsid w:val="00765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D6BB7C-C8FE-4DB7-B137-201FE6D1E032}"/>
</file>

<file path=customXml/itemProps2.xml><?xml version="1.0" encoding="utf-8"?>
<ds:datastoreItem xmlns:ds="http://schemas.openxmlformats.org/officeDocument/2006/customXml" ds:itemID="{7496BF01-5FAF-41F1-A7F7-66A0FA99EA15}"/>
</file>

<file path=customXml/itemProps3.xml><?xml version="1.0" encoding="utf-8"?>
<ds:datastoreItem xmlns:ds="http://schemas.openxmlformats.org/officeDocument/2006/customXml" ds:itemID="{8A4334BF-F36F-459A-8565-A3ADFC333980}"/>
</file>

<file path=customXml/itemProps4.xml><?xml version="1.0" encoding="utf-8"?>
<ds:datastoreItem xmlns:ds="http://schemas.openxmlformats.org/officeDocument/2006/customXml" ds:itemID="{0B5AB587-5F82-4583-BDB6-D65EC30AA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2019-11-12T02:08:00Z</dcterms:created>
  <dcterms:modified xsi:type="dcterms:W3CDTF">2019-11-12T02:08:00Z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21b5a15b-4fbf-4e96-bb68-9c7e5bfcffa6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1279300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