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25"/>
        <w:tblW w:w="102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0269"/>
      </w:tblGrid>
      <w:tr w:rsidR="00794C57" w:rsidRPr="001876A9" w14:paraId="79DF1F26" w14:textId="77777777" w:rsidTr="00C55800">
        <w:trPr>
          <w:cantSplit/>
          <w:trHeight w:val="289"/>
        </w:trPr>
        <w:tc>
          <w:tcPr>
            <w:tcW w:w="10269" w:type="dxa"/>
            <w:tcBorders>
              <w:bottom w:val="single" w:sz="4" w:space="0" w:color="808080"/>
            </w:tcBorders>
            <w:shd w:val="clear" w:color="auto" w:fill="C1E7E0" w:themeFill="accent1" w:themeFillTint="66"/>
          </w:tcPr>
          <w:p w14:paraId="6F06FB2F" w14:textId="4FCB2C06" w:rsidR="00794C57" w:rsidRPr="005C5824" w:rsidRDefault="00CF7F86" w:rsidP="004A59EF">
            <w:pPr>
              <w:pStyle w:val="BodyText"/>
              <w:spacing w:after="120" w:line="240" w:lineRule="auto"/>
              <w:jc w:val="right"/>
              <w:rPr>
                <w:rFonts w:asciiTheme="majorHAnsi" w:hAnsiTheme="majorHAnsi"/>
                <w:b/>
                <w:sz w:val="32"/>
                <w:szCs w:val="40"/>
              </w:rPr>
            </w:pPr>
            <w:bookmarkStart w:id="0" w:name="_GoBack"/>
            <w:bookmarkEnd w:id="0"/>
            <w:r>
              <w:rPr>
                <w:rFonts w:asciiTheme="majorHAnsi" w:hAnsiTheme="majorHAnsi"/>
                <w:b/>
                <w:sz w:val="32"/>
                <w:szCs w:val="40"/>
              </w:rPr>
              <w:t xml:space="preserve">Attachment A - </w:t>
            </w:r>
            <w:r w:rsidR="00794C57" w:rsidRPr="005C5824">
              <w:rPr>
                <w:rFonts w:asciiTheme="majorHAnsi" w:hAnsiTheme="majorHAnsi"/>
                <w:b/>
                <w:sz w:val="32"/>
                <w:szCs w:val="40"/>
              </w:rPr>
              <w:t>Investment Design</w:t>
            </w:r>
            <w:r w:rsidR="006F7314" w:rsidRPr="005C5824">
              <w:rPr>
                <w:rFonts w:asciiTheme="majorHAnsi" w:hAnsiTheme="majorHAnsi"/>
                <w:b/>
                <w:sz w:val="32"/>
                <w:szCs w:val="40"/>
              </w:rPr>
              <w:t>: Australia</w:t>
            </w:r>
            <w:r w:rsidR="001F7876" w:rsidRPr="005C5824">
              <w:rPr>
                <w:rFonts w:asciiTheme="majorHAnsi" w:hAnsiTheme="majorHAnsi"/>
                <w:b/>
                <w:sz w:val="32"/>
                <w:szCs w:val="40"/>
              </w:rPr>
              <w:t xml:space="preserve"> Awards</w:t>
            </w:r>
            <w:r w:rsidR="00572569" w:rsidRPr="005C5824">
              <w:rPr>
                <w:rFonts w:asciiTheme="majorHAnsi" w:hAnsiTheme="majorHAnsi"/>
                <w:b/>
                <w:sz w:val="32"/>
                <w:szCs w:val="40"/>
              </w:rPr>
              <w:t xml:space="preserve"> in</w:t>
            </w:r>
            <w:r w:rsidR="001F7876" w:rsidRPr="005C5824">
              <w:rPr>
                <w:rFonts w:asciiTheme="majorHAnsi" w:hAnsiTheme="majorHAnsi"/>
                <w:b/>
                <w:sz w:val="32"/>
                <w:szCs w:val="40"/>
              </w:rPr>
              <w:t xml:space="preserve"> Vanuatu</w:t>
            </w:r>
          </w:p>
        </w:tc>
      </w:tr>
      <w:tr w:rsidR="00794C57" w:rsidRPr="001876A9" w14:paraId="4289DD25" w14:textId="77777777" w:rsidTr="00C55800">
        <w:tblPrEx>
          <w:shd w:val="clear" w:color="auto" w:fill="FFFFFF"/>
          <w:tblCellMar>
            <w:top w:w="28" w:type="dxa"/>
            <w:bottom w:w="28" w:type="dxa"/>
          </w:tblCellMar>
        </w:tblPrEx>
        <w:trPr>
          <w:cantSplit/>
          <w:trHeight w:val="360"/>
        </w:trPr>
        <w:tc>
          <w:tcPr>
            <w:tcW w:w="10269"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14:paraId="7FBAF65A" w14:textId="0D8DB83A" w:rsidR="002E3A5C" w:rsidRPr="005C5824" w:rsidRDefault="00794C57" w:rsidP="00676EAA">
            <w:pPr>
              <w:pStyle w:val="BodyText"/>
              <w:tabs>
                <w:tab w:val="left" w:pos="6266"/>
              </w:tabs>
              <w:spacing w:before="60" w:line="240" w:lineRule="auto"/>
              <w:rPr>
                <w:rFonts w:asciiTheme="majorHAnsi" w:hAnsiTheme="majorHAnsi"/>
              </w:rPr>
            </w:pPr>
            <w:r w:rsidRPr="005C5824">
              <w:rPr>
                <w:rFonts w:asciiTheme="majorHAnsi" w:hAnsiTheme="majorHAnsi"/>
                <w:b/>
              </w:rPr>
              <w:t>Start date:</w:t>
            </w:r>
            <w:r w:rsidR="00D542B3" w:rsidRPr="005C5824">
              <w:rPr>
                <w:rFonts w:asciiTheme="majorHAnsi" w:hAnsiTheme="majorHAnsi"/>
                <w:b/>
              </w:rPr>
              <w:t xml:space="preserve"> </w:t>
            </w:r>
            <w:r w:rsidR="0067128F" w:rsidRPr="005C5824">
              <w:t>January 2019</w:t>
            </w:r>
            <w:r w:rsidR="001F7876" w:rsidRPr="005C5824">
              <w:rPr>
                <w:rFonts w:asciiTheme="majorHAnsi" w:hAnsiTheme="majorHAnsi"/>
                <w:b/>
              </w:rPr>
              <w:tab/>
            </w:r>
            <w:r w:rsidRPr="005C5824">
              <w:rPr>
                <w:rFonts w:asciiTheme="majorHAnsi" w:hAnsiTheme="majorHAnsi"/>
                <w:b/>
              </w:rPr>
              <w:t>End Date:</w:t>
            </w:r>
            <w:r w:rsidR="006F7314" w:rsidRPr="005C5824">
              <w:t xml:space="preserve"> </w:t>
            </w:r>
            <w:r w:rsidR="0061659A" w:rsidRPr="005C5824">
              <w:t>December</w:t>
            </w:r>
            <w:r w:rsidR="0061659A" w:rsidRPr="005C5824">
              <w:rPr>
                <w:rFonts w:asciiTheme="majorHAnsi" w:hAnsiTheme="majorHAnsi"/>
              </w:rPr>
              <w:t xml:space="preserve"> </w:t>
            </w:r>
            <w:r w:rsidR="0061659A" w:rsidRPr="005C5824">
              <w:t>2021</w:t>
            </w:r>
          </w:p>
        </w:tc>
      </w:tr>
      <w:tr w:rsidR="00794C57" w:rsidRPr="001876A9" w14:paraId="168A820E" w14:textId="77777777" w:rsidTr="00C55800">
        <w:tblPrEx>
          <w:shd w:val="clear" w:color="auto" w:fill="FFFFFF"/>
          <w:tblCellMar>
            <w:top w:w="28" w:type="dxa"/>
            <w:bottom w:w="28" w:type="dxa"/>
          </w:tblCellMar>
        </w:tblPrEx>
        <w:trPr>
          <w:cantSplit/>
          <w:trHeight w:val="360"/>
        </w:trPr>
        <w:tc>
          <w:tcPr>
            <w:tcW w:w="10269"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14:paraId="3DF5B76C" w14:textId="365802D7" w:rsidR="00794C57" w:rsidRPr="005C5824" w:rsidRDefault="00794C57" w:rsidP="00C55800">
            <w:pPr>
              <w:pStyle w:val="BodyText"/>
              <w:spacing w:before="60" w:line="240" w:lineRule="auto"/>
              <w:rPr>
                <w:rFonts w:asciiTheme="majorHAnsi" w:hAnsiTheme="majorHAnsi"/>
                <w:b/>
              </w:rPr>
            </w:pPr>
            <w:r w:rsidRPr="005C5824">
              <w:rPr>
                <w:rFonts w:asciiTheme="majorHAnsi" w:hAnsiTheme="majorHAnsi"/>
                <w:b/>
              </w:rPr>
              <w:t xml:space="preserve">Total proposed funding allocation: </w:t>
            </w:r>
            <w:r w:rsidR="008233AF">
              <w:rPr>
                <w:rFonts w:asciiTheme="majorHAnsi" w:hAnsiTheme="majorHAnsi"/>
                <w:b/>
              </w:rPr>
              <w:t xml:space="preserve">Approximately </w:t>
            </w:r>
            <w:r w:rsidR="005559DE">
              <w:rPr>
                <w:rFonts w:asciiTheme="majorHAnsi" w:hAnsiTheme="majorHAnsi"/>
                <w:b/>
              </w:rPr>
              <w:t>A</w:t>
            </w:r>
            <w:r w:rsidRPr="005C5824">
              <w:t>$</w:t>
            </w:r>
            <w:r w:rsidR="0061659A" w:rsidRPr="005C5824">
              <w:t>6</w:t>
            </w:r>
            <w:r w:rsidR="006F7314" w:rsidRPr="005C5824">
              <w:t xml:space="preserve"> million</w:t>
            </w:r>
          </w:p>
        </w:tc>
      </w:tr>
      <w:tr w:rsidR="00794C57" w:rsidRPr="001876A9" w14:paraId="13D81BBF" w14:textId="77777777" w:rsidTr="00C55800">
        <w:tblPrEx>
          <w:shd w:val="clear" w:color="auto" w:fill="FFFFFF"/>
          <w:tblCellMar>
            <w:top w:w="28" w:type="dxa"/>
            <w:bottom w:w="28" w:type="dxa"/>
          </w:tblCellMar>
        </w:tblPrEx>
        <w:trPr>
          <w:cantSplit/>
          <w:trHeight w:val="360"/>
        </w:trPr>
        <w:tc>
          <w:tcPr>
            <w:tcW w:w="10269"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14:paraId="5AAC0211" w14:textId="77777777" w:rsidR="00794C57" w:rsidRPr="005C5824" w:rsidRDefault="00794C57" w:rsidP="00C55800">
            <w:pPr>
              <w:pStyle w:val="BodyText"/>
              <w:spacing w:before="60" w:line="240" w:lineRule="auto"/>
              <w:rPr>
                <w:rFonts w:asciiTheme="majorHAnsi" w:hAnsiTheme="majorHAnsi"/>
                <w:b/>
              </w:rPr>
            </w:pPr>
            <w:r w:rsidRPr="005C5824">
              <w:rPr>
                <w:rFonts w:asciiTheme="majorHAnsi" w:hAnsiTheme="majorHAnsi"/>
                <w:b/>
              </w:rPr>
              <w:t xml:space="preserve">Investment Concept (IC) approved by: </w:t>
            </w:r>
            <w:r w:rsidR="006F7314" w:rsidRPr="005C5824">
              <w:t>n/a</w:t>
            </w:r>
            <w:r w:rsidRPr="005C5824">
              <w:rPr>
                <w:rFonts w:asciiTheme="majorHAnsi" w:hAnsiTheme="majorHAnsi"/>
                <w:b/>
              </w:rPr>
              <w:tab/>
              <w:t xml:space="preserve"> </w:t>
            </w:r>
            <w:r w:rsidR="0072601F" w:rsidRPr="005C5824">
              <w:rPr>
                <w:rFonts w:asciiTheme="majorHAnsi" w:hAnsiTheme="majorHAnsi"/>
                <w:b/>
              </w:rPr>
              <w:t xml:space="preserve">                                      </w:t>
            </w:r>
            <w:r w:rsidRPr="005C5824">
              <w:rPr>
                <w:rFonts w:asciiTheme="majorHAnsi" w:hAnsiTheme="majorHAnsi"/>
                <w:b/>
              </w:rPr>
              <w:t xml:space="preserve">IC Endorsed by AIC: </w:t>
            </w:r>
            <w:r w:rsidR="006F7314" w:rsidRPr="005C5824">
              <w:t>n/a</w:t>
            </w:r>
          </w:p>
        </w:tc>
      </w:tr>
      <w:tr w:rsidR="00794C57" w:rsidRPr="001876A9" w14:paraId="6377103F" w14:textId="77777777" w:rsidTr="00C55800">
        <w:tblPrEx>
          <w:shd w:val="clear" w:color="auto" w:fill="FFFFFF"/>
          <w:tblCellMar>
            <w:top w:w="28" w:type="dxa"/>
            <w:bottom w:w="28" w:type="dxa"/>
          </w:tblCellMar>
        </w:tblPrEx>
        <w:trPr>
          <w:cantSplit/>
          <w:trHeight w:val="360"/>
        </w:trPr>
        <w:tc>
          <w:tcPr>
            <w:tcW w:w="10269"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14:paraId="64AD327F" w14:textId="77777777" w:rsidR="00794C57" w:rsidRPr="005C5824" w:rsidRDefault="00794C57" w:rsidP="00C55800">
            <w:pPr>
              <w:pStyle w:val="BodyText"/>
              <w:spacing w:before="60" w:line="240" w:lineRule="auto"/>
              <w:rPr>
                <w:rFonts w:asciiTheme="majorHAnsi" w:hAnsiTheme="majorHAnsi"/>
                <w:b/>
              </w:rPr>
            </w:pPr>
            <w:r w:rsidRPr="005C5824">
              <w:rPr>
                <w:rFonts w:asciiTheme="majorHAnsi" w:hAnsiTheme="majorHAnsi"/>
                <w:b/>
              </w:rPr>
              <w:t xml:space="preserve">Quality Assurance (QA) Completed: </w:t>
            </w:r>
            <w:r w:rsidR="006F7314" w:rsidRPr="005C5824">
              <w:t>Peer review</w:t>
            </w:r>
          </w:p>
        </w:tc>
      </w:tr>
    </w:tbl>
    <w:p w14:paraId="69B7201E" w14:textId="6A50D203" w:rsidR="00591FD5" w:rsidRDefault="00591FD5" w:rsidP="00C55800">
      <w:pPr>
        <w:spacing w:before="0" w:after="0" w:line="240" w:lineRule="auto"/>
      </w:pPr>
    </w:p>
    <w:p w14:paraId="3995AFBB" w14:textId="5F0D967A" w:rsidR="00D266FA" w:rsidRDefault="00D266FA" w:rsidP="00C55800">
      <w:pPr>
        <w:spacing w:before="0" w:after="0" w:line="240" w:lineRule="auto"/>
      </w:pPr>
    </w:p>
    <w:p w14:paraId="27529F30" w14:textId="2F6F4430" w:rsidR="00D266FA" w:rsidRDefault="00D266FA" w:rsidP="00C55800">
      <w:pPr>
        <w:spacing w:before="0" w:after="0" w:line="240" w:lineRule="auto"/>
      </w:pPr>
    </w:p>
    <w:p w14:paraId="5A97A1D4" w14:textId="77777777" w:rsidR="00D266FA" w:rsidRDefault="00D266FA" w:rsidP="00C55800">
      <w:pPr>
        <w:spacing w:before="0" w:after="0" w:line="240" w:lineRule="auto"/>
      </w:pPr>
    </w:p>
    <w:sdt>
      <w:sdtPr>
        <w:rPr>
          <w:rFonts w:asciiTheme="minorHAnsi" w:eastAsiaTheme="minorHAnsi" w:hAnsiTheme="minorHAnsi" w:cstheme="minorBidi"/>
          <w:b w:val="0"/>
          <w:caps w:val="0"/>
          <w:sz w:val="22"/>
          <w:szCs w:val="22"/>
        </w:rPr>
        <w:id w:val="2112075647"/>
        <w:docPartObj>
          <w:docPartGallery w:val="Table of Contents"/>
          <w:docPartUnique/>
        </w:docPartObj>
      </w:sdtPr>
      <w:sdtEndPr>
        <w:rPr>
          <w:bCs/>
          <w:noProof/>
        </w:rPr>
      </w:sdtEndPr>
      <w:sdtContent>
        <w:p w14:paraId="315819EF" w14:textId="77777777" w:rsidR="00591FD5" w:rsidRPr="005C5824" w:rsidRDefault="00591FD5" w:rsidP="00894E1F">
          <w:pPr>
            <w:pStyle w:val="TOCHeading"/>
            <w:spacing w:after="360"/>
          </w:pPr>
          <w:r w:rsidRPr="005C5824">
            <w:t>Contents</w:t>
          </w:r>
        </w:p>
        <w:p w14:paraId="32494AD2" w14:textId="649ED905" w:rsidR="006716FA" w:rsidRDefault="00591FD5">
          <w:pPr>
            <w:pStyle w:val="TOC1"/>
            <w:rPr>
              <w:rFonts w:eastAsiaTheme="minorEastAsia"/>
              <w:b w:val="0"/>
              <w:caps w:val="0"/>
              <w:noProof/>
              <w:color w:val="auto"/>
              <w:sz w:val="22"/>
              <w:lang w:val="en-AU" w:eastAsia="en-AU"/>
            </w:rPr>
          </w:pPr>
          <w:r>
            <w:fldChar w:fldCharType="begin"/>
          </w:r>
          <w:r>
            <w:instrText xml:space="preserve"> TOC \o "1-3" \h \z \u </w:instrText>
          </w:r>
          <w:r>
            <w:fldChar w:fldCharType="separate"/>
          </w:r>
          <w:hyperlink w:anchor="_Toc515539465" w:history="1">
            <w:r w:rsidR="006716FA" w:rsidRPr="001F6F90">
              <w:rPr>
                <w:rStyle w:val="Hyperlink"/>
                <w:rFonts w:asciiTheme="majorHAnsi" w:hAnsiTheme="majorHAnsi"/>
                <w:noProof/>
              </w:rPr>
              <w:t>A: Program Overview</w:t>
            </w:r>
            <w:r w:rsidR="006716FA">
              <w:rPr>
                <w:noProof/>
                <w:webHidden/>
              </w:rPr>
              <w:tab/>
            </w:r>
            <w:r w:rsidR="006716FA">
              <w:rPr>
                <w:noProof/>
                <w:webHidden/>
              </w:rPr>
              <w:fldChar w:fldCharType="begin"/>
            </w:r>
            <w:r w:rsidR="006716FA">
              <w:rPr>
                <w:noProof/>
                <w:webHidden/>
              </w:rPr>
              <w:instrText xml:space="preserve"> PAGEREF _Toc515539465 \h </w:instrText>
            </w:r>
            <w:r w:rsidR="006716FA">
              <w:rPr>
                <w:noProof/>
                <w:webHidden/>
              </w:rPr>
            </w:r>
            <w:r w:rsidR="006716FA">
              <w:rPr>
                <w:noProof/>
                <w:webHidden/>
              </w:rPr>
              <w:fldChar w:fldCharType="separate"/>
            </w:r>
            <w:r w:rsidR="006716FA">
              <w:rPr>
                <w:noProof/>
                <w:webHidden/>
              </w:rPr>
              <w:t>2</w:t>
            </w:r>
            <w:r w:rsidR="006716FA">
              <w:rPr>
                <w:noProof/>
                <w:webHidden/>
              </w:rPr>
              <w:fldChar w:fldCharType="end"/>
            </w:r>
          </w:hyperlink>
        </w:p>
        <w:p w14:paraId="40C824EB" w14:textId="350DB4BF" w:rsidR="006716FA" w:rsidRDefault="004F0831">
          <w:pPr>
            <w:pStyle w:val="TOC1"/>
            <w:rPr>
              <w:rFonts w:eastAsiaTheme="minorEastAsia"/>
              <w:b w:val="0"/>
              <w:caps w:val="0"/>
              <w:noProof/>
              <w:color w:val="auto"/>
              <w:sz w:val="22"/>
              <w:lang w:val="en-AU" w:eastAsia="en-AU"/>
            </w:rPr>
          </w:pPr>
          <w:hyperlink w:anchor="_Toc515539466" w:history="1">
            <w:r w:rsidR="006716FA" w:rsidRPr="001F6F90">
              <w:rPr>
                <w:rStyle w:val="Hyperlink"/>
                <w:rFonts w:asciiTheme="majorHAnsi" w:hAnsiTheme="majorHAnsi"/>
                <w:noProof/>
              </w:rPr>
              <w:t>B: Context</w:t>
            </w:r>
            <w:r w:rsidR="006716FA">
              <w:rPr>
                <w:noProof/>
                <w:webHidden/>
              </w:rPr>
              <w:tab/>
            </w:r>
            <w:r w:rsidR="006716FA">
              <w:rPr>
                <w:noProof/>
                <w:webHidden/>
              </w:rPr>
              <w:fldChar w:fldCharType="begin"/>
            </w:r>
            <w:r w:rsidR="006716FA">
              <w:rPr>
                <w:noProof/>
                <w:webHidden/>
              </w:rPr>
              <w:instrText xml:space="preserve"> PAGEREF _Toc515539466 \h </w:instrText>
            </w:r>
            <w:r w:rsidR="006716FA">
              <w:rPr>
                <w:noProof/>
                <w:webHidden/>
              </w:rPr>
            </w:r>
            <w:r w:rsidR="006716FA">
              <w:rPr>
                <w:noProof/>
                <w:webHidden/>
              </w:rPr>
              <w:fldChar w:fldCharType="separate"/>
            </w:r>
            <w:r w:rsidR="006716FA">
              <w:rPr>
                <w:noProof/>
                <w:webHidden/>
              </w:rPr>
              <w:t>3</w:t>
            </w:r>
            <w:r w:rsidR="006716FA">
              <w:rPr>
                <w:noProof/>
                <w:webHidden/>
              </w:rPr>
              <w:fldChar w:fldCharType="end"/>
            </w:r>
          </w:hyperlink>
        </w:p>
        <w:p w14:paraId="593D21E9" w14:textId="26722C1E" w:rsidR="006716FA" w:rsidRDefault="004F0831">
          <w:pPr>
            <w:pStyle w:val="TOC1"/>
            <w:rPr>
              <w:rFonts w:eastAsiaTheme="minorEastAsia"/>
              <w:b w:val="0"/>
              <w:caps w:val="0"/>
              <w:noProof/>
              <w:color w:val="auto"/>
              <w:sz w:val="22"/>
              <w:lang w:val="en-AU" w:eastAsia="en-AU"/>
            </w:rPr>
          </w:pPr>
          <w:hyperlink w:anchor="_Toc515539467" w:history="1">
            <w:r w:rsidR="006716FA" w:rsidRPr="001F6F90">
              <w:rPr>
                <w:rStyle w:val="Hyperlink"/>
                <w:rFonts w:asciiTheme="majorHAnsi" w:hAnsiTheme="majorHAnsi"/>
                <w:noProof/>
              </w:rPr>
              <w:t>C: Rationale for Australian Investment</w:t>
            </w:r>
            <w:r w:rsidR="006716FA">
              <w:rPr>
                <w:noProof/>
                <w:webHidden/>
              </w:rPr>
              <w:tab/>
            </w:r>
            <w:r w:rsidR="006716FA">
              <w:rPr>
                <w:noProof/>
                <w:webHidden/>
              </w:rPr>
              <w:fldChar w:fldCharType="begin"/>
            </w:r>
            <w:r w:rsidR="006716FA">
              <w:rPr>
                <w:noProof/>
                <w:webHidden/>
              </w:rPr>
              <w:instrText xml:space="preserve"> PAGEREF _Toc515539467 \h </w:instrText>
            </w:r>
            <w:r w:rsidR="006716FA">
              <w:rPr>
                <w:noProof/>
                <w:webHidden/>
              </w:rPr>
            </w:r>
            <w:r w:rsidR="006716FA">
              <w:rPr>
                <w:noProof/>
                <w:webHidden/>
              </w:rPr>
              <w:fldChar w:fldCharType="separate"/>
            </w:r>
            <w:r w:rsidR="006716FA">
              <w:rPr>
                <w:noProof/>
                <w:webHidden/>
              </w:rPr>
              <w:t>4</w:t>
            </w:r>
            <w:r w:rsidR="006716FA">
              <w:rPr>
                <w:noProof/>
                <w:webHidden/>
              </w:rPr>
              <w:fldChar w:fldCharType="end"/>
            </w:r>
          </w:hyperlink>
        </w:p>
        <w:p w14:paraId="194ADFFB" w14:textId="4305635B" w:rsidR="006716FA" w:rsidRDefault="004F0831">
          <w:pPr>
            <w:pStyle w:val="TOC1"/>
            <w:rPr>
              <w:rFonts w:eastAsiaTheme="minorEastAsia"/>
              <w:b w:val="0"/>
              <w:caps w:val="0"/>
              <w:noProof/>
              <w:color w:val="auto"/>
              <w:sz w:val="22"/>
              <w:lang w:val="en-AU" w:eastAsia="en-AU"/>
            </w:rPr>
          </w:pPr>
          <w:hyperlink w:anchor="_Toc515539468" w:history="1">
            <w:r w:rsidR="006716FA" w:rsidRPr="001F6F90">
              <w:rPr>
                <w:rStyle w:val="Hyperlink"/>
                <w:rFonts w:asciiTheme="majorHAnsi" w:hAnsiTheme="majorHAnsi"/>
                <w:noProof/>
              </w:rPr>
              <w:t>D: Investment Description</w:t>
            </w:r>
            <w:r w:rsidR="006716FA">
              <w:rPr>
                <w:noProof/>
                <w:webHidden/>
              </w:rPr>
              <w:tab/>
            </w:r>
            <w:r w:rsidR="006716FA">
              <w:rPr>
                <w:noProof/>
                <w:webHidden/>
              </w:rPr>
              <w:fldChar w:fldCharType="begin"/>
            </w:r>
            <w:r w:rsidR="006716FA">
              <w:rPr>
                <w:noProof/>
                <w:webHidden/>
              </w:rPr>
              <w:instrText xml:space="preserve"> PAGEREF _Toc515539468 \h </w:instrText>
            </w:r>
            <w:r w:rsidR="006716FA">
              <w:rPr>
                <w:noProof/>
                <w:webHidden/>
              </w:rPr>
            </w:r>
            <w:r w:rsidR="006716FA">
              <w:rPr>
                <w:noProof/>
                <w:webHidden/>
              </w:rPr>
              <w:fldChar w:fldCharType="separate"/>
            </w:r>
            <w:r w:rsidR="006716FA">
              <w:rPr>
                <w:noProof/>
                <w:webHidden/>
              </w:rPr>
              <w:t>5</w:t>
            </w:r>
            <w:r w:rsidR="006716FA">
              <w:rPr>
                <w:noProof/>
                <w:webHidden/>
              </w:rPr>
              <w:fldChar w:fldCharType="end"/>
            </w:r>
          </w:hyperlink>
        </w:p>
        <w:p w14:paraId="687F6F15" w14:textId="58CDBAA7" w:rsidR="006716FA" w:rsidRDefault="004F0831">
          <w:pPr>
            <w:pStyle w:val="TOC1"/>
            <w:rPr>
              <w:rFonts w:eastAsiaTheme="minorEastAsia"/>
              <w:b w:val="0"/>
              <w:caps w:val="0"/>
              <w:noProof/>
              <w:color w:val="auto"/>
              <w:sz w:val="22"/>
              <w:lang w:val="en-AU" w:eastAsia="en-AU"/>
            </w:rPr>
          </w:pPr>
          <w:hyperlink w:anchor="_Toc515539469" w:history="1">
            <w:r w:rsidR="006716FA" w:rsidRPr="001F6F90">
              <w:rPr>
                <w:rStyle w:val="Hyperlink"/>
                <w:rFonts w:asciiTheme="majorHAnsi" w:hAnsiTheme="majorHAnsi"/>
                <w:noProof/>
              </w:rPr>
              <w:t>E: Implementation Arrangements</w:t>
            </w:r>
            <w:r w:rsidR="006716FA">
              <w:rPr>
                <w:noProof/>
                <w:webHidden/>
              </w:rPr>
              <w:tab/>
            </w:r>
            <w:r w:rsidR="006716FA">
              <w:rPr>
                <w:noProof/>
                <w:webHidden/>
              </w:rPr>
              <w:fldChar w:fldCharType="begin"/>
            </w:r>
            <w:r w:rsidR="006716FA">
              <w:rPr>
                <w:noProof/>
                <w:webHidden/>
              </w:rPr>
              <w:instrText xml:space="preserve"> PAGEREF _Toc515539469 \h </w:instrText>
            </w:r>
            <w:r w:rsidR="006716FA">
              <w:rPr>
                <w:noProof/>
                <w:webHidden/>
              </w:rPr>
            </w:r>
            <w:r w:rsidR="006716FA">
              <w:rPr>
                <w:noProof/>
                <w:webHidden/>
              </w:rPr>
              <w:fldChar w:fldCharType="separate"/>
            </w:r>
            <w:r w:rsidR="006716FA">
              <w:rPr>
                <w:noProof/>
                <w:webHidden/>
              </w:rPr>
              <w:t>6</w:t>
            </w:r>
            <w:r w:rsidR="006716FA">
              <w:rPr>
                <w:noProof/>
                <w:webHidden/>
              </w:rPr>
              <w:fldChar w:fldCharType="end"/>
            </w:r>
          </w:hyperlink>
        </w:p>
        <w:p w14:paraId="7BD55CBB" w14:textId="7BFA768D" w:rsidR="006716FA" w:rsidRDefault="004F0831">
          <w:pPr>
            <w:pStyle w:val="TOC1"/>
            <w:rPr>
              <w:rFonts w:eastAsiaTheme="minorEastAsia"/>
              <w:b w:val="0"/>
              <w:caps w:val="0"/>
              <w:noProof/>
              <w:color w:val="auto"/>
              <w:sz w:val="22"/>
              <w:lang w:val="en-AU" w:eastAsia="en-AU"/>
            </w:rPr>
          </w:pPr>
          <w:hyperlink w:anchor="_Toc515539470" w:history="1">
            <w:r w:rsidR="006716FA" w:rsidRPr="001F6F90">
              <w:rPr>
                <w:rStyle w:val="Hyperlink"/>
                <w:rFonts w:asciiTheme="majorHAnsi" w:hAnsiTheme="majorHAnsi"/>
                <w:noProof/>
              </w:rPr>
              <w:t>F: Annexes</w:t>
            </w:r>
            <w:r w:rsidR="006716FA">
              <w:rPr>
                <w:noProof/>
                <w:webHidden/>
              </w:rPr>
              <w:tab/>
            </w:r>
            <w:r w:rsidR="006716FA">
              <w:rPr>
                <w:noProof/>
                <w:webHidden/>
              </w:rPr>
              <w:fldChar w:fldCharType="begin"/>
            </w:r>
            <w:r w:rsidR="006716FA">
              <w:rPr>
                <w:noProof/>
                <w:webHidden/>
              </w:rPr>
              <w:instrText xml:space="preserve"> PAGEREF _Toc515539470 \h </w:instrText>
            </w:r>
            <w:r w:rsidR="006716FA">
              <w:rPr>
                <w:noProof/>
                <w:webHidden/>
              </w:rPr>
            </w:r>
            <w:r w:rsidR="006716FA">
              <w:rPr>
                <w:noProof/>
                <w:webHidden/>
              </w:rPr>
              <w:fldChar w:fldCharType="separate"/>
            </w:r>
            <w:r w:rsidR="006716FA">
              <w:rPr>
                <w:noProof/>
                <w:webHidden/>
              </w:rPr>
              <w:t>10</w:t>
            </w:r>
            <w:r w:rsidR="006716FA">
              <w:rPr>
                <w:noProof/>
                <w:webHidden/>
              </w:rPr>
              <w:fldChar w:fldCharType="end"/>
            </w:r>
          </w:hyperlink>
        </w:p>
        <w:p w14:paraId="503FDFDC" w14:textId="2E955777" w:rsidR="00957D6E" w:rsidRDefault="00591FD5">
          <w:r>
            <w:rPr>
              <w:b/>
              <w:bCs/>
              <w:noProof/>
            </w:rPr>
            <w:fldChar w:fldCharType="end"/>
          </w:r>
        </w:p>
      </w:sdtContent>
    </w:sdt>
    <w:p w14:paraId="66C06203" w14:textId="77777777" w:rsidR="00D266FA" w:rsidRDefault="00D266FA">
      <w:r>
        <w:br w:type="page"/>
      </w:r>
    </w:p>
    <w:tbl>
      <w:tblPr>
        <w:tblW w:w="1026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10269"/>
      </w:tblGrid>
      <w:tr w:rsidR="005C5824" w:rsidRPr="005C5824" w14:paraId="3D801564" w14:textId="77777777" w:rsidTr="00C55800">
        <w:trPr>
          <w:cantSplit/>
          <w:trHeight w:val="360"/>
          <w:jc w:val="center"/>
        </w:trPr>
        <w:tc>
          <w:tcPr>
            <w:tcW w:w="10269" w:type="dxa"/>
            <w:shd w:val="clear" w:color="auto" w:fill="C1E7E0" w:themeFill="accent1" w:themeFillTint="66"/>
          </w:tcPr>
          <w:p w14:paraId="416E3F52" w14:textId="3604871E" w:rsidR="00794C57" w:rsidRPr="005C5824" w:rsidRDefault="0072601F" w:rsidP="00591FD5">
            <w:pPr>
              <w:pStyle w:val="BodyText"/>
              <w:spacing w:after="120" w:line="240" w:lineRule="auto"/>
              <w:outlineLvl w:val="0"/>
              <w:rPr>
                <w:rFonts w:asciiTheme="majorHAnsi" w:hAnsiTheme="majorHAnsi"/>
                <w:b/>
                <w:sz w:val="28"/>
              </w:rPr>
            </w:pPr>
            <w:r w:rsidRPr="005C5824">
              <w:rPr>
                <w:rFonts w:asciiTheme="majorHAnsi" w:hAnsiTheme="majorHAnsi"/>
                <w:b/>
                <w:sz w:val="28"/>
              </w:rPr>
              <w:lastRenderedPageBreak/>
              <w:br w:type="page"/>
            </w:r>
            <w:bookmarkStart w:id="1" w:name="_Toc515539465"/>
            <w:r w:rsidR="00591FD5" w:rsidRPr="005C5824">
              <w:rPr>
                <w:rFonts w:asciiTheme="majorHAnsi" w:hAnsiTheme="majorHAnsi"/>
                <w:b/>
                <w:sz w:val="28"/>
              </w:rPr>
              <w:t>A</w:t>
            </w:r>
            <w:r w:rsidR="00794C57" w:rsidRPr="005C5824">
              <w:rPr>
                <w:rFonts w:asciiTheme="majorHAnsi" w:hAnsiTheme="majorHAnsi"/>
                <w:b/>
                <w:sz w:val="28"/>
              </w:rPr>
              <w:t>:</w:t>
            </w:r>
            <w:r w:rsidR="00C55800" w:rsidRPr="005C5824">
              <w:rPr>
                <w:rFonts w:asciiTheme="majorHAnsi" w:hAnsiTheme="majorHAnsi"/>
                <w:b/>
                <w:sz w:val="28"/>
              </w:rPr>
              <w:t xml:space="preserve"> </w:t>
            </w:r>
            <w:r w:rsidR="00225261" w:rsidRPr="005C5824">
              <w:rPr>
                <w:rFonts w:asciiTheme="majorHAnsi" w:hAnsiTheme="majorHAnsi"/>
                <w:b/>
                <w:sz w:val="28"/>
              </w:rPr>
              <w:t>Program Overview</w:t>
            </w:r>
            <w:bookmarkEnd w:id="1"/>
          </w:p>
        </w:tc>
      </w:tr>
    </w:tbl>
    <w:p w14:paraId="75C166AE" w14:textId="18F19FD3" w:rsidR="00885CEF" w:rsidRPr="005C5824" w:rsidRDefault="00AD2D76" w:rsidP="004901B9">
      <w:r w:rsidRPr="005C5824">
        <w:t xml:space="preserve">Scholarships have long been a key component of Australia’s development assistance to Vanuatu. </w:t>
      </w:r>
      <w:r w:rsidR="000F59F2" w:rsidRPr="005C5824">
        <w:t xml:space="preserve">Australia Awards </w:t>
      </w:r>
      <w:r w:rsidRPr="005C5824">
        <w:t>provide prestigious international scholarships and fellowships that offer the next generation of global leaders an opportunity to undertake study, research and professional development in Australia and the Pacific region. The</w:t>
      </w:r>
      <w:r w:rsidR="00D85223" w:rsidRPr="005C5824">
        <w:t>y also contribute</w:t>
      </w:r>
      <w:r w:rsidRPr="005C5824">
        <w:t xml:space="preserve"> to the </w:t>
      </w:r>
      <w:r w:rsidR="000F59F2" w:rsidRPr="005C5824">
        <w:t xml:space="preserve">Vanuatu </w:t>
      </w:r>
      <w:r w:rsidRPr="005C5824">
        <w:t>Aid Investment Plan objective of building an environment for economic opportunity.</w:t>
      </w:r>
    </w:p>
    <w:p w14:paraId="178D1ABF" w14:textId="47F73F94" w:rsidR="00885CEF" w:rsidRPr="005C5824" w:rsidRDefault="00885CEF" w:rsidP="00885CEF">
      <w:r w:rsidRPr="005C5824">
        <w:t xml:space="preserve">Australia Awards are </w:t>
      </w:r>
      <w:r w:rsidR="000F6FF5" w:rsidRPr="005C5824">
        <w:t xml:space="preserve">also </w:t>
      </w:r>
      <w:r w:rsidRPr="005C5824">
        <w:t xml:space="preserve">an important public diplomacy tool. In addition to building critical skills and knowledge that can influence development, they foster an engaged and influential network of leaders, reformers and advocates, developing a cadre of key stakeholders to promote Australian economic diplomacy objectives. One of the key aims is that Vanuatu’s leaders and decision-makers will be positively disposed to Australia following on from a positive experience in Australia while on award, or through the benefits their organisation and/or country is experiencing through the application of </w:t>
      </w:r>
      <w:r w:rsidR="000F59F2" w:rsidRPr="005C5824">
        <w:t xml:space="preserve">alumni </w:t>
      </w:r>
      <w:r w:rsidRPr="005C5824">
        <w:t xml:space="preserve">skills. Australia Awards </w:t>
      </w:r>
      <w:r w:rsidR="000F59F2" w:rsidRPr="005C5824">
        <w:t xml:space="preserve">alumni </w:t>
      </w:r>
      <w:r w:rsidRPr="005C5824">
        <w:t>open doors in-country, provide opportunities for engagement at senior levels and generate significant goodwill that can be leveraged by Heads of Mission in pursuit of Australia’s foreign policy objectives.</w:t>
      </w:r>
    </w:p>
    <w:p w14:paraId="476CA468" w14:textId="1D04AAC9" w:rsidR="000F59F2" w:rsidRPr="005C5824" w:rsidRDefault="000F59F2" w:rsidP="002B54DE">
      <w:pPr>
        <w:spacing w:after="0"/>
      </w:pPr>
      <w:r w:rsidRPr="005C5824">
        <w:t>Austr</w:t>
      </w:r>
      <w:r w:rsidR="004942B8" w:rsidRPr="005C5824">
        <w:t xml:space="preserve">alia Awards in Vanuatu </w:t>
      </w:r>
      <w:r w:rsidRPr="005C5824">
        <w:t>aligns with the Australia Awards Global Strategy</w:t>
      </w:r>
      <w:r w:rsidRPr="005C5824">
        <w:rPr>
          <w:i/>
        </w:rPr>
        <w:t>: Investing in the next generation of global leaders for development 2016-2018</w:t>
      </w:r>
      <w:r w:rsidRPr="005C5824">
        <w:t xml:space="preserve">. </w:t>
      </w:r>
      <w:r w:rsidR="006834F3" w:rsidRPr="005C5824">
        <w:t>T</w:t>
      </w:r>
      <w:r w:rsidRPr="005C5824">
        <w:t>he goal</w:t>
      </w:r>
      <w:r w:rsidR="00A91731" w:rsidRPr="005C5824">
        <w:t>s</w:t>
      </w:r>
      <w:r w:rsidRPr="005C5824">
        <w:t xml:space="preserve"> </w:t>
      </w:r>
      <w:r w:rsidR="006834F3" w:rsidRPr="005C5824">
        <w:t xml:space="preserve">of Australia Awards in Vanuatu </w:t>
      </w:r>
      <w:r w:rsidR="00A91731" w:rsidRPr="005C5824">
        <w:t xml:space="preserve">are </w:t>
      </w:r>
      <w:r w:rsidR="006834F3" w:rsidRPr="005C5824">
        <w:t xml:space="preserve">that </w:t>
      </w:r>
      <w:r w:rsidR="00277F73" w:rsidRPr="005C5824">
        <w:t xml:space="preserve">female and male </w:t>
      </w:r>
      <w:r w:rsidR="006834F3" w:rsidRPr="005C5824">
        <w:t xml:space="preserve">alumni contribute to </w:t>
      </w:r>
      <w:r w:rsidR="00277F73" w:rsidRPr="005C5824">
        <w:t xml:space="preserve">the long-term </w:t>
      </w:r>
      <w:r w:rsidRPr="005C5824">
        <w:t xml:space="preserve">development </w:t>
      </w:r>
      <w:r w:rsidR="00277F73" w:rsidRPr="005C5824">
        <w:t xml:space="preserve">needs of Vanuatu </w:t>
      </w:r>
      <w:r w:rsidRPr="005C5824">
        <w:t xml:space="preserve">and </w:t>
      </w:r>
      <w:r w:rsidR="00A91731" w:rsidRPr="005C5824">
        <w:t xml:space="preserve">strong </w:t>
      </w:r>
      <w:r w:rsidR="006834F3" w:rsidRPr="005C5824">
        <w:t xml:space="preserve">people-to-people and institutional links between </w:t>
      </w:r>
      <w:r w:rsidRPr="005C5824">
        <w:t xml:space="preserve">Australia </w:t>
      </w:r>
      <w:r w:rsidR="006834F3" w:rsidRPr="005C5824">
        <w:t xml:space="preserve">and Vanuatu </w:t>
      </w:r>
      <w:r w:rsidR="00277F73" w:rsidRPr="005C5824">
        <w:t xml:space="preserve">that </w:t>
      </w:r>
      <w:r w:rsidRPr="005C5824">
        <w:t>advance mutual interests.</w:t>
      </w:r>
      <w:r w:rsidR="006834F3" w:rsidRPr="005C5824">
        <w:t xml:space="preserve"> The long-term outcomes of the program </w:t>
      </w:r>
      <w:r w:rsidR="00A91731" w:rsidRPr="005C5824">
        <w:t>(</w:t>
      </w:r>
      <w:r w:rsidR="006834F3" w:rsidRPr="005C5824">
        <w:t xml:space="preserve">aligned with the </w:t>
      </w:r>
      <w:r w:rsidRPr="005C5824">
        <w:t>Global Strategy and Australia Awards Global Monitoring and Evaluation Framework</w:t>
      </w:r>
      <w:r w:rsidR="00CE4465" w:rsidRPr="005C5824">
        <w:t>) are that</w:t>
      </w:r>
      <w:r w:rsidRPr="005C5824">
        <w:t>:</w:t>
      </w:r>
    </w:p>
    <w:p w14:paraId="2DEBFCCE" w14:textId="78E04549" w:rsidR="000F59F2" w:rsidRPr="005C5824" w:rsidRDefault="008C16C4" w:rsidP="007A7DFE">
      <w:pPr>
        <w:pStyle w:val="ListParagraph"/>
        <w:numPr>
          <w:ilvl w:val="0"/>
          <w:numId w:val="49"/>
        </w:numPr>
        <w:ind w:left="426" w:hanging="284"/>
        <w:rPr>
          <w:rFonts w:asciiTheme="minorHAnsi" w:eastAsiaTheme="minorHAnsi" w:hAnsiTheme="minorHAnsi"/>
          <w:color w:val="495965" w:themeColor="text2"/>
        </w:rPr>
      </w:pPr>
      <w:r w:rsidRPr="005C5824">
        <w:rPr>
          <w:rFonts w:asciiTheme="minorHAnsi" w:eastAsiaTheme="minorHAnsi" w:hAnsiTheme="minorHAnsi"/>
          <w:color w:val="495965" w:themeColor="text2"/>
        </w:rPr>
        <w:t xml:space="preserve">female and male </w:t>
      </w:r>
      <w:r w:rsidR="00CE4465" w:rsidRPr="005C5824">
        <w:rPr>
          <w:rFonts w:asciiTheme="minorHAnsi" w:eastAsiaTheme="minorHAnsi" w:hAnsiTheme="minorHAnsi"/>
          <w:color w:val="495965" w:themeColor="text2"/>
        </w:rPr>
        <w:t xml:space="preserve">alumni </w:t>
      </w:r>
      <w:r w:rsidR="000F59F2" w:rsidRPr="005C5824">
        <w:rPr>
          <w:rFonts w:asciiTheme="minorHAnsi" w:eastAsiaTheme="minorHAnsi" w:hAnsiTheme="minorHAnsi"/>
          <w:color w:val="495965" w:themeColor="text2"/>
        </w:rPr>
        <w:t xml:space="preserve">are </w:t>
      </w:r>
      <w:r w:rsidRPr="005C5824">
        <w:rPr>
          <w:rFonts w:asciiTheme="minorHAnsi" w:eastAsiaTheme="minorHAnsi" w:hAnsiTheme="minorHAnsi"/>
          <w:color w:val="495965" w:themeColor="text2"/>
        </w:rPr>
        <w:t xml:space="preserve">gainfully employed (or self-employed) in their fields of expertise and applying their new knowledge and </w:t>
      </w:r>
      <w:r w:rsidR="000F59F2" w:rsidRPr="005C5824">
        <w:rPr>
          <w:rFonts w:asciiTheme="minorHAnsi" w:eastAsiaTheme="minorHAnsi" w:hAnsiTheme="minorHAnsi"/>
          <w:color w:val="495965" w:themeColor="text2"/>
        </w:rPr>
        <w:t xml:space="preserve">skills and </w:t>
      </w:r>
      <w:r w:rsidRPr="005C5824">
        <w:rPr>
          <w:rFonts w:asciiTheme="minorHAnsi" w:eastAsiaTheme="minorHAnsi" w:hAnsiTheme="minorHAnsi"/>
          <w:color w:val="495965" w:themeColor="text2"/>
        </w:rPr>
        <w:t xml:space="preserve">using their </w:t>
      </w:r>
      <w:r w:rsidR="000F59F2" w:rsidRPr="005C5824">
        <w:rPr>
          <w:rFonts w:asciiTheme="minorHAnsi" w:eastAsiaTheme="minorHAnsi" w:hAnsiTheme="minorHAnsi"/>
          <w:color w:val="495965" w:themeColor="text2"/>
        </w:rPr>
        <w:t>networks;</w:t>
      </w:r>
      <w:r w:rsidRPr="005C5824">
        <w:rPr>
          <w:rFonts w:asciiTheme="minorHAnsi" w:eastAsiaTheme="minorHAnsi" w:hAnsiTheme="minorHAnsi"/>
          <w:color w:val="495965" w:themeColor="text2"/>
        </w:rPr>
        <w:t xml:space="preserve"> and</w:t>
      </w:r>
    </w:p>
    <w:p w14:paraId="514E2834" w14:textId="7C59F2A7" w:rsidR="000F59F2" w:rsidRPr="005C5824" w:rsidRDefault="008C16C4" w:rsidP="007A7DFE">
      <w:pPr>
        <w:pStyle w:val="ListParagraph"/>
        <w:numPr>
          <w:ilvl w:val="0"/>
          <w:numId w:val="49"/>
        </w:numPr>
        <w:spacing w:after="120"/>
        <w:ind w:left="426" w:hanging="284"/>
        <w:rPr>
          <w:rFonts w:asciiTheme="minorHAnsi" w:eastAsiaTheme="minorHAnsi" w:hAnsiTheme="minorHAnsi"/>
          <w:color w:val="495965" w:themeColor="text2"/>
        </w:rPr>
      </w:pPr>
      <w:r w:rsidRPr="005C5824">
        <w:rPr>
          <w:rFonts w:asciiTheme="minorHAnsi" w:eastAsiaTheme="minorHAnsi" w:hAnsiTheme="minorHAnsi"/>
          <w:color w:val="495965" w:themeColor="text2"/>
        </w:rPr>
        <w:t xml:space="preserve">female and male </w:t>
      </w:r>
      <w:r w:rsidR="00CE4465" w:rsidRPr="005C5824">
        <w:rPr>
          <w:rFonts w:asciiTheme="minorHAnsi" w:eastAsiaTheme="minorHAnsi" w:hAnsiTheme="minorHAnsi"/>
          <w:color w:val="495965" w:themeColor="text2"/>
        </w:rPr>
        <w:t xml:space="preserve">alumni </w:t>
      </w:r>
      <w:r w:rsidRPr="005C5824">
        <w:rPr>
          <w:rFonts w:asciiTheme="minorHAnsi" w:eastAsiaTheme="minorHAnsi" w:hAnsiTheme="minorHAnsi"/>
          <w:color w:val="495965" w:themeColor="text2"/>
        </w:rPr>
        <w:t xml:space="preserve">maintain links with </w:t>
      </w:r>
      <w:r w:rsidR="000F59F2" w:rsidRPr="005C5824">
        <w:rPr>
          <w:rFonts w:asciiTheme="minorHAnsi" w:eastAsiaTheme="minorHAnsi" w:hAnsiTheme="minorHAnsi"/>
          <w:color w:val="495965" w:themeColor="text2"/>
        </w:rPr>
        <w:t xml:space="preserve">Australia </w:t>
      </w:r>
      <w:r w:rsidRPr="005C5824">
        <w:rPr>
          <w:rFonts w:asciiTheme="minorHAnsi" w:eastAsiaTheme="minorHAnsi" w:hAnsiTheme="minorHAnsi"/>
          <w:color w:val="495965" w:themeColor="text2"/>
        </w:rPr>
        <w:t>(</w:t>
      </w:r>
      <w:r w:rsidR="000F59F2" w:rsidRPr="005C5824">
        <w:rPr>
          <w:rFonts w:asciiTheme="minorHAnsi" w:eastAsiaTheme="minorHAnsi" w:hAnsiTheme="minorHAnsi"/>
          <w:color w:val="495965" w:themeColor="text2"/>
        </w:rPr>
        <w:t xml:space="preserve">and </w:t>
      </w:r>
      <w:r w:rsidRPr="005C5824">
        <w:rPr>
          <w:rFonts w:asciiTheme="minorHAnsi" w:eastAsiaTheme="minorHAnsi" w:hAnsiTheme="minorHAnsi"/>
          <w:color w:val="495965" w:themeColor="text2"/>
        </w:rPr>
        <w:t>hold positive views of Australia, Australians and Australian expertise).</w:t>
      </w:r>
    </w:p>
    <w:p w14:paraId="603A1E60" w14:textId="39CB4D7A" w:rsidR="002361AB" w:rsidRPr="005C5824" w:rsidRDefault="000F6FF5" w:rsidP="00F235EA">
      <w:pPr>
        <w:spacing w:after="120" w:line="240" w:lineRule="auto"/>
      </w:pPr>
      <w:r w:rsidRPr="005C5824">
        <w:t>The program is guided by a number of policies and handbooks,</w:t>
      </w:r>
      <w:r w:rsidRPr="005C5824">
        <w:rPr>
          <w:vertAlign w:val="superscript"/>
        </w:rPr>
        <w:footnoteReference w:id="1"/>
      </w:r>
      <w:r w:rsidRPr="005C5824">
        <w:t xml:space="preserve"> and </w:t>
      </w:r>
      <w:r w:rsidR="00AD2D76" w:rsidRPr="005C5824">
        <w:t>encompasses Australia Awards Scholarships (AAS), Australia Awards Pacific Scholarships (AAPS)</w:t>
      </w:r>
      <w:r w:rsidR="00A91731" w:rsidRPr="005C5824">
        <w:t xml:space="preserve"> </w:t>
      </w:r>
      <w:r w:rsidR="00214DB5" w:rsidRPr="005C5824">
        <w:t>and</w:t>
      </w:r>
      <w:r w:rsidR="00AD2D76" w:rsidRPr="005C5824">
        <w:t xml:space="preserve"> Australia Awards Fellowships</w:t>
      </w:r>
      <w:r w:rsidR="00214DB5" w:rsidRPr="005C5824">
        <w:t>.</w:t>
      </w:r>
      <w:r w:rsidR="00AD2D76" w:rsidRPr="005C5824">
        <w:t xml:space="preserve"> </w:t>
      </w:r>
      <w:r w:rsidR="002361AB" w:rsidRPr="005C5824">
        <w:t>At this stage, short courses are not offered in Vanuatu due to resourcing constraints. Given the potential to increase access for women, short courses will be considered in future phases of the program.</w:t>
      </w:r>
      <w:r w:rsidR="0030217D" w:rsidRPr="005C5824">
        <w:rPr>
          <w:rStyle w:val="FootnoteReference"/>
        </w:rPr>
        <w:footnoteReference w:id="2"/>
      </w:r>
    </w:p>
    <w:p w14:paraId="71476095" w14:textId="23E17700" w:rsidR="00633F54" w:rsidRPr="005C5824" w:rsidRDefault="002361AB" w:rsidP="00F235EA">
      <w:pPr>
        <w:spacing w:after="120" w:line="240" w:lineRule="auto"/>
      </w:pPr>
      <w:r w:rsidRPr="005C5824">
        <w:t>Australia Awards are complemented by the New Colombo Plan (NCP), which aims to increase knowledge of the Indo-Pacific in Australia by supporting Australian undergraduates to study and undertake internships in the region.</w:t>
      </w:r>
      <w:r w:rsidRPr="005C5824">
        <w:rPr>
          <w:rStyle w:val="FootnoteReference"/>
        </w:rPr>
        <w:footnoteReference w:id="3"/>
      </w:r>
      <w:r w:rsidRPr="005C5824">
        <w:t xml:space="preserve"> </w:t>
      </w:r>
      <w:r w:rsidR="006E7C7A" w:rsidRPr="005C5824">
        <w:t>Together, the</w:t>
      </w:r>
      <w:r w:rsidR="00A91731" w:rsidRPr="005C5824">
        <w:t xml:space="preserve"> Australia Awards and NCP</w:t>
      </w:r>
      <w:r w:rsidR="006E7C7A" w:rsidRPr="005C5824">
        <w:t xml:space="preserve"> create a genuine two-way flow of educational exchange in our region.</w:t>
      </w:r>
      <w:r w:rsidR="00C76BE5" w:rsidRPr="005C5824">
        <w:t xml:space="preserve"> While the NCP objectives align with Australia Awards objectives, the NCP is not a part of this design.</w:t>
      </w:r>
    </w:p>
    <w:p w14:paraId="0B581273" w14:textId="523EDB88" w:rsidR="00815D03" w:rsidRPr="005C5824" w:rsidRDefault="00C76BE5" w:rsidP="00F235EA">
      <w:pPr>
        <w:spacing w:after="120" w:line="240" w:lineRule="auto"/>
      </w:pPr>
      <w:r w:rsidRPr="005C5824">
        <w:t>T</w:t>
      </w:r>
      <w:r w:rsidR="00195E5F" w:rsidRPr="005C5824">
        <w:t xml:space="preserve">his design focuses predominantly on AAS and AAPS, </w:t>
      </w:r>
      <w:r w:rsidR="00A91731" w:rsidRPr="005C5824">
        <w:t xml:space="preserve">with </w:t>
      </w:r>
      <w:r w:rsidR="00195E5F" w:rsidRPr="005C5824">
        <w:t xml:space="preserve">Fellowships </w:t>
      </w:r>
      <w:r w:rsidRPr="005C5824">
        <w:t>(</w:t>
      </w:r>
      <w:r w:rsidR="00195E5F" w:rsidRPr="005C5824">
        <w:t>and NCP</w:t>
      </w:r>
      <w:r w:rsidRPr="005C5824">
        <w:t>)</w:t>
      </w:r>
      <w:r w:rsidR="00195E5F" w:rsidRPr="005C5824">
        <w:t xml:space="preserve"> </w:t>
      </w:r>
      <w:r w:rsidR="00EC0AF2" w:rsidRPr="005C5824">
        <w:t xml:space="preserve">led </w:t>
      </w:r>
      <w:r w:rsidR="00195E5F" w:rsidRPr="005C5824">
        <w:t xml:space="preserve">by </w:t>
      </w:r>
      <w:r w:rsidR="005C5824">
        <w:t xml:space="preserve">Scholarships and Alumni </w:t>
      </w:r>
      <w:r w:rsidR="00195E5F" w:rsidRPr="005C5824">
        <w:t>Branch</w:t>
      </w:r>
      <w:r w:rsidR="00A91731" w:rsidRPr="005C5824">
        <w:t xml:space="preserve"> (</w:t>
      </w:r>
      <w:r w:rsidR="005C5824">
        <w:t>SC</w:t>
      </w:r>
      <w:r w:rsidR="00A91731" w:rsidRPr="005C5824">
        <w:t>B)</w:t>
      </w:r>
      <w:r w:rsidR="00195E5F" w:rsidRPr="005C5824">
        <w:t>.</w:t>
      </w:r>
      <w:r w:rsidR="001876A9" w:rsidRPr="005C5824">
        <w:t xml:space="preserve"> Key activities of the program include selection and mobilisation of high calibre </w:t>
      </w:r>
      <w:r w:rsidR="00214DB5" w:rsidRPr="005C5824">
        <w:t xml:space="preserve">awardees </w:t>
      </w:r>
      <w:r w:rsidR="001876A9" w:rsidRPr="005C5824">
        <w:t>and alumni engagement to support ongoing professional development and career progression.</w:t>
      </w:r>
    </w:p>
    <w:p w14:paraId="4375D20D" w14:textId="77777777" w:rsidR="001876A9" w:rsidRPr="005C5824" w:rsidRDefault="001876A9" w:rsidP="002B54DE">
      <w:pPr>
        <w:spacing w:after="0" w:line="240" w:lineRule="auto"/>
      </w:pPr>
      <w:r w:rsidRPr="005C5824">
        <w:t>Five principles apply to Australia Awards investment approach decisions:</w:t>
      </w:r>
    </w:p>
    <w:p w14:paraId="1A08107F" w14:textId="77777777" w:rsidR="001876A9" w:rsidRPr="005C5824" w:rsidRDefault="001C2BED" w:rsidP="007A7DFE">
      <w:pPr>
        <w:pStyle w:val="ListParagraph"/>
        <w:numPr>
          <w:ilvl w:val="0"/>
          <w:numId w:val="48"/>
        </w:numPr>
        <w:ind w:left="426" w:hanging="284"/>
        <w:rPr>
          <w:rFonts w:asciiTheme="minorHAnsi" w:hAnsiTheme="minorHAnsi"/>
          <w:color w:val="495965" w:themeColor="text2"/>
        </w:rPr>
      </w:pPr>
      <w:r w:rsidRPr="005C5824">
        <w:rPr>
          <w:rFonts w:asciiTheme="minorHAnsi" w:hAnsiTheme="minorHAnsi"/>
          <w:color w:val="495965" w:themeColor="text2"/>
        </w:rPr>
        <w:t>a</w:t>
      </w:r>
      <w:r w:rsidR="001876A9" w:rsidRPr="005C5824">
        <w:rPr>
          <w:rFonts w:asciiTheme="minorHAnsi" w:hAnsiTheme="minorHAnsi"/>
          <w:color w:val="495965" w:themeColor="text2"/>
        </w:rPr>
        <w:t>lignment with Australia’s development, economic and public diplomacy priorities</w:t>
      </w:r>
      <w:r w:rsidRPr="005C5824">
        <w:rPr>
          <w:rFonts w:asciiTheme="minorHAnsi" w:hAnsiTheme="minorHAnsi"/>
          <w:color w:val="495965" w:themeColor="text2"/>
        </w:rPr>
        <w:t>;</w:t>
      </w:r>
    </w:p>
    <w:p w14:paraId="426D8E76" w14:textId="77777777" w:rsidR="001876A9" w:rsidRPr="005C5824" w:rsidRDefault="001C2BED" w:rsidP="007A7DFE">
      <w:pPr>
        <w:pStyle w:val="ListParagraph"/>
        <w:numPr>
          <w:ilvl w:val="0"/>
          <w:numId w:val="48"/>
        </w:numPr>
        <w:ind w:left="426" w:hanging="284"/>
        <w:rPr>
          <w:rFonts w:asciiTheme="minorHAnsi" w:hAnsiTheme="minorHAnsi"/>
          <w:color w:val="495965" w:themeColor="text2"/>
        </w:rPr>
      </w:pPr>
      <w:r w:rsidRPr="005C5824">
        <w:rPr>
          <w:rFonts w:asciiTheme="minorHAnsi" w:hAnsiTheme="minorHAnsi"/>
          <w:color w:val="495965" w:themeColor="text2"/>
        </w:rPr>
        <w:t>e</w:t>
      </w:r>
      <w:r w:rsidR="001876A9" w:rsidRPr="005C5824">
        <w:rPr>
          <w:rFonts w:asciiTheme="minorHAnsi" w:hAnsiTheme="minorHAnsi"/>
          <w:color w:val="495965" w:themeColor="text2"/>
        </w:rPr>
        <w:t>quity of access</w:t>
      </w:r>
      <w:r w:rsidRPr="005C5824">
        <w:rPr>
          <w:rFonts w:asciiTheme="minorHAnsi" w:hAnsiTheme="minorHAnsi"/>
          <w:color w:val="495965" w:themeColor="text2"/>
        </w:rPr>
        <w:t>;</w:t>
      </w:r>
    </w:p>
    <w:p w14:paraId="7FFF12CA" w14:textId="77777777" w:rsidR="001876A9" w:rsidRPr="005C5824" w:rsidRDefault="001C2BED" w:rsidP="007A7DFE">
      <w:pPr>
        <w:pStyle w:val="ListParagraph"/>
        <w:numPr>
          <w:ilvl w:val="0"/>
          <w:numId w:val="48"/>
        </w:numPr>
        <w:ind w:left="426" w:hanging="284"/>
        <w:rPr>
          <w:rFonts w:asciiTheme="minorHAnsi" w:hAnsiTheme="minorHAnsi"/>
          <w:color w:val="495965" w:themeColor="text2"/>
        </w:rPr>
      </w:pPr>
      <w:r w:rsidRPr="005C5824">
        <w:rPr>
          <w:rFonts w:asciiTheme="minorHAnsi" w:hAnsiTheme="minorHAnsi"/>
          <w:color w:val="495965" w:themeColor="text2"/>
        </w:rPr>
        <w:t>m</w:t>
      </w:r>
      <w:r w:rsidR="001876A9" w:rsidRPr="005C5824">
        <w:rPr>
          <w:rFonts w:asciiTheme="minorHAnsi" w:hAnsiTheme="minorHAnsi"/>
          <w:color w:val="495965" w:themeColor="text2"/>
        </w:rPr>
        <w:t>erit-based selection</w:t>
      </w:r>
      <w:r w:rsidRPr="005C5824">
        <w:rPr>
          <w:rFonts w:asciiTheme="minorHAnsi" w:hAnsiTheme="minorHAnsi"/>
          <w:color w:val="495965" w:themeColor="text2"/>
        </w:rPr>
        <w:t>;</w:t>
      </w:r>
    </w:p>
    <w:p w14:paraId="7780CBFC" w14:textId="77777777" w:rsidR="001876A9" w:rsidRPr="005C5824" w:rsidRDefault="001C2BED" w:rsidP="007A7DFE">
      <w:pPr>
        <w:pStyle w:val="ListParagraph"/>
        <w:numPr>
          <w:ilvl w:val="0"/>
          <w:numId w:val="48"/>
        </w:numPr>
        <w:ind w:left="426" w:hanging="284"/>
        <w:rPr>
          <w:rFonts w:asciiTheme="minorHAnsi" w:hAnsiTheme="minorHAnsi"/>
          <w:color w:val="495965" w:themeColor="text2"/>
        </w:rPr>
      </w:pPr>
      <w:r w:rsidRPr="005C5824">
        <w:rPr>
          <w:rFonts w:asciiTheme="minorHAnsi" w:hAnsiTheme="minorHAnsi"/>
          <w:color w:val="495965" w:themeColor="text2"/>
        </w:rPr>
        <w:t>v</w:t>
      </w:r>
      <w:r w:rsidR="001876A9" w:rsidRPr="005C5824">
        <w:rPr>
          <w:rFonts w:asciiTheme="minorHAnsi" w:hAnsiTheme="minorHAnsi"/>
          <w:color w:val="495965" w:themeColor="text2"/>
        </w:rPr>
        <w:t>alue for money and evidence-based decision making; and</w:t>
      </w:r>
    </w:p>
    <w:p w14:paraId="231E8573" w14:textId="77777777" w:rsidR="001876A9" w:rsidRPr="005C5824" w:rsidRDefault="001C2BED" w:rsidP="007A7DFE">
      <w:pPr>
        <w:pStyle w:val="ListParagraph"/>
        <w:numPr>
          <w:ilvl w:val="0"/>
          <w:numId w:val="48"/>
        </w:numPr>
        <w:spacing w:after="120"/>
        <w:ind w:left="426" w:hanging="284"/>
        <w:rPr>
          <w:rFonts w:asciiTheme="minorHAnsi" w:hAnsiTheme="minorHAnsi"/>
          <w:color w:val="495965" w:themeColor="text2"/>
        </w:rPr>
      </w:pPr>
      <w:r w:rsidRPr="005C5824">
        <w:rPr>
          <w:rFonts w:asciiTheme="minorHAnsi" w:hAnsiTheme="minorHAnsi"/>
          <w:color w:val="495965" w:themeColor="text2"/>
        </w:rPr>
        <w:t>promotion of</w:t>
      </w:r>
      <w:r w:rsidR="001876A9" w:rsidRPr="005C5824">
        <w:rPr>
          <w:rFonts w:asciiTheme="minorHAnsi" w:hAnsiTheme="minorHAnsi"/>
          <w:color w:val="495965" w:themeColor="text2"/>
        </w:rPr>
        <w:t xml:space="preserve"> Australia Awards</w:t>
      </w:r>
      <w:r w:rsidRPr="005C5824">
        <w:rPr>
          <w:rFonts w:asciiTheme="minorHAnsi" w:hAnsiTheme="minorHAnsi"/>
          <w:color w:val="495965" w:themeColor="text2"/>
        </w:rPr>
        <w:t xml:space="preserve"> to ensure visibility and recognition of the Australian Government’s investment.</w:t>
      </w:r>
    </w:p>
    <w:p w14:paraId="77705371" w14:textId="77777777" w:rsidR="007A4C3B" w:rsidRPr="005C5824" w:rsidRDefault="00DB154C" w:rsidP="00F235EA">
      <w:pPr>
        <w:spacing w:after="120" w:line="240" w:lineRule="auto"/>
      </w:pPr>
      <w:r w:rsidRPr="005C5824">
        <w:t xml:space="preserve">The program </w:t>
      </w:r>
      <w:r w:rsidR="0061659A" w:rsidRPr="005C5824">
        <w:t>was</w:t>
      </w:r>
      <w:r w:rsidRPr="005C5824">
        <w:t xml:space="preserve"> managed in-house </w:t>
      </w:r>
      <w:r w:rsidR="002E3A5C" w:rsidRPr="005C5824">
        <w:t xml:space="preserve">by DFAT </w:t>
      </w:r>
      <w:r w:rsidRPr="005C5824">
        <w:t xml:space="preserve">for many years. </w:t>
      </w:r>
      <w:r w:rsidR="002E3A5C" w:rsidRPr="005C5824">
        <w:t>The</w:t>
      </w:r>
      <w:r w:rsidR="00CE4465" w:rsidRPr="005C5824">
        <w:t xml:space="preserve"> administrative functions of the</w:t>
      </w:r>
      <w:r w:rsidR="002E3A5C" w:rsidRPr="005C5824">
        <w:t xml:space="preserve"> program </w:t>
      </w:r>
      <w:r w:rsidR="0061659A" w:rsidRPr="005C5824">
        <w:t xml:space="preserve">was </w:t>
      </w:r>
      <w:r w:rsidR="00D23B1E" w:rsidRPr="005C5824">
        <w:t>outsourced for a trial 1</w:t>
      </w:r>
      <w:r w:rsidR="00676EAA" w:rsidRPr="005C5824">
        <w:t>8</w:t>
      </w:r>
      <w:r w:rsidR="00D23B1E" w:rsidRPr="005C5824">
        <w:t> </w:t>
      </w:r>
      <w:r w:rsidR="002E3A5C" w:rsidRPr="005C5824">
        <w:t xml:space="preserve">month period to determine whether </w:t>
      </w:r>
      <w:r w:rsidR="00815D03" w:rsidRPr="005C5824">
        <w:t xml:space="preserve">Australia Awards </w:t>
      </w:r>
      <w:r w:rsidR="002E3A5C" w:rsidRPr="005C5824">
        <w:t xml:space="preserve">should be consolidated </w:t>
      </w:r>
      <w:r w:rsidR="00C55800" w:rsidRPr="005C5824">
        <w:t xml:space="preserve">and outsourced </w:t>
      </w:r>
      <w:r w:rsidR="002E3A5C" w:rsidRPr="005C5824">
        <w:t xml:space="preserve">with the basic education program (Vanuatu Education Support Program) for a longer period. </w:t>
      </w:r>
      <w:r w:rsidR="00F7515C" w:rsidRPr="005C5824">
        <w:t xml:space="preserve">The pilot </w:t>
      </w:r>
      <w:r w:rsidR="00F7515C" w:rsidRPr="005C5824">
        <w:lastRenderedPageBreak/>
        <w:t xml:space="preserve">outsourcing of the administrative functions has been </w:t>
      </w:r>
      <w:r w:rsidR="00C72E91" w:rsidRPr="005C5824">
        <w:t xml:space="preserve">deemed </w:t>
      </w:r>
      <w:r w:rsidR="00F7515C" w:rsidRPr="005C5824">
        <w:t xml:space="preserve">successful </w:t>
      </w:r>
      <w:r w:rsidR="00C72E91" w:rsidRPr="005C5824">
        <w:t xml:space="preserve">and the continued </w:t>
      </w:r>
      <w:r w:rsidR="007C2621" w:rsidRPr="005C5824">
        <w:t xml:space="preserve">management of administrative functions </w:t>
      </w:r>
      <w:r w:rsidR="00C72E91" w:rsidRPr="005C5824">
        <w:t>will therefore</w:t>
      </w:r>
      <w:r w:rsidR="007C2621" w:rsidRPr="005C5824">
        <w:t xml:space="preserve"> be included under the VESP Phase II contract. </w:t>
      </w:r>
    </w:p>
    <w:p w14:paraId="64F24CD7" w14:textId="6F9707D2" w:rsidR="00037653" w:rsidRPr="005C5824" w:rsidRDefault="007A4C3B" w:rsidP="00F235EA">
      <w:pPr>
        <w:spacing w:after="120" w:line="240" w:lineRule="auto"/>
      </w:pPr>
      <w:r w:rsidRPr="005C5824">
        <w:t>T</w:t>
      </w:r>
      <w:r w:rsidR="00C63D15" w:rsidRPr="005C5824">
        <w:t xml:space="preserve">he Australian Government has provided </w:t>
      </w:r>
      <w:r w:rsidR="00CE4465" w:rsidRPr="005C5824">
        <w:t>scholarships (Australia Aw</w:t>
      </w:r>
      <w:r w:rsidR="00C63D15" w:rsidRPr="005C5824">
        <w:t xml:space="preserve">ards and preceding programs) </w:t>
      </w:r>
      <w:r w:rsidR="00876F8E" w:rsidRPr="005C5824">
        <w:t>since the 1990s and</w:t>
      </w:r>
      <w:r w:rsidR="00C63D15" w:rsidRPr="005C5824">
        <w:t xml:space="preserve"> </w:t>
      </w:r>
      <w:r w:rsidR="00461BAB" w:rsidRPr="005C5824">
        <w:t xml:space="preserve">will continue </w:t>
      </w:r>
      <w:r w:rsidR="00C63D15" w:rsidRPr="005C5824">
        <w:t xml:space="preserve">to do so </w:t>
      </w:r>
      <w:r w:rsidR="00461BAB" w:rsidRPr="005C5824">
        <w:t xml:space="preserve">for many years </w:t>
      </w:r>
      <w:r w:rsidR="00876F8E" w:rsidRPr="005C5824">
        <w:t xml:space="preserve">to come. Monitoring and evaluation activities </w:t>
      </w:r>
      <w:r w:rsidR="00461BAB" w:rsidRPr="005C5824">
        <w:t xml:space="preserve">will need to </w:t>
      </w:r>
      <w:r w:rsidR="00876F8E" w:rsidRPr="005C5824">
        <w:t>be suitable for the long-standing nature of this investment</w:t>
      </w:r>
      <w:r w:rsidR="00AC395F" w:rsidRPr="005C5824">
        <w:t xml:space="preserve"> </w:t>
      </w:r>
      <w:r w:rsidRPr="005C5824">
        <w:t xml:space="preserve">and include </w:t>
      </w:r>
      <w:r w:rsidR="00AC395F" w:rsidRPr="005C5824">
        <w:t>indicative results to be achieved over a longer timeframe</w:t>
      </w:r>
      <w:r w:rsidR="00876F8E" w:rsidRPr="005C5824">
        <w:t>.</w:t>
      </w:r>
    </w:p>
    <w:p w14:paraId="052D7A8B" w14:textId="0E6FF563" w:rsidR="00195E5F" w:rsidRPr="005C5824" w:rsidRDefault="003D63B3">
      <w:r w:rsidRPr="005C5824">
        <w:t xml:space="preserve">The program </w:t>
      </w:r>
      <w:r w:rsidR="00C55800" w:rsidRPr="005C5824">
        <w:t>value</w:t>
      </w:r>
      <w:r w:rsidRPr="005C5824">
        <w:t xml:space="preserve"> </w:t>
      </w:r>
      <w:r w:rsidR="00C55800" w:rsidRPr="005C5824">
        <w:t xml:space="preserve">is </w:t>
      </w:r>
      <w:r w:rsidRPr="005C5824">
        <w:t xml:space="preserve">approximately </w:t>
      </w:r>
      <w:r w:rsidR="007A4C3B" w:rsidRPr="005C5824">
        <w:t xml:space="preserve">AUD$6m (or </w:t>
      </w:r>
      <w:r w:rsidRPr="005C5824">
        <w:t>A</w:t>
      </w:r>
      <w:r w:rsidR="007A4C3B" w:rsidRPr="005C5824">
        <w:t>US</w:t>
      </w:r>
      <w:r w:rsidRPr="005C5824">
        <w:t>$2 million per annum</w:t>
      </w:r>
      <w:r w:rsidR="007A4C3B" w:rsidRPr="005C5824">
        <w:t>)</w:t>
      </w:r>
      <w:r w:rsidRPr="005C5824">
        <w:t xml:space="preserve">, which is almost </w:t>
      </w:r>
      <w:r w:rsidR="00676EAA" w:rsidRPr="005C5824">
        <w:t>five</w:t>
      </w:r>
      <w:r w:rsidRPr="005C5824">
        <w:t> per cent of the bilateral aid program. Priority fields of study complement the bila</w:t>
      </w:r>
      <w:r w:rsidR="00280A36" w:rsidRPr="005C5824">
        <w:t xml:space="preserve">teral and regional aid program, which provides opportunities for </w:t>
      </w:r>
      <w:r w:rsidR="000F6FF5" w:rsidRPr="005C5824">
        <w:t xml:space="preserve">Australian High Commission staff </w:t>
      </w:r>
      <w:r w:rsidR="00280A36" w:rsidRPr="005C5824">
        <w:t>to provide input into the targeting and selection process, as well as opportunities to build people-to-people links with a range of stakeholders (including candidates, alumni, program staff, Vanuatu Government stakeholders, civil society and the private sector).</w:t>
      </w:r>
    </w:p>
    <w:p w14:paraId="7825826C" w14:textId="77777777" w:rsidR="00406FFF" w:rsidRPr="005C5824" w:rsidRDefault="00406FFF" w:rsidP="00406FFF">
      <w:pPr>
        <w:spacing w:before="0" w:after="0" w:line="240" w:lineRule="auto"/>
      </w:pPr>
    </w:p>
    <w:tbl>
      <w:tblPr>
        <w:tblW w:w="103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10316"/>
      </w:tblGrid>
      <w:tr w:rsidR="005C5824" w:rsidRPr="005C5824" w14:paraId="1C2240C2" w14:textId="77777777" w:rsidTr="00C55800">
        <w:trPr>
          <w:trHeight w:val="360"/>
          <w:tblHeader/>
          <w:jc w:val="center"/>
        </w:trPr>
        <w:tc>
          <w:tcPr>
            <w:tcW w:w="10316" w:type="dxa"/>
            <w:shd w:val="clear" w:color="auto" w:fill="C1E7E0" w:themeFill="accent1" w:themeFillTint="66"/>
          </w:tcPr>
          <w:p w14:paraId="3CC2E6EF" w14:textId="77777777" w:rsidR="00794C57" w:rsidRPr="005C5824" w:rsidRDefault="00591FD5" w:rsidP="00591FD5">
            <w:pPr>
              <w:pStyle w:val="BodyText"/>
              <w:spacing w:after="120" w:line="240" w:lineRule="auto"/>
              <w:outlineLvl w:val="0"/>
              <w:rPr>
                <w:rFonts w:asciiTheme="majorHAnsi" w:hAnsiTheme="majorHAnsi"/>
                <w:b/>
                <w:sz w:val="28"/>
              </w:rPr>
            </w:pPr>
            <w:bookmarkStart w:id="2" w:name="_Toc515539466"/>
            <w:r w:rsidRPr="005C5824">
              <w:rPr>
                <w:rFonts w:asciiTheme="majorHAnsi" w:hAnsiTheme="majorHAnsi"/>
                <w:b/>
                <w:sz w:val="28"/>
              </w:rPr>
              <w:t>B</w:t>
            </w:r>
            <w:r w:rsidR="00C55800" w:rsidRPr="005C5824">
              <w:rPr>
                <w:rFonts w:asciiTheme="majorHAnsi" w:hAnsiTheme="majorHAnsi"/>
                <w:b/>
                <w:sz w:val="28"/>
              </w:rPr>
              <w:t xml:space="preserve">: </w:t>
            </w:r>
            <w:r w:rsidR="00794C57" w:rsidRPr="005C5824">
              <w:rPr>
                <w:rFonts w:asciiTheme="majorHAnsi" w:hAnsiTheme="majorHAnsi"/>
                <w:b/>
                <w:sz w:val="28"/>
              </w:rPr>
              <w:t>Context</w:t>
            </w:r>
            <w:bookmarkEnd w:id="2"/>
          </w:p>
        </w:tc>
      </w:tr>
    </w:tbl>
    <w:p w14:paraId="691B1576" w14:textId="77777777" w:rsidR="00FC145E" w:rsidRPr="005C5824" w:rsidRDefault="00FC145E" w:rsidP="00FC145E">
      <w:pPr>
        <w:pStyle w:val="ListBullet"/>
        <w:numPr>
          <w:ilvl w:val="0"/>
          <w:numId w:val="0"/>
        </w:numPr>
        <w:tabs>
          <w:tab w:val="clear" w:pos="284"/>
          <w:tab w:val="left" w:pos="0"/>
        </w:tabs>
        <w:spacing w:before="120" w:line="240" w:lineRule="auto"/>
        <w:ind w:right="141"/>
        <w:rPr>
          <w:rFonts w:asciiTheme="minorHAnsi" w:eastAsiaTheme="minorHAnsi" w:hAnsiTheme="minorHAnsi" w:cstheme="minorBidi"/>
          <w:sz w:val="22"/>
          <w:szCs w:val="22"/>
          <w:lang w:val="en-GB" w:eastAsia="en-US"/>
        </w:rPr>
      </w:pPr>
      <w:r w:rsidRPr="005C5824">
        <w:rPr>
          <w:rFonts w:asciiTheme="minorHAnsi" w:hAnsiTheme="minorHAnsi"/>
          <w:sz w:val="22"/>
          <w:szCs w:val="22"/>
          <w:lang w:eastAsia="en-US"/>
        </w:rPr>
        <w:t xml:space="preserve">Formal employment opportunities in Vanuatu are limited. </w:t>
      </w:r>
      <w:r w:rsidRPr="005C5824">
        <w:rPr>
          <w:rFonts w:asciiTheme="minorHAnsi" w:eastAsiaTheme="minorHAnsi" w:hAnsiTheme="minorHAnsi" w:cstheme="minorBidi"/>
          <w:sz w:val="22"/>
          <w:szCs w:val="22"/>
          <w:lang w:val="en-GB" w:eastAsia="en-US"/>
        </w:rPr>
        <w:t>The number of school and university leavers entering the job market far outstrips the average number of jobs created in the formal economy.</w:t>
      </w:r>
    </w:p>
    <w:p w14:paraId="4F13388B" w14:textId="2B116B19" w:rsidR="00FC145E" w:rsidRPr="005C5824" w:rsidRDefault="00FC145E" w:rsidP="00406FFF">
      <w:pPr>
        <w:pStyle w:val="ListBullet"/>
        <w:numPr>
          <w:ilvl w:val="0"/>
          <w:numId w:val="0"/>
        </w:numPr>
        <w:tabs>
          <w:tab w:val="clear" w:pos="284"/>
          <w:tab w:val="left" w:pos="0"/>
        </w:tabs>
        <w:spacing w:before="120" w:line="240" w:lineRule="auto"/>
        <w:ind w:right="142"/>
        <w:rPr>
          <w:rFonts w:asciiTheme="minorHAnsi" w:hAnsiTheme="minorHAnsi"/>
          <w:sz w:val="22"/>
          <w:szCs w:val="22"/>
          <w:lang w:eastAsia="en-US"/>
        </w:rPr>
      </w:pPr>
      <w:r w:rsidRPr="005C5824">
        <w:rPr>
          <w:rFonts w:asciiTheme="minorHAnsi" w:hAnsiTheme="minorHAnsi"/>
          <w:sz w:val="22"/>
          <w:szCs w:val="22"/>
          <w:lang w:eastAsia="en-US"/>
        </w:rPr>
        <w:t xml:space="preserve">The public sector faces severe capacity constraints (including weak leadership, poor human resource and financial management and substandard facilities) and a lack of appropriate incentives and disincentives to improve motivation and work ethic. There are some employment opportunities in the private sector, predominantly in hospitality and tourism, financial services and </w:t>
      </w:r>
      <w:r w:rsidR="00CE045C" w:rsidRPr="005C5824">
        <w:rPr>
          <w:rFonts w:asciiTheme="minorHAnsi" w:hAnsiTheme="minorHAnsi"/>
          <w:sz w:val="22"/>
          <w:szCs w:val="22"/>
          <w:lang w:eastAsia="en-US"/>
        </w:rPr>
        <w:t>infrastructure.</w:t>
      </w:r>
      <w:r w:rsidR="00CE045C" w:rsidRPr="005C5824">
        <w:rPr>
          <w:rStyle w:val="FootnoteReference"/>
          <w:rFonts w:asciiTheme="minorHAnsi" w:hAnsiTheme="minorHAnsi"/>
          <w:sz w:val="22"/>
          <w:szCs w:val="22"/>
          <w:lang w:eastAsia="en-US"/>
        </w:rPr>
        <w:footnoteReference w:id="4"/>
      </w:r>
      <w:r w:rsidRPr="005C5824">
        <w:rPr>
          <w:rFonts w:asciiTheme="minorHAnsi" w:hAnsiTheme="minorHAnsi"/>
          <w:sz w:val="22"/>
          <w:szCs w:val="22"/>
          <w:lang w:eastAsia="en-US"/>
        </w:rPr>
        <w:t xml:space="preserve"> For those with formal employment, family and community pressures can be immense and can disrupt an individual’s ability to perform their job effectively.</w:t>
      </w:r>
    </w:p>
    <w:p w14:paraId="6AC48ECE" w14:textId="1FAE5875" w:rsidR="00FA4116" w:rsidRPr="005C5824" w:rsidRDefault="00FC145E" w:rsidP="00406FFF">
      <w:pPr>
        <w:shd w:val="clear" w:color="auto" w:fill="FFFFFF"/>
        <w:suppressAutoHyphens w:val="0"/>
        <w:spacing w:after="120" w:line="240" w:lineRule="auto"/>
      </w:pPr>
      <w:r w:rsidRPr="005C5824">
        <w:t>T</w:t>
      </w:r>
      <w:r w:rsidR="00515902" w:rsidRPr="005C5824">
        <w:t>argeting skills gaps</w:t>
      </w:r>
      <w:r w:rsidR="00225261" w:rsidRPr="005C5824">
        <w:t xml:space="preserve"> in Vanuatu</w:t>
      </w:r>
      <w:r w:rsidR="00515902" w:rsidRPr="005C5824">
        <w:t xml:space="preserve"> is difficult. There is a significant lack of capacity and adequately qualified professionals in all sectors, public and private. While p</w:t>
      </w:r>
      <w:r w:rsidR="00DF1389" w:rsidRPr="005C5824">
        <w:t xml:space="preserve">riority fields </w:t>
      </w:r>
      <w:r w:rsidR="00515902" w:rsidRPr="005C5824">
        <w:t xml:space="preserve">of study </w:t>
      </w:r>
      <w:r w:rsidR="00461BAB" w:rsidRPr="005C5824">
        <w:t xml:space="preserve">for the program </w:t>
      </w:r>
      <w:r w:rsidR="00030F60" w:rsidRPr="005C5824">
        <w:t xml:space="preserve">complement </w:t>
      </w:r>
      <w:r w:rsidR="00DF1389" w:rsidRPr="005C5824">
        <w:t>the Vanuatu National Sustainable Development Plan</w:t>
      </w:r>
      <w:r w:rsidR="009B7FDF" w:rsidRPr="005C5824">
        <w:t>’s</w:t>
      </w:r>
      <w:r w:rsidR="00DF1389" w:rsidRPr="005C5824">
        <w:t xml:space="preserve"> goals and policy objectives</w:t>
      </w:r>
      <w:r w:rsidR="00515902" w:rsidRPr="005C5824">
        <w:t>:</w:t>
      </w:r>
      <w:r w:rsidR="00DF1389" w:rsidRPr="005C5824">
        <w:t xml:space="preserve"> </w:t>
      </w:r>
      <w:r w:rsidR="00DF1389" w:rsidRPr="005C5824">
        <w:rPr>
          <w:i/>
        </w:rPr>
        <w:t>to ensure a stable economy base on equitable, sustainable growth that creates jobs and income earning opportunities accessible to all people</w:t>
      </w:r>
      <w:r w:rsidR="00515902" w:rsidRPr="005C5824">
        <w:t xml:space="preserve">, the Vanuatu </w:t>
      </w:r>
      <w:r w:rsidR="00DF1389" w:rsidRPr="005C5824">
        <w:t xml:space="preserve">Government does not </w:t>
      </w:r>
      <w:r w:rsidR="00515902" w:rsidRPr="005C5824">
        <w:t xml:space="preserve">yet </w:t>
      </w:r>
      <w:r w:rsidR="00DF1389" w:rsidRPr="005C5824">
        <w:t>have a Human Resource</w:t>
      </w:r>
      <w:r w:rsidR="00515902" w:rsidRPr="005C5824">
        <w:t>s</w:t>
      </w:r>
      <w:r w:rsidR="00DF1389" w:rsidRPr="005C5824">
        <w:t xml:space="preserve"> Development Plan</w:t>
      </w:r>
      <w:r w:rsidR="00515902" w:rsidRPr="005C5824">
        <w:t xml:space="preserve"> </w:t>
      </w:r>
      <w:r w:rsidR="00C06BE1" w:rsidRPr="005C5824">
        <w:t xml:space="preserve">to guide selection of awardees. </w:t>
      </w:r>
      <w:r w:rsidR="00FA4116" w:rsidRPr="005C5824">
        <w:t>However, a Memorandum of Understanding (MOU) for the development of a National Human Resource Development Plan (NHDP) was signed in February 2018. The NHDP will be developed by the Department of Strategic Policy, Planning and Aid Coordination (DSPPAC), in partnership with the Vanuatu Skills Partnership to address issues related to skills shortage, including labour and skill needs for sustainable economic growth.</w:t>
      </w:r>
    </w:p>
    <w:p w14:paraId="2F6CFCD2" w14:textId="1482145E" w:rsidR="00515902" w:rsidRPr="005C5824" w:rsidRDefault="00FA4116" w:rsidP="002B54DE">
      <w:pPr>
        <w:pStyle w:val="ListBullet"/>
        <w:numPr>
          <w:ilvl w:val="0"/>
          <w:numId w:val="0"/>
        </w:numPr>
        <w:tabs>
          <w:tab w:val="clear" w:pos="284"/>
          <w:tab w:val="left" w:pos="0"/>
        </w:tabs>
        <w:spacing w:before="120" w:after="0" w:line="240" w:lineRule="auto"/>
        <w:ind w:right="141"/>
        <w:rPr>
          <w:rFonts w:asciiTheme="minorHAnsi" w:hAnsiTheme="minorHAnsi"/>
          <w:sz w:val="22"/>
          <w:szCs w:val="22"/>
          <w:lang w:eastAsia="en-US"/>
        </w:rPr>
      </w:pPr>
      <w:r w:rsidRPr="005C5824">
        <w:rPr>
          <w:rFonts w:asciiTheme="minorHAnsi" w:hAnsiTheme="minorHAnsi"/>
          <w:sz w:val="22"/>
          <w:szCs w:val="22"/>
          <w:lang w:eastAsia="en-US"/>
        </w:rPr>
        <w:t>Currently</w:t>
      </w:r>
      <w:r w:rsidR="00C06BE1" w:rsidRPr="005C5824">
        <w:rPr>
          <w:rFonts w:asciiTheme="minorHAnsi" w:hAnsiTheme="minorHAnsi"/>
          <w:sz w:val="22"/>
          <w:szCs w:val="22"/>
          <w:lang w:eastAsia="en-US"/>
        </w:rPr>
        <w:t xml:space="preserve">, </w:t>
      </w:r>
      <w:r w:rsidR="00FC145E" w:rsidRPr="005C5824">
        <w:rPr>
          <w:rFonts w:asciiTheme="minorHAnsi" w:hAnsiTheme="minorHAnsi"/>
          <w:sz w:val="22"/>
          <w:szCs w:val="22"/>
          <w:lang w:eastAsia="en-US"/>
        </w:rPr>
        <w:t xml:space="preserve">Australia Awards </w:t>
      </w:r>
      <w:r w:rsidR="00C06BE1" w:rsidRPr="005C5824">
        <w:rPr>
          <w:rFonts w:asciiTheme="minorHAnsi" w:hAnsiTheme="minorHAnsi"/>
          <w:sz w:val="22"/>
          <w:szCs w:val="22"/>
          <w:lang w:eastAsia="en-US"/>
        </w:rPr>
        <w:t xml:space="preserve">priority fields of study align broadly with the sectors covered in the Aid Investment Plan, as well as Pacific regional programs. </w:t>
      </w:r>
      <w:r w:rsidR="00515902" w:rsidRPr="005C5824">
        <w:rPr>
          <w:rFonts w:asciiTheme="minorHAnsi" w:hAnsiTheme="minorHAnsi"/>
          <w:sz w:val="22"/>
          <w:szCs w:val="22"/>
          <w:lang w:eastAsia="en-US"/>
        </w:rPr>
        <w:t xml:space="preserve">Where line ministries have sectoral human resources development plans, selection of awardees </w:t>
      </w:r>
      <w:r w:rsidR="00C06BE1" w:rsidRPr="005C5824">
        <w:rPr>
          <w:rFonts w:asciiTheme="minorHAnsi" w:hAnsiTheme="minorHAnsi"/>
          <w:sz w:val="22"/>
          <w:szCs w:val="22"/>
          <w:lang w:eastAsia="en-US"/>
        </w:rPr>
        <w:t xml:space="preserve">also </w:t>
      </w:r>
      <w:r w:rsidR="00515902" w:rsidRPr="005C5824">
        <w:rPr>
          <w:rFonts w:asciiTheme="minorHAnsi" w:hAnsiTheme="minorHAnsi"/>
          <w:sz w:val="22"/>
          <w:szCs w:val="22"/>
          <w:lang w:eastAsia="en-US"/>
        </w:rPr>
        <w:t>aims to align with these plans as much as possible.</w:t>
      </w:r>
      <w:r w:rsidR="00720D7B" w:rsidRPr="005C5824">
        <w:rPr>
          <w:rFonts w:asciiTheme="minorHAnsi" w:hAnsiTheme="minorHAnsi"/>
          <w:sz w:val="22"/>
          <w:szCs w:val="22"/>
          <w:lang w:eastAsia="en-US"/>
        </w:rPr>
        <w:t xml:space="preserve"> Priority fields of study (to be reviewed annually prior to promotion) may include:</w:t>
      </w:r>
    </w:p>
    <w:p w14:paraId="11D79D16" w14:textId="5B6FD7AC" w:rsidR="00720D7B" w:rsidRPr="005C5824" w:rsidRDefault="00720D7B"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economics, commerce, business studies, business administration and accounting;</w:t>
      </w:r>
    </w:p>
    <w:p w14:paraId="6CB1BC98" w14:textId="329BEB33" w:rsidR="00720D7B" w:rsidRPr="005C5824" w:rsidRDefault="00720D7B"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public administration, management, human resources, planning and project management;</w:t>
      </w:r>
    </w:p>
    <w:p w14:paraId="229AD5BA" w14:textId="5A517F4F" w:rsidR="00720D7B" w:rsidRPr="005C5824" w:rsidRDefault="00720D7B"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engineering and information technology;</w:t>
      </w:r>
    </w:p>
    <w:p w14:paraId="038DEB4B" w14:textId="1E9D1130" w:rsidR="00720D7B" w:rsidRPr="005C5824" w:rsidRDefault="00720D7B"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tourism and marketing;</w:t>
      </w:r>
    </w:p>
    <w:p w14:paraId="0AA93296" w14:textId="797A2210" w:rsidR="00720D7B" w:rsidRPr="005C5824" w:rsidRDefault="00720D7B"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health and education;</w:t>
      </w:r>
    </w:p>
    <w:p w14:paraId="5D79AA5C" w14:textId="41C07F96" w:rsidR="00720D7B" w:rsidRPr="005C5824" w:rsidRDefault="00720D7B"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policing and justice;</w:t>
      </w:r>
    </w:p>
    <w:p w14:paraId="10EB8160" w14:textId="66C4D9EB" w:rsidR="00720D7B" w:rsidRPr="005C5824" w:rsidRDefault="00720D7B"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community services (including disability studies and community development);</w:t>
      </w:r>
    </w:p>
    <w:p w14:paraId="120CDC33" w14:textId="7772424B" w:rsidR="00720D7B" w:rsidRPr="005C5824" w:rsidRDefault="00720D7B"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agriculture, fisheries, for</w:t>
      </w:r>
      <w:r w:rsidR="00957D6E" w:rsidRPr="005C5824">
        <w:rPr>
          <w:rFonts w:asciiTheme="minorHAnsi" w:hAnsiTheme="minorHAnsi"/>
          <w:sz w:val="22"/>
          <w:lang w:eastAsia="en-US"/>
        </w:rPr>
        <w:t xml:space="preserve">estry, biosecurity, environment, </w:t>
      </w:r>
      <w:r w:rsidRPr="005C5824">
        <w:rPr>
          <w:rFonts w:asciiTheme="minorHAnsi" w:hAnsiTheme="minorHAnsi"/>
          <w:sz w:val="22"/>
          <w:lang w:eastAsia="en-US"/>
        </w:rPr>
        <w:t>climate change</w:t>
      </w:r>
      <w:r w:rsidR="00957D6E" w:rsidRPr="005C5824">
        <w:rPr>
          <w:rFonts w:asciiTheme="minorHAnsi" w:hAnsiTheme="minorHAnsi"/>
          <w:sz w:val="22"/>
          <w:lang w:eastAsia="en-US"/>
        </w:rPr>
        <w:t xml:space="preserve"> and disaster risk reduction</w:t>
      </w:r>
      <w:r w:rsidRPr="005C5824">
        <w:rPr>
          <w:rFonts w:asciiTheme="minorHAnsi" w:hAnsiTheme="minorHAnsi"/>
          <w:sz w:val="22"/>
          <w:lang w:eastAsia="en-US"/>
        </w:rPr>
        <w:t>; and</w:t>
      </w:r>
    </w:p>
    <w:p w14:paraId="2D86E8D8" w14:textId="58956783" w:rsidR="00720D7B" w:rsidRPr="005C5824" w:rsidRDefault="00720D7B"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communications and journalism.</w:t>
      </w:r>
    </w:p>
    <w:p w14:paraId="3F8FDED4" w14:textId="6425153F" w:rsidR="00FA4116" w:rsidRPr="005C5824" w:rsidRDefault="000F6FF5" w:rsidP="004901B9">
      <w:r w:rsidRPr="005C5824">
        <w:t>A</w:t>
      </w:r>
      <w:r w:rsidR="00461BAB" w:rsidRPr="005C5824">
        <w:t xml:space="preserve"> recognised qualification and experience abroad gives alumni a competitive edge in the job market.</w:t>
      </w:r>
      <w:r w:rsidR="0097383F" w:rsidRPr="005C5824">
        <w:t xml:space="preserve"> The most recent tracer study for ni-Vanuatu scholarships scholarship recipients</w:t>
      </w:r>
      <w:r w:rsidR="00A63F9F" w:rsidRPr="005C5824">
        <w:rPr>
          <w:rStyle w:val="FootnoteReference"/>
        </w:rPr>
        <w:footnoteReference w:id="5"/>
      </w:r>
      <w:r w:rsidR="0097383F" w:rsidRPr="005C5824">
        <w:t xml:space="preserve"> found that most graduates were employed in appropriate positions and were moving to management roles. Very few felt under-utilised or unhappy about their employment prospects.</w:t>
      </w:r>
      <w:r w:rsidR="00A63F9F" w:rsidRPr="005C5824">
        <w:t xml:space="preserve"> </w:t>
      </w:r>
      <w:r w:rsidR="00461BAB" w:rsidRPr="005C5824">
        <w:t xml:space="preserve">However, a </w:t>
      </w:r>
      <w:r w:rsidR="00C06BE1" w:rsidRPr="005C5824">
        <w:t xml:space="preserve">qualification is not enough to </w:t>
      </w:r>
      <w:r w:rsidR="00684FF3" w:rsidRPr="005C5824">
        <w:t xml:space="preserve">support individuals to achieve good development outcomes for Vanuatu. Ongoing, practical support to build networks with intelligent, motivated people and professional development opportunities is needed to </w:t>
      </w:r>
      <w:r w:rsidR="009D53E8" w:rsidRPr="005C5824">
        <w:t>support alumni in the workplace</w:t>
      </w:r>
      <w:r w:rsidR="00684FF3" w:rsidRPr="005C5824">
        <w:t>.</w:t>
      </w:r>
    </w:p>
    <w:p w14:paraId="7DACF637" w14:textId="77777777" w:rsidR="00D85223" w:rsidRPr="005C5824" w:rsidRDefault="00D85223" w:rsidP="004901B9"/>
    <w:p w14:paraId="43577C48" w14:textId="009244AE" w:rsidR="00591FD5" w:rsidRPr="005C5824" w:rsidRDefault="00684FF3" w:rsidP="00EE2DD9">
      <w:pPr>
        <w:rPr>
          <w:rFonts w:ascii="Calibri" w:hAnsi="Calibri"/>
          <w:b/>
        </w:rPr>
      </w:pPr>
      <w:r w:rsidRPr="005C5824">
        <w:rPr>
          <w:rFonts w:ascii="Calibri" w:hAnsi="Calibri"/>
          <w:b/>
        </w:rPr>
        <w:lastRenderedPageBreak/>
        <w:t xml:space="preserve">Gender </w:t>
      </w:r>
      <w:r w:rsidR="00EC0AF2" w:rsidRPr="005C5824">
        <w:rPr>
          <w:rFonts w:ascii="Calibri" w:hAnsi="Calibri"/>
          <w:b/>
        </w:rPr>
        <w:t>inequality</w:t>
      </w:r>
    </w:p>
    <w:p w14:paraId="0E47C189" w14:textId="66415188" w:rsidR="00684FF3" w:rsidRPr="005C5824" w:rsidRDefault="006D16CA" w:rsidP="00C06BE1">
      <w:pPr>
        <w:pStyle w:val="ListBullet"/>
        <w:numPr>
          <w:ilvl w:val="0"/>
          <w:numId w:val="0"/>
        </w:numPr>
        <w:tabs>
          <w:tab w:val="clear" w:pos="284"/>
          <w:tab w:val="left" w:pos="0"/>
        </w:tabs>
        <w:spacing w:before="120" w:line="240" w:lineRule="auto"/>
        <w:ind w:right="141"/>
        <w:rPr>
          <w:rFonts w:asciiTheme="minorHAnsi" w:hAnsiTheme="minorHAnsi"/>
          <w:sz w:val="22"/>
          <w:szCs w:val="22"/>
          <w:lang w:eastAsia="en-US"/>
        </w:rPr>
      </w:pPr>
      <w:r w:rsidRPr="005C5824">
        <w:rPr>
          <w:rFonts w:asciiTheme="minorHAnsi" w:hAnsiTheme="minorHAnsi"/>
          <w:sz w:val="22"/>
          <w:szCs w:val="22"/>
          <w:lang w:eastAsia="en-US"/>
        </w:rPr>
        <w:t>Violence against women and d</w:t>
      </w:r>
      <w:r w:rsidR="00684FF3" w:rsidRPr="005C5824">
        <w:rPr>
          <w:rFonts w:asciiTheme="minorHAnsi" w:hAnsiTheme="minorHAnsi"/>
          <w:sz w:val="22"/>
          <w:szCs w:val="22"/>
          <w:lang w:eastAsia="en-US"/>
        </w:rPr>
        <w:t>isparities in employment, education, political participation and access to justice severely constrain women in their ability to contribute to, and benefit from, Vanuatu’s economic growth.</w:t>
      </w:r>
      <w:r w:rsidR="00CE045C" w:rsidRPr="005C5824">
        <w:rPr>
          <w:rFonts w:asciiTheme="minorHAnsi" w:hAnsiTheme="minorHAnsi"/>
          <w:sz w:val="22"/>
          <w:szCs w:val="22"/>
          <w:lang w:eastAsia="en-US"/>
        </w:rPr>
        <w:t xml:space="preserve"> More men (29 per cent) are employed than women (23 per cent).</w:t>
      </w:r>
      <w:r w:rsidR="00CE045C" w:rsidRPr="005C5824">
        <w:rPr>
          <w:rStyle w:val="FootnoteReference"/>
          <w:rFonts w:asciiTheme="minorHAnsi" w:hAnsiTheme="minorHAnsi"/>
          <w:sz w:val="22"/>
          <w:szCs w:val="22"/>
          <w:lang w:eastAsia="en-US"/>
        </w:rPr>
        <w:footnoteReference w:id="6"/>
      </w:r>
      <w:r w:rsidR="00684FF3" w:rsidRPr="005C5824">
        <w:rPr>
          <w:rFonts w:asciiTheme="minorHAnsi" w:hAnsiTheme="minorHAnsi"/>
          <w:sz w:val="22"/>
          <w:szCs w:val="22"/>
          <w:lang w:eastAsia="en-US"/>
        </w:rPr>
        <w:t xml:space="preserve"> There is gender parity in primary schools, but there are fewer girls in secondary school. Literacy and n</w:t>
      </w:r>
      <w:r w:rsidR="00CE045C" w:rsidRPr="005C5824">
        <w:rPr>
          <w:rFonts w:asciiTheme="minorHAnsi" w:hAnsiTheme="minorHAnsi"/>
          <w:sz w:val="22"/>
          <w:szCs w:val="22"/>
          <w:lang w:eastAsia="en-US"/>
        </w:rPr>
        <w:t xml:space="preserve">umeracy outcomes at all levels are </w:t>
      </w:r>
      <w:r w:rsidR="00684FF3" w:rsidRPr="005C5824">
        <w:rPr>
          <w:rFonts w:asciiTheme="minorHAnsi" w:hAnsiTheme="minorHAnsi"/>
          <w:sz w:val="22"/>
          <w:szCs w:val="22"/>
          <w:lang w:eastAsia="en-US"/>
        </w:rPr>
        <w:t xml:space="preserve">poor, </w:t>
      </w:r>
      <w:r w:rsidR="00CE045C" w:rsidRPr="005C5824">
        <w:rPr>
          <w:rFonts w:asciiTheme="minorHAnsi" w:hAnsiTheme="minorHAnsi"/>
          <w:sz w:val="22"/>
          <w:szCs w:val="22"/>
          <w:lang w:eastAsia="en-US"/>
        </w:rPr>
        <w:t>but girls perform better than boys</w:t>
      </w:r>
      <w:r w:rsidR="00684FF3" w:rsidRPr="005C5824">
        <w:rPr>
          <w:rFonts w:asciiTheme="minorHAnsi" w:hAnsiTheme="minorHAnsi"/>
          <w:sz w:val="22"/>
          <w:szCs w:val="22"/>
          <w:lang w:eastAsia="en-US"/>
        </w:rPr>
        <w:t>.</w:t>
      </w:r>
      <w:r w:rsidR="00CE045C" w:rsidRPr="005C5824">
        <w:rPr>
          <w:rStyle w:val="FootnoteReference"/>
          <w:rFonts w:asciiTheme="minorHAnsi" w:hAnsiTheme="minorHAnsi"/>
          <w:sz w:val="22"/>
          <w:szCs w:val="22"/>
          <w:lang w:eastAsia="en-US"/>
        </w:rPr>
        <w:footnoteReference w:id="7"/>
      </w:r>
      <w:r w:rsidR="00684FF3" w:rsidRPr="005C5824">
        <w:rPr>
          <w:rFonts w:asciiTheme="minorHAnsi" w:hAnsiTheme="minorHAnsi"/>
          <w:sz w:val="22"/>
          <w:szCs w:val="22"/>
          <w:lang w:eastAsia="en-US"/>
        </w:rPr>
        <w:t xml:space="preserve"> Social norms and perceptions of </w:t>
      </w:r>
      <w:r w:rsidR="00684FF3" w:rsidRPr="005C5824">
        <w:rPr>
          <w:rFonts w:asciiTheme="minorHAnsi" w:hAnsiTheme="minorHAnsi"/>
          <w:i/>
          <w:sz w:val="22"/>
          <w:szCs w:val="22"/>
          <w:lang w:eastAsia="en-US"/>
        </w:rPr>
        <w:t>kastom</w:t>
      </w:r>
      <w:r w:rsidR="00684FF3" w:rsidRPr="005C5824">
        <w:rPr>
          <w:rFonts w:asciiTheme="minorHAnsi" w:hAnsiTheme="minorHAnsi"/>
          <w:sz w:val="22"/>
          <w:szCs w:val="22"/>
          <w:lang w:eastAsia="en-US"/>
        </w:rPr>
        <w:t xml:space="preserve"> obstruct the socio-economic development of women. There are currently no women in Parliament, although there has been some progress on women’s political participation at the municipal level (with indications that this will </w:t>
      </w:r>
      <w:r w:rsidR="007B121E" w:rsidRPr="005C5824">
        <w:rPr>
          <w:rFonts w:asciiTheme="minorHAnsi" w:hAnsiTheme="minorHAnsi"/>
          <w:sz w:val="22"/>
          <w:szCs w:val="22"/>
          <w:lang w:eastAsia="en-US"/>
        </w:rPr>
        <w:t>influence women’s participation at the provincial and national level).</w:t>
      </w:r>
    </w:p>
    <w:p w14:paraId="72E1C65D" w14:textId="72E151D3" w:rsidR="00372EB8" w:rsidRPr="005C5824" w:rsidRDefault="00372EB8" w:rsidP="00C06BE1">
      <w:pPr>
        <w:pStyle w:val="ListBullet"/>
        <w:numPr>
          <w:ilvl w:val="0"/>
          <w:numId w:val="0"/>
        </w:numPr>
        <w:tabs>
          <w:tab w:val="clear" w:pos="284"/>
          <w:tab w:val="left" w:pos="0"/>
        </w:tabs>
        <w:spacing w:before="120" w:line="240" w:lineRule="auto"/>
        <w:ind w:right="141"/>
        <w:rPr>
          <w:rFonts w:asciiTheme="minorHAnsi" w:hAnsiTheme="minorHAnsi"/>
          <w:sz w:val="22"/>
          <w:szCs w:val="22"/>
          <w:lang w:eastAsia="en-US"/>
        </w:rPr>
      </w:pPr>
      <w:r w:rsidRPr="005C5824">
        <w:rPr>
          <w:rFonts w:asciiTheme="minorHAnsi" w:hAnsiTheme="minorHAnsi"/>
          <w:sz w:val="22"/>
          <w:szCs w:val="22"/>
          <w:lang w:eastAsia="en-US"/>
        </w:rPr>
        <w:t xml:space="preserve">There is evidence </w:t>
      </w:r>
      <w:r w:rsidR="00A27D70" w:rsidRPr="005C5824">
        <w:rPr>
          <w:rFonts w:asciiTheme="minorHAnsi" w:hAnsiTheme="minorHAnsi"/>
          <w:sz w:val="22"/>
          <w:szCs w:val="22"/>
          <w:lang w:eastAsia="en-US"/>
        </w:rPr>
        <w:t>that Australia Awards Scholarships make a clear contribution to women’s professional advancement and leadership.</w:t>
      </w:r>
      <w:r w:rsidR="00A27D70" w:rsidRPr="005C5824">
        <w:rPr>
          <w:rStyle w:val="FootnoteReference"/>
          <w:rFonts w:asciiTheme="minorHAnsi" w:hAnsiTheme="minorHAnsi"/>
          <w:sz w:val="22"/>
          <w:szCs w:val="22"/>
          <w:lang w:eastAsia="en-US"/>
        </w:rPr>
        <w:footnoteReference w:id="8"/>
      </w:r>
      <w:r w:rsidR="00A27D70" w:rsidRPr="005C5824">
        <w:rPr>
          <w:rFonts w:asciiTheme="minorHAnsi" w:hAnsiTheme="minorHAnsi"/>
          <w:sz w:val="22"/>
          <w:szCs w:val="22"/>
          <w:lang w:eastAsia="en-US"/>
        </w:rPr>
        <w:t xml:space="preserve"> F</w:t>
      </w:r>
      <w:r w:rsidRPr="005C5824">
        <w:rPr>
          <w:rFonts w:asciiTheme="minorHAnsi" w:hAnsiTheme="minorHAnsi"/>
          <w:sz w:val="22"/>
          <w:szCs w:val="22"/>
          <w:lang w:eastAsia="en-US"/>
        </w:rPr>
        <w:t>emale alumni achieve high rates of employment, promotion and increased responsibility, particularly for women working in the private sector and civil society (compared to women working in the public sector).</w:t>
      </w:r>
      <w:r w:rsidRPr="005C5824">
        <w:rPr>
          <w:rStyle w:val="FootnoteReference"/>
          <w:rFonts w:asciiTheme="minorHAnsi" w:hAnsiTheme="minorHAnsi"/>
          <w:sz w:val="22"/>
          <w:szCs w:val="22"/>
          <w:lang w:eastAsia="en-US"/>
        </w:rPr>
        <w:footnoteReference w:id="9"/>
      </w:r>
      <w:r w:rsidR="00FE5C00" w:rsidRPr="005C5824">
        <w:rPr>
          <w:rFonts w:asciiTheme="minorHAnsi" w:hAnsiTheme="minorHAnsi"/>
          <w:sz w:val="22"/>
          <w:szCs w:val="22"/>
          <w:lang w:eastAsia="en-US"/>
        </w:rPr>
        <w:t xml:space="preserve"> Studying overseas is particularly transformational for early-career women, or women from settings where women are under-represented in leadership, have very limited opportunities for tertiary education, and experience restrictive social and cultural norms.</w:t>
      </w:r>
      <w:r w:rsidR="00FE5C00" w:rsidRPr="005C5824">
        <w:rPr>
          <w:rStyle w:val="FootnoteReference"/>
          <w:rFonts w:asciiTheme="minorHAnsi" w:hAnsiTheme="minorHAnsi"/>
          <w:sz w:val="22"/>
          <w:szCs w:val="22"/>
          <w:lang w:eastAsia="en-US"/>
        </w:rPr>
        <w:footnoteReference w:id="10"/>
      </w:r>
      <w:r w:rsidR="00D771FC" w:rsidRPr="005C5824">
        <w:rPr>
          <w:rFonts w:asciiTheme="minorHAnsi" w:hAnsiTheme="minorHAnsi"/>
          <w:sz w:val="22"/>
          <w:szCs w:val="22"/>
          <w:lang w:eastAsia="en-US"/>
        </w:rPr>
        <w:t xml:space="preserve"> </w:t>
      </w:r>
    </w:p>
    <w:p w14:paraId="6705DBA8" w14:textId="77BBEDFB" w:rsidR="00D771FC" w:rsidRPr="005C5824" w:rsidRDefault="00D771FC" w:rsidP="00C06BE1">
      <w:pPr>
        <w:pStyle w:val="ListBullet"/>
        <w:numPr>
          <w:ilvl w:val="0"/>
          <w:numId w:val="0"/>
        </w:numPr>
        <w:tabs>
          <w:tab w:val="clear" w:pos="284"/>
          <w:tab w:val="left" w:pos="0"/>
        </w:tabs>
        <w:spacing w:before="120" w:line="240" w:lineRule="auto"/>
        <w:ind w:right="141"/>
        <w:rPr>
          <w:rFonts w:asciiTheme="minorHAnsi" w:hAnsiTheme="minorHAnsi"/>
          <w:sz w:val="22"/>
          <w:szCs w:val="22"/>
          <w:lang w:eastAsia="en-US"/>
        </w:rPr>
      </w:pPr>
      <w:r w:rsidRPr="005C5824">
        <w:rPr>
          <w:rFonts w:asciiTheme="minorHAnsi" w:hAnsiTheme="minorHAnsi"/>
          <w:sz w:val="22"/>
          <w:szCs w:val="22"/>
          <w:lang w:eastAsia="en-US"/>
        </w:rPr>
        <w:t>Barriers to women’s leadership include family and sociocultural expectations of women (for example, that women should focus on child bearing and caring for their families) and unfair workplace structures and practices (including biased judgments about merit and for promotions).</w:t>
      </w:r>
      <w:r w:rsidRPr="005C5824">
        <w:rPr>
          <w:rStyle w:val="FootnoteReference"/>
          <w:rFonts w:asciiTheme="minorHAnsi" w:hAnsiTheme="minorHAnsi"/>
          <w:sz w:val="22"/>
          <w:szCs w:val="22"/>
          <w:lang w:eastAsia="en-US"/>
        </w:rPr>
        <w:footnoteReference w:id="11"/>
      </w:r>
    </w:p>
    <w:p w14:paraId="16E54F5D" w14:textId="1A824FCF" w:rsidR="00372EB8" w:rsidRPr="005C5824" w:rsidRDefault="00D771FC" w:rsidP="00052734">
      <w:pPr>
        <w:pStyle w:val="ListBullet"/>
        <w:numPr>
          <w:ilvl w:val="0"/>
          <w:numId w:val="0"/>
        </w:numPr>
        <w:tabs>
          <w:tab w:val="clear" w:pos="284"/>
          <w:tab w:val="left" w:pos="0"/>
        </w:tabs>
        <w:spacing w:before="120" w:line="240" w:lineRule="auto"/>
        <w:ind w:right="141"/>
        <w:rPr>
          <w:rFonts w:asciiTheme="minorHAnsi" w:hAnsiTheme="minorHAnsi"/>
          <w:sz w:val="22"/>
          <w:szCs w:val="22"/>
          <w:lang w:eastAsia="en-US"/>
        </w:rPr>
      </w:pPr>
      <w:r w:rsidRPr="005C5824">
        <w:rPr>
          <w:rFonts w:asciiTheme="minorHAnsi" w:hAnsiTheme="minorHAnsi"/>
          <w:sz w:val="22"/>
          <w:szCs w:val="22"/>
          <w:lang w:eastAsia="en-US"/>
        </w:rPr>
        <w:t>There is some evidence that Australia Awards Scholarships can change men’s attitudes and behaviours about women’s leadership and workplace roles, but it is unlikely that small numbers of male alumni will change prevailing social norms about women.</w:t>
      </w:r>
      <w:r w:rsidRPr="005C5824">
        <w:rPr>
          <w:rStyle w:val="FootnoteReference"/>
          <w:rFonts w:asciiTheme="minorHAnsi" w:hAnsiTheme="minorHAnsi"/>
          <w:sz w:val="22"/>
          <w:szCs w:val="22"/>
          <w:lang w:eastAsia="en-US"/>
        </w:rPr>
        <w:footnoteReference w:id="12"/>
      </w:r>
    </w:p>
    <w:p w14:paraId="143C79C4" w14:textId="1BA5C1B1" w:rsidR="00342586" w:rsidRPr="005C5824" w:rsidRDefault="00342586" w:rsidP="00342586">
      <w:r w:rsidRPr="005C5824">
        <w:t>A specific category of study to promote women’s leadership may be included (as a priority field of study) to improve accessibility of scholarships for women (and men) in progressive civil society, the private sector, the media, academia and gender-equality focused organisations.</w:t>
      </w:r>
      <w:r w:rsidRPr="005C5824">
        <w:rPr>
          <w:rStyle w:val="FootnoteReference"/>
        </w:rPr>
        <w:footnoteReference w:id="13"/>
      </w:r>
    </w:p>
    <w:p w14:paraId="71D8540C" w14:textId="57D672EF" w:rsidR="00591FD5" w:rsidRPr="005C5824" w:rsidRDefault="00C06BE1" w:rsidP="00EE2DD9">
      <w:pPr>
        <w:rPr>
          <w:rFonts w:ascii="Calibri" w:hAnsi="Calibri"/>
          <w:b/>
        </w:rPr>
      </w:pPr>
      <w:r w:rsidRPr="005C5824">
        <w:rPr>
          <w:rFonts w:ascii="Calibri" w:hAnsi="Calibri"/>
          <w:b/>
        </w:rPr>
        <w:t>Other donors</w:t>
      </w:r>
    </w:p>
    <w:p w14:paraId="131D41CE" w14:textId="1EAE52C5" w:rsidR="001876A9" w:rsidRPr="005C5824" w:rsidRDefault="00515902" w:rsidP="006B619B">
      <w:pPr>
        <w:pStyle w:val="ListBullet"/>
        <w:numPr>
          <w:ilvl w:val="0"/>
          <w:numId w:val="0"/>
        </w:numPr>
        <w:tabs>
          <w:tab w:val="clear" w:pos="284"/>
          <w:tab w:val="left" w:pos="0"/>
        </w:tabs>
        <w:spacing w:before="120" w:line="240" w:lineRule="auto"/>
        <w:ind w:right="141"/>
        <w:rPr>
          <w:rFonts w:asciiTheme="minorHAnsi" w:hAnsiTheme="minorHAnsi"/>
          <w:sz w:val="22"/>
          <w:szCs w:val="22"/>
          <w:lang w:eastAsia="en-US"/>
        </w:rPr>
      </w:pPr>
      <w:r w:rsidRPr="005C5824">
        <w:rPr>
          <w:rFonts w:asciiTheme="minorHAnsi" w:hAnsiTheme="minorHAnsi"/>
          <w:sz w:val="22"/>
          <w:szCs w:val="22"/>
          <w:lang w:eastAsia="en-US"/>
        </w:rPr>
        <w:t>The Vanuatu Government and a number of other donors offer scholarships for Ni-Vanuatu people</w:t>
      </w:r>
      <w:r w:rsidR="00C06BE1" w:rsidRPr="005C5824">
        <w:rPr>
          <w:rFonts w:asciiTheme="minorHAnsi" w:hAnsiTheme="minorHAnsi"/>
          <w:sz w:val="22"/>
          <w:szCs w:val="22"/>
          <w:lang w:eastAsia="en-US"/>
        </w:rPr>
        <w:t xml:space="preserve"> each year</w:t>
      </w:r>
      <w:r w:rsidR="00227FA5" w:rsidRPr="005C5824">
        <w:rPr>
          <w:rFonts w:asciiTheme="minorHAnsi" w:hAnsiTheme="minorHAnsi"/>
          <w:sz w:val="22"/>
          <w:szCs w:val="22"/>
          <w:lang w:eastAsia="en-US"/>
        </w:rPr>
        <w:t xml:space="preserve"> (numbers vary significantly from year to year)</w:t>
      </w:r>
      <w:r w:rsidR="00C06BE1" w:rsidRPr="005C5824">
        <w:rPr>
          <w:rFonts w:asciiTheme="minorHAnsi" w:hAnsiTheme="minorHAnsi"/>
          <w:sz w:val="22"/>
          <w:szCs w:val="22"/>
          <w:lang w:eastAsia="en-US"/>
        </w:rPr>
        <w:t>, most of which are managed through the Tertiary and Scholarships Coordination Unit (TSCU) in the Ministry of Education and Training (MoET)</w:t>
      </w:r>
      <w:r w:rsidRPr="005C5824">
        <w:rPr>
          <w:rFonts w:asciiTheme="minorHAnsi" w:hAnsiTheme="minorHAnsi"/>
          <w:sz w:val="22"/>
          <w:szCs w:val="22"/>
          <w:lang w:eastAsia="en-US"/>
        </w:rPr>
        <w:t xml:space="preserve">. </w:t>
      </w:r>
      <w:r w:rsidR="00225261" w:rsidRPr="005C5824">
        <w:rPr>
          <w:rFonts w:asciiTheme="minorHAnsi" w:hAnsiTheme="minorHAnsi"/>
          <w:sz w:val="22"/>
          <w:szCs w:val="22"/>
          <w:lang w:eastAsia="en-US"/>
        </w:rPr>
        <w:t>The New </w:t>
      </w:r>
      <w:r w:rsidRPr="005C5824">
        <w:rPr>
          <w:rFonts w:asciiTheme="minorHAnsi" w:hAnsiTheme="minorHAnsi"/>
          <w:sz w:val="22"/>
          <w:szCs w:val="22"/>
          <w:lang w:eastAsia="en-US"/>
        </w:rPr>
        <w:t xml:space="preserve">Zealand </w:t>
      </w:r>
      <w:r w:rsidR="00225261" w:rsidRPr="005C5824">
        <w:rPr>
          <w:rFonts w:asciiTheme="minorHAnsi" w:hAnsiTheme="minorHAnsi"/>
          <w:sz w:val="22"/>
          <w:szCs w:val="22"/>
          <w:lang w:eastAsia="en-US"/>
        </w:rPr>
        <w:t xml:space="preserve">Government and Australian Government do not work through </w:t>
      </w:r>
      <w:r w:rsidRPr="005C5824">
        <w:rPr>
          <w:rFonts w:asciiTheme="minorHAnsi" w:hAnsiTheme="minorHAnsi"/>
          <w:sz w:val="22"/>
          <w:szCs w:val="22"/>
          <w:lang w:eastAsia="en-US"/>
        </w:rPr>
        <w:t>Vanuatu Government system</w:t>
      </w:r>
      <w:r w:rsidR="00225261" w:rsidRPr="005C5824">
        <w:rPr>
          <w:rFonts w:asciiTheme="minorHAnsi" w:hAnsiTheme="minorHAnsi"/>
          <w:sz w:val="22"/>
          <w:szCs w:val="22"/>
          <w:lang w:eastAsia="en-US"/>
        </w:rPr>
        <w:t>s to provide scholarships</w:t>
      </w:r>
      <w:r w:rsidRPr="005C5824">
        <w:rPr>
          <w:rFonts w:asciiTheme="minorHAnsi" w:hAnsiTheme="minorHAnsi"/>
          <w:sz w:val="22"/>
          <w:szCs w:val="22"/>
          <w:lang w:eastAsia="en-US"/>
        </w:rPr>
        <w:t xml:space="preserve">, </w:t>
      </w:r>
      <w:r w:rsidR="00B37806" w:rsidRPr="005C5824">
        <w:rPr>
          <w:rFonts w:asciiTheme="minorHAnsi" w:hAnsiTheme="minorHAnsi"/>
          <w:sz w:val="22"/>
          <w:szCs w:val="22"/>
          <w:lang w:eastAsia="en-US"/>
        </w:rPr>
        <w:t>due to weaknesses in the system</w:t>
      </w:r>
      <w:r w:rsidRPr="005C5824">
        <w:rPr>
          <w:rFonts w:asciiTheme="minorHAnsi" w:hAnsiTheme="minorHAnsi"/>
          <w:sz w:val="22"/>
          <w:szCs w:val="22"/>
          <w:lang w:eastAsia="en-US"/>
        </w:rPr>
        <w:t>.</w:t>
      </w:r>
      <w:r w:rsidR="00876F8E" w:rsidRPr="005C5824">
        <w:rPr>
          <w:rFonts w:asciiTheme="minorHAnsi" w:hAnsiTheme="minorHAnsi"/>
          <w:sz w:val="22"/>
          <w:szCs w:val="22"/>
          <w:lang w:eastAsia="en-US"/>
        </w:rPr>
        <w:t xml:space="preserve"> A </w:t>
      </w:r>
      <w:r w:rsidR="00225261" w:rsidRPr="005C5824">
        <w:rPr>
          <w:rFonts w:asciiTheme="minorHAnsi" w:hAnsiTheme="minorHAnsi"/>
          <w:sz w:val="22"/>
          <w:szCs w:val="22"/>
          <w:lang w:eastAsia="en-US"/>
        </w:rPr>
        <w:t>significant number of other donors offer scholarships that are managed by the Vanuatu Government. It is important that Australia gets adequate recognition for our investment from the Vanuatu Government, despite working outside the government’s system.</w:t>
      </w:r>
    </w:p>
    <w:p w14:paraId="64722F9C" w14:textId="77777777" w:rsidR="00282871" w:rsidRPr="005C5824" w:rsidRDefault="00282871" w:rsidP="00406FFF">
      <w:pPr>
        <w:spacing w:before="0" w:after="0" w:line="240" w:lineRule="auto"/>
      </w:pPr>
    </w:p>
    <w:tbl>
      <w:tblPr>
        <w:tblStyle w:val="TableGrid"/>
        <w:tblW w:w="0" w:type="auto"/>
        <w:shd w:val="clear" w:color="auto" w:fill="C1E7E0" w:themeFill="accent1" w:themeFillTint="66"/>
        <w:tblLook w:val="04A0" w:firstRow="1" w:lastRow="0" w:firstColumn="1" w:lastColumn="0" w:noHBand="0" w:noVBand="1"/>
      </w:tblPr>
      <w:tblGrid>
        <w:gridCol w:w="10196"/>
      </w:tblGrid>
      <w:tr w:rsidR="005C5824" w:rsidRPr="005C5824" w14:paraId="16336A40" w14:textId="77777777" w:rsidTr="00D43ADA">
        <w:tc>
          <w:tcPr>
            <w:tcW w:w="10196" w:type="dxa"/>
            <w:shd w:val="clear" w:color="auto" w:fill="C1E7E0" w:themeFill="accent1" w:themeFillTint="66"/>
          </w:tcPr>
          <w:p w14:paraId="0B996138" w14:textId="77777777" w:rsidR="00D43ADA" w:rsidRPr="005C5824" w:rsidRDefault="00591FD5" w:rsidP="00591FD5">
            <w:pPr>
              <w:pStyle w:val="BodyText"/>
              <w:spacing w:after="120" w:line="240" w:lineRule="auto"/>
              <w:outlineLvl w:val="0"/>
              <w:rPr>
                <w:rFonts w:asciiTheme="majorHAnsi" w:hAnsiTheme="majorHAnsi"/>
                <w:b/>
                <w:sz w:val="28"/>
              </w:rPr>
            </w:pPr>
            <w:bookmarkStart w:id="3" w:name="_Toc515539467"/>
            <w:r w:rsidRPr="005C5824">
              <w:rPr>
                <w:rFonts w:asciiTheme="majorHAnsi" w:hAnsiTheme="majorHAnsi"/>
                <w:b/>
                <w:sz w:val="28"/>
              </w:rPr>
              <w:t>C</w:t>
            </w:r>
            <w:r w:rsidR="00D43ADA" w:rsidRPr="005C5824">
              <w:rPr>
                <w:rFonts w:asciiTheme="majorHAnsi" w:hAnsiTheme="majorHAnsi"/>
                <w:b/>
                <w:sz w:val="28"/>
              </w:rPr>
              <w:t>: Rationale for Australian Investment</w:t>
            </w:r>
            <w:bookmarkEnd w:id="3"/>
          </w:p>
        </w:tc>
      </w:tr>
    </w:tbl>
    <w:p w14:paraId="4D7FE8F9" w14:textId="77777777" w:rsidR="00D43ADA" w:rsidRPr="005C5824" w:rsidRDefault="007B121E" w:rsidP="00D43ADA">
      <w:r w:rsidRPr="005C5824">
        <w:t>Promoting economic growth and poverty reduction requires a foundation of strong human development. Improving education, health, gender equality and women’s empowerment are essential to both building a skilled and competitive workforce and lifting living standards.</w:t>
      </w:r>
    </w:p>
    <w:p w14:paraId="3F197C7D" w14:textId="77777777" w:rsidR="007B121E" w:rsidRPr="005C5824" w:rsidRDefault="007B121E" w:rsidP="00D43ADA">
      <w:r w:rsidRPr="005C5824">
        <w:t>Australia has a direct interest in a prosperous and stable Vanuatu. Australian aid promotes Australia’s national interests by supporting economic growth, stability and poverty reduction in Vanuatu. Higher education is fundamental to meeting the needs of the economy and providing sufficient skills for economic growth. The networks established can influence the emergence of development coalitions, and also help to inform attitudes and behaviours of students.</w:t>
      </w:r>
    </w:p>
    <w:p w14:paraId="4FC98DB1" w14:textId="77777777" w:rsidR="00F7764B" w:rsidRPr="005C5824" w:rsidRDefault="00F7764B" w:rsidP="00F7764B">
      <w:pPr>
        <w:pStyle w:val="ListBullet"/>
        <w:numPr>
          <w:ilvl w:val="0"/>
          <w:numId w:val="0"/>
        </w:numPr>
        <w:tabs>
          <w:tab w:val="clear" w:pos="284"/>
          <w:tab w:val="left" w:pos="0"/>
        </w:tabs>
        <w:spacing w:before="120" w:line="240" w:lineRule="auto"/>
        <w:ind w:right="141"/>
        <w:rPr>
          <w:rFonts w:asciiTheme="minorHAnsi" w:eastAsiaTheme="minorHAnsi" w:hAnsiTheme="minorHAnsi" w:cstheme="minorBidi"/>
          <w:sz w:val="22"/>
          <w:szCs w:val="22"/>
          <w:lang w:val="en-GB" w:eastAsia="en-US"/>
        </w:rPr>
      </w:pPr>
      <w:r w:rsidRPr="005C5824">
        <w:rPr>
          <w:rFonts w:asciiTheme="minorHAnsi" w:eastAsiaTheme="minorHAnsi" w:hAnsiTheme="minorHAnsi" w:cstheme="minorBidi"/>
          <w:sz w:val="22"/>
          <w:szCs w:val="22"/>
          <w:lang w:val="en-GB" w:eastAsia="en-US"/>
        </w:rPr>
        <w:lastRenderedPageBreak/>
        <w:t>Educated populations are powerful drivers of change and are necessary for countries’ efforts to effectively reduce poverty and overcome barriers to economic growth. Development challenges invariably have regional and international dimensions and Australia Awards are an important part of linking ideas, skills, collaboration and new solutions for sustainable development outcomes.</w:t>
      </w:r>
    </w:p>
    <w:p w14:paraId="024DA7AE" w14:textId="77777777" w:rsidR="00E35EF6" w:rsidRPr="005C5824" w:rsidRDefault="007B121E" w:rsidP="00D43ADA">
      <w:r w:rsidRPr="005C5824">
        <w:t>Australia has a comparative advantage in tertiary education. Australian universities operate at high internation</w:t>
      </w:r>
      <w:r w:rsidR="00F86DA7" w:rsidRPr="005C5824">
        <w:t>al standards – as evidenced by the</w:t>
      </w:r>
      <w:r w:rsidRPr="005C5824">
        <w:t xml:space="preserve"> proportion of </w:t>
      </w:r>
      <w:r w:rsidR="00F86DA7" w:rsidRPr="005C5824">
        <w:t>Australian</w:t>
      </w:r>
      <w:r w:rsidRPr="005C5824">
        <w:t xml:space="preserve"> universities </w:t>
      </w:r>
      <w:r w:rsidR="00F86DA7" w:rsidRPr="005C5824">
        <w:t xml:space="preserve">consistently </w:t>
      </w:r>
      <w:r w:rsidRPr="005C5824">
        <w:t xml:space="preserve">ranking </w:t>
      </w:r>
      <w:r w:rsidR="00F86DA7" w:rsidRPr="005C5824">
        <w:t xml:space="preserve">in </w:t>
      </w:r>
      <w:r w:rsidRPr="005C5824">
        <w:t xml:space="preserve">the top </w:t>
      </w:r>
      <w:r w:rsidR="00F86DA7" w:rsidRPr="005C5824">
        <w:t xml:space="preserve">100 universities </w:t>
      </w:r>
      <w:r w:rsidRPr="005C5824">
        <w:t xml:space="preserve">of </w:t>
      </w:r>
      <w:r w:rsidR="00130C95" w:rsidRPr="005C5824">
        <w:t>the</w:t>
      </w:r>
      <w:r w:rsidR="00F86DA7" w:rsidRPr="005C5824">
        <w:t xml:space="preserve"> Times Higher Education World University Rankings</w:t>
      </w:r>
      <w:r w:rsidRPr="005C5824">
        <w:t>.</w:t>
      </w:r>
      <w:r w:rsidR="00E35EF6" w:rsidRPr="005C5824">
        <w:t xml:space="preserve"> By studying at an</w:t>
      </w:r>
      <w:r w:rsidR="00F86DA7" w:rsidRPr="005C5824">
        <w:t xml:space="preserve"> Australian institution</w:t>
      </w:r>
      <w:r w:rsidR="00E35EF6" w:rsidRPr="005C5824">
        <w:t>, students can adopt Australian values and practices that they apply in Vanuatu.</w:t>
      </w:r>
    </w:p>
    <w:p w14:paraId="782672A8" w14:textId="3D0002AA" w:rsidR="00E35EF6" w:rsidRPr="005C5824" w:rsidRDefault="00E35EF6" w:rsidP="00D43ADA">
      <w:r w:rsidRPr="005C5824">
        <w:t>However, study in the Pacific region may at times be more relevant</w:t>
      </w:r>
      <w:r w:rsidR="00461BAB" w:rsidRPr="005C5824">
        <w:t xml:space="preserve"> and better value for money</w:t>
      </w:r>
      <w:r w:rsidRPr="005C5824">
        <w:t>. In some fields of study (e</w:t>
      </w:r>
      <w:r w:rsidR="003A74FA" w:rsidRPr="005C5824">
        <w:t>.</w:t>
      </w:r>
      <w:r w:rsidRPr="005C5824">
        <w:t xml:space="preserve">g. </w:t>
      </w:r>
      <w:r w:rsidR="000559F5" w:rsidRPr="005C5824">
        <w:t xml:space="preserve">medicine and </w:t>
      </w:r>
      <w:r w:rsidRPr="005C5824">
        <w:t>nursing), alumni who train in Australia may return home to workplaces that don’t have access to the same resources and research structures they experienced in Australia. The program can address this challenge by providing opportunities to study in the Pacific region.</w:t>
      </w:r>
      <w:r w:rsidR="00461BAB" w:rsidRPr="005C5824">
        <w:t xml:space="preserve"> Scholarships to study in the Pacific region </w:t>
      </w:r>
      <w:r w:rsidR="0055256B" w:rsidRPr="005C5824">
        <w:t xml:space="preserve">also support Australia’s broader objective of promoting education and training quality in the region and </w:t>
      </w:r>
      <w:r w:rsidR="00461BAB" w:rsidRPr="005C5824">
        <w:t xml:space="preserve">are significantly cheaper than scholarships to study in Australia. Deciding on the </w:t>
      </w:r>
      <w:r w:rsidR="003A74FA" w:rsidRPr="005C5824">
        <w:t xml:space="preserve">balance </w:t>
      </w:r>
      <w:r w:rsidR="00461BAB" w:rsidRPr="005C5824">
        <w:t>of AAS and AAPS each year is based on the standard of candidates and their chosen field of study, their preferred course and institute of study, and the budget available.</w:t>
      </w:r>
    </w:p>
    <w:p w14:paraId="76099CED" w14:textId="77777777" w:rsidR="000F6FF5" w:rsidRPr="005C5824" w:rsidRDefault="000F6FF5" w:rsidP="000F6FF5">
      <w:r w:rsidRPr="005C5824">
        <w:t>Australia Awards build meaningful connections with future leaders who may contribute to the bilateral relationship as they progress through their career. By investing in people-to-people and institutional links, we are better placed to pursue our mutual interests based on a deeper understanding of the cultural, social and economic drivers underpinning our domestic and international interests.</w:t>
      </w:r>
    </w:p>
    <w:p w14:paraId="4F760EE5" w14:textId="2CBA4E2E" w:rsidR="00042178" w:rsidRPr="005C5824" w:rsidRDefault="00E35EF6" w:rsidP="00E35EF6">
      <w:r w:rsidRPr="005C5824">
        <w:t>The program complements other aid investments in Vanuatu to a significant degree, inclu</w:t>
      </w:r>
      <w:r w:rsidR="00BF23D6" w:rsidRPr="005C5824">
        <w:t>ding by identifying skills gaps</w:t>
      </w:r>
      <w:r w:rsidRPr="005C5824">
        <w:t xml:space="preserve"> and potential leaders in sectors where the aid program is working.</w:t>
      </w:r>
      <w:r w:rsidR="00BF23D6" w:rsidRPr="005C5824">
        <w:t xml:space="preserve"> In particular, the program will contribute to providing equal opportunities for women and men to ensure women have more opportunities to become leaders in their field in Vanuatu.</w:t>
      </w:r>
    </w:p>
    <w:p w14:paraId="7A8D8086" w14:textId="7EB39F46" w:rsidR="0009005F" w:rsidRPr="005C5824" w:rsidRDefault="0009005F" w:rsidP="00406FFF">
      <w:pPr>
        <w:spacing w:before="0" w:after="0" w:line="240" w:lineRule="auto"/>
      </w:pPr>
    </w:p>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10490"/>
      </w:tblGrid>
      <w:tr w:rsidR="005C5824" w:rsidRPr="005C5824" w14:paraId="5A0C72DD" w14:textId="77777777" w:rsidTr="00864320">
        <w:trPr>
          <w:trHeight w:val="360"/>
          <w:tblHeader/>
        </w:trPr>
        <w:tc>
          <w:tcPr>
            <w:tcW w:w="10490" w:type="dxa"/>
            <w:shd w:val="clear" w:color="auto" w:fill="C1E7E0" w:themeFill="accent1" w:themeFillTint="66"/>
          </w:tcPr>
          <w:p w14:paraId="5213BB7C" w14:textId="52D2C2F1" w:rsidR="00794C57" w:rsidRPr="005C5824" w:rsidRDefault="00591FD5" w:rsidP="00591FD5">
            <w:pPr>
              <w:pStyle w:val="BodyText"/>
              <w:spacing w:after="120" w:line="240" w:lineRule="auto"/>
              <w:outlineLvl w:val="0"/>
              <w:rPr>
                <w:rFonts w:asciiTheme="majorHAnsi" w:hAnsiTheme="majorHAnsi"/>
                <w:b/>
                <w:sz w:val="28"/>
              </w:rPr>
            </w:pPr>
            <w:bookmarkStart w:id="4" w:name="_Toc515539468"/>
            <w:r w:rsidRPr="005C5824">
              <w:rPr>
                <w:rFonts w:asciiTheme="majorHAnsi" w:hAnsiTheme="majorHAnsi"/>
                <w:b/>
                <w:sz w:val="28"/>
              </w:rPr>
              <w:t>D</w:t>
            </w:r>
            <w:r w:rsidR="00C55800" w:rsidRPr="005C5824">
              <w:rPr>
                <w:rFonts w:asciiTheme="majorHAnsi" w:hAnsiTheme="majorHAnsi"/>
                <w:b/>
                <w:sz w:val="28"/>
              </w:rPr>
              <w:t xml:space="preserve">: </w:t>
            </w:r>
            <w:r w:rsidR="00794C57" w:rsidRPr="005C5824">
              <w:rPr>
                <w:rFonts w:asciiTheme="majorHAnsi" w:hAnsiTheme="majorHAnsi"/>
                <w:b/>
                <w:sz w:val="28"/>
              </w:rPr>
              <w:t>Investment Description</w:t>
            </w:r>
            <w:bookmarkEnd w:id="4"/>
          </w:p>
        </w:tc>
      </w:tr>
    </w:tbl>
    <w:p w14:paraId="2A9F7AED" w14:textId="13BB74E6" w:rsidR="000F6FF5" w:rsidRPr="005C5824" w:rsidRDefault="000F6FF5" w:rsidP="005D5E2B">
      <w:pPr>
        <w:spacing w:after="0" w:line="240" w:lineRule="auto"/>
      </w:pPr>
      <w:r w:rsidRPr="005C5824">
        <w:t>The program includes</w:t>
      </w:r>
      <w:r w:rsidR="00C76BE5" w:rsidRPr="005C5824">
        <w:rPr>
          <w:rStyle w:val="FootnoteReference"/>
        </w:rPr>
        <w:footnoteReference w:id="14"/>
      </w:r>
      <w:r w:rsidRPr="005C5824">
        <w:t>:</w:t>
      </w:r>
    </w:p>
    <w:p w14:paraId="635521CE" w14:textId="7287DC74" w:rsidR="000F6FF5" w:rsidRPr="005C5824" w:rsidRDefault="000F6FF5"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Australia Awards Scholarships (AAS) and Australia Awards Pacific Scholarships (AAPS)</w:t>
      </w:r>
    </w:p>
    <w:p w14:paraId="53FED957" w14:textId="6751EFFB" w:rsidR="000F6FF5" w:rsidRPr="005C5824" w:rsidRDefault="000F6FF5"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Australia Awards Fellowships (short-term opportunities for study, research and professional attachment in Australia</w:t>
      </w:r>
      <w:r w:rsidR="004C4730" w:rsidRPr="005C5824">
        <w:rPr>
          <w:rFonts w:asciiTheme="minorHAnsi" w:hAnsiTheme="minorHAnsi"/>
          <w:sz w:val="22"/>
          <w:lang w:eastAsia="en-US"/>
        </w:rPr>
        <w:t xml:space="preserve"> or Vanuatu</w:t>
      </w:r>
      <w:r w:rsidRPr="005C5824">
        <w:rPr>
          <w:rFonts w:asciiTheme="minorHAnsi" w:hAnsiTheme="minorHAnsi"/>
          <w:sz w:val="22"/>
          <w:lang w:eastAsia="en-US"/>
        </w:rPr>
        <w:t>, delivered by Australian organisations)</w:t>
      </w:r>
    </w:p>
    <w:p w14:paraId="4CF1CEA9" w14:textId="691128B2" w:rsidR="000F6FF5" w:rsidRPr="005C5824" w:rsidRDefault="000F6FF5"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Alumni Engagement</w:t>
      </w:r>
    </w:p>
    <w:p w14:paraId="45928F73" w14:textId="2ED52D3F" w:rsidR="00282871" w:rsidRPr="005C5824" w:rsidRDefault="00282871" w:rsidP="00282871">
      <w:pPr>
        <w:spacing w:after="120" w:line="240" w:lineRule="auto"/>
      </w:pPr>
      <w:r w:rsidRPr="005C5824">
        <w:t>The program logic is outli</w:t>
      </w:r>
      <w:r w:rsidR="004F2E9C" w:rsidRPr="005C5824">
        <w:t xml:space="preserve">ned below at </w:t>
      </w:r>
      <w:r w:rsidR="004F2E9C" w:rsidRPr="005C5824">
        <w:rPr>
          <w:u w:val="single"/>
        </w:rPr>
        <w:t>Figure 1</w:t>
      </w:r>
      <w:r w:rsidR="004F2E9C" w:rsidRPr="005C5824">
        <w:t>.</w:t>
      </w:r>
    </w:p>
    <w:p w14:paraId="3AC40935" w14:textId="0361DBF9" w:rsidR="004F2E9C" w:rsidRPr="005C5824" w:rsidRDefault="004F2E9C" w:rsidP="00282871">
      <w:pPr>
        <w:spacing w:after="120" w:line="240" w:lineRule="auto"/>
      </w:pPr>
      <w:r w:rsidRPr="005C5824">
        <w:t xml:space="preserve">Each year, Australia Awards in Vanuatu will provide up to 20 school graduates and mid-level professionals with the opportunity to complete undergraduate studies in Australia (AAS) and the Pacific region (AAPS) and up to 20 mid to senior level professionals to complete postgraduate qualifications in Australia (AAS). Australia Awards Fellowships provide </w:t>
      </w:r>
      <w:r w:rsidR="00717E5F" w:rsidRPr="005C5824">
        <w:t>n</w:t>
      </w:r>
      <w:r w:rsidRPr="005C5824">
        <w:t xml:space="preserve">i-Vanuatu professionals </w:t>
      </w:r>
      <w:r w:rsidR="00717E5F" w:rsidRPr="005C5824">
        <w:t xml:space="preserve">an opportunity </w:t>
      </w:r>
      <w:r w:rsidRPr="005C5824">
        <w:t xml:space="preserve">to gain experience in Australia. </w:t>
      </w:r>
      <w:r w:rsidR="00EC0AF2" w:rsidRPr="005C5824">
        <w:t>A</w:t>
      </w:r>
      <w:r w:rsidRPr="005C5824">
        <w:t>t least 50 per cent of awardees</w:t>
      </w:r>
      <w:r w:rsidR="00EC0AF2" w:rsidRPr="005C5824">
        <w:t xml:space="preserve"> (AAS and AAPS)</w:t>
      </w:r>
      <w:r w:rsidRPr="005C5824">
        <w:t xml:space="preserve"> each year </w:t>
      </w:r>
      <w:r w:rsidR="00EC0AF2" w:rsidRPr="005C5824">
        <w:t>will be</w:t>
      </w:r>
      <w:r w:rsidRPr="005C5824">
        <w:t xml:space="preserve"> women, and there will be a strong focus on ensuring people with disability (and people working in support of people with disability) have access to awards.</w:t>
      </w:r>
    </w:p>
    <w:p w14:paraId="0774B774" w14:textId="49B8635A" w:rsidR="004F2E9C" w:rsidRPr="005C5824" w:rsidRDefault="004C4730" w:rsidP="004F2E9C">
      <w:pPr>
        <w:spacing w:after="120" w:line="240" w:lineRule="auto"/>
      </w:pPr>
      <w:r w:rsidRPr="005C5824">
        <w:t xml:space="preserve">In </w:t>
      </w:r>
      <w:r w:rsidR="003E7BB0" w:rsidRPr="005C5824">
        <w:t xml:space="preserve">line </w:t>
      </w:r>
      <w:r w:rsidRPr="005C5824">
        <w:t xml:space="preserve">with the </w:t>
      </w:r>
      <w:r w:rsidR="003E7BB0" w:rsidRPr="005C5824">
        <w:t>Global Alumni Engagement Strategy</w:t>
      </w:r>
      <w:r w:rsidR="003E7BB0" w:rsidRPr="005C5824">
        <w:rPr>
          <w:rStyle w:val="FootnoteReference"/>
        </w:rPr>
        <w:footnoteReference w:id="15"/>
      </w:r>
      <w:r w:rsidR="003E7BB0" w:rsidRPr="005C5824">
        <w:t xml:space="preserve">, </w:t>
      </w:r>
      <w:r w:rsidR="004F2E9C" w:rsidRPr="005C5824">
        <w:t xml:space="preserve">Australia Awards will build on and expand the new alumni network, providing alumni with professional development and networking opportunities. Women’s leadership and inclusive development will be a focus to strengthen the sustainability and development outcomes of the program. </w:t>
      </w:r>
    </w:p>
    <w:p w14:paraId="3160453C" w14:textId="36325BC6" w:rsidR="004777D6" w:rsidRPr="005C5824" w:rsidRDefault="00AC7CDC" w:rsidP="004F2E9C">
      <w:pPr>
        <w:spacing w:after="120" w:line="240" w:lineRule="auto"/>
      </w:pPr>
      <w:r w:rsidRPr="005C5824">
        <w:t>The new phase of investment in Australia Awards will explore the potential for offering short-courses in Vanuatu</w:t>
      </w:r>
      <w:r w:rsidR="00AB6FAE" w:rsidRPr="005C5824">
        <w:t xml:space="preserve"> or regionally</w:t>
      </w:r>
      <w:r w:rsidRPr="005C5824">
        <w:t xml:space="preserve"> </w:t>
      </w:r>
      <w:r w:rsidR="00BC48F8" w:rsidRPr="005C5824">
        <w:t xml:space="preserve">to support the Government of Vanuatu’s Human Resource Development (HRD) Policy </w:t>
      </w:r>
      <w:r w:rsidR="00AB6FAE" w:rsidRPr="005C5824">
        <w:t>which will be developed within the next year. The availability of short courses provided in-country or regionally would provide a cost</w:t>
      </w:r>
      <w:r w:rsidR="001F496A" w:rsidRPr="005C5824">
        <w:t>-</w:t>
      </w:r>
      <w:r w:rsidR="00AB6FAE" w:rsidRPr="005C5824">
        <w:t>effective way to upgrade and develop skills across priority sectors</w:t>
      </w:r>
      <w:r w:rsidR="00097DBF" w:rsidRPr="005C5824">
        <w:t>, including the education sector</w:t>
      </w:r>
      <w:r w:rsidR="00AB6FAE" w:rsidRPr="005C5824">
        <w:t xml:space="preserve">. </w:t>
      </w:r>
      <w:r w:rsidR="00D06865" w:rsidRPr="005C5824">
        <w:t xml:space="preserve">The potential for </w:t>
      </w:r>
      <w:r w:rsidR="000B1A9F" w:rsidRPr="005C5824">
        <w:t xml:space="preserve">the delivery of short courses through a partnership between University of South Pacific (USP) and </w:t>
      </w:r>
      <w:r w:rsidR="000B1A9F" w:rsidRPr="005C5824">
        <w:lastRenderedPageBreak/>
        <w:t>Australian Universities will be explored as well as opportunities to deliver online courses</w:t>
      </w:r>
      <w:r w:rsidR="001F496A" w:rsidRPr="005C5824">
        <w:t xml:space="preserve">.  </w:t>
      </w:r>
      <w:r w:rsidR="00181DA5" w:rsidRPr="005C5824">
        <w:t xml:space="preserve">A pilot of distance learning is currently being undertaken (one student) and should be monitored closely to assess whether </w:t>
      </w:r>
      <w:r w:rsidR="009E1F24" w:rsidRPr="005C5824">
        <w:t>more flexible modes of study could</w:t>
      </w:r>
      <w:r w:rsidR="00181DA5" w:rsidRPr="005C5824">
        <w:t xml:space="preserve"> be offered by the program in the future.</w:t>
      </w:r>
    </w:p>
    <w:p w14:paraId="506BDA5B" w14:textId="2B99B84A" w:rsidR="004F2E9C" w:rsidRPr="005C5824" w:rsidRDefault="004F2E9C" w:rsidP="004F2E9C">
      <w:pPr>
        <w:spacing w:after="120" w:line="240" w:lineRule="auto"/>
      </w:pPr>
      <w:r w:rsidRPr="005C5824">
        <w:t>The program budget is split between in-Australia costs (covering most expenses related to long-term study in Australia, such as tuition fees and stipends) and in-Vanuatu costs related to the management of the program (including promotion, selection and logistics). DFAT will meet the direct costs of long-term awards in-Australia, while the Managing Contractor (MC) will manage the latter.</w:t>
      </w:r>
    </w:p>
    <w:p w14:paraId="72864BE5" w14:textId="77D867CF" w:rsidR="004F2E9C" w:rsidRPr="005C5824" w:rsidRDefault="004F2E9C" w:rsidP="004F2E9C">
      <w:r w:rsidRPr="005C5824">
        <w:t>Activities will be planned and implemented in a way that will best achieve the outputs, outcomes, objectives and goals. The program will be implemented in accordance with the requirements of the Australia Awards Scholarships Policy Handbook and the Australia Awards Pacific Scholarships Policy Handbook.</w:t>
      </w:r>
    </w:p>
    <w:p w14:paraId="2CCBD4CE" w14:textId="7068C3E8" w:rsidR="004F2E9C" w:rsidRPr="005C5824" w:rsidRDefault="004F2E9C" w:rsidP="00282871">
      <w:pPr>
        <w:spacing w:after="120" w:line="240" w:lineRule="auto"/>
        <w:rPr>
          <w:b/>
        </w:rPr>
      </w:pPr>
      <w:r w:rsidRPr="005C5824">
        <w:rPr>
          <w:b/>
        </w:rPr>
        <w:t>Figure 1: Program Logic</w:t>
      </w:r>
    </w:p>
    <w:p w14:paraId="22960386" w14:textId="6B21F30C" w:rsidR="00282871" w:rsidRDefault="00EB5E00" w:rsidP="00D266FA">
      <w:pPr>
        <w:spacing w:after="120" w:line="240" w:lineRule="auto"/>
        <w:ind w:left="-142"/>
        <w:rPr>
          <w:color w:val="auto"/>
        </w:rPr>
      </w:pPr>
      <w:r>
        <w:rPr>
          <w:noProof/>
          <w:lang w:val="en-AU" w:eastAsia="en-AU"/>
        </w:rPr>
        <w:drawing>
          <wp:inline distT="0" distB="0" distL="0" distR="0" wp14:anchorId="1075F4EB" wp14:editId="2164FCB7">
            <wp:extent cx="6562725" cy="4845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64894" cy="4846803"/>
                    </a:xfrm>
                    <a:prstGeom prst="rect">
                      <a:avLst/>
                    </a:prstGeom>
                  </pic:spPr>
                </pic:pic>
              </a:graphicData>
            </a:graphic>
          </wp:inline>
        </w:drawing>
      </w:r>
    </w:p>
    <w:p w14:paraId="4FDD0863" w14:textId="77345252" w:rsidR="00FA4EAA" w:rsidRPr="005C5824" w:rsidRDefault="00FA4EAA" w:rsidP="00FA4EAA">
      <w:r w:rsidRPr="005C5824">
        <w:t xml:space="preserve">Annual activities include: planning, promotion, selection, placements, mobilisation, management of students on award, alumni engagement, stakeholder engagement and monitoring and evaluation. Further details of annual activities is at </w:t>
      </w:r>
      <w:r w:rsidRPr="005C5824">
        <w:rPr>
          <w:u w:val="single"/>
        </w:rPr>
        <w:t>Annex A</w:t>
      </w:r>
      <w:r w:rsidR="00F6098A" w:rsidRPr="005C5824">
        <w:rPr>
          <w:u w:val="single"/>
        </w:rPr>
        <w:t>.</w:t>
      </w:r>
    </w:p>
    <w:p w14:paraId="6C425A50" w14:textId="77777777" w:rsidR="00052734" w:rsidRPr="005C5824" w:rsidRDefault="00052734" w:rsidP="00406FFF">
      <w:pPr>
        <w:spacing w:before="0" w:after="0" w:line="240" w:lineRule="auto"/>
      </w:pPr>
    </w:p>
    <w:tbl>
      <w:tblPr>
        <w:tblW w:w="10348"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10348"/>
      </w:tblGrid>
      <w:tr w:rsidR="005C5824" w:rsidRPr="005C5824" w14:paraId="0D7B527F" w14:textId="77777777" w:rsidTr="00864320">
        <w:trPr>
          <w:trHeight w:val="360"/>
          <w:tblHeader/>
        </w:trPr>
        <w:tc>
          <w:tcPr>
            <w:tcW w:w="10348" w:type="dxa"/>
            <w:shd w:val="clear" w:color="auto" w:fill="C1E7E0" w:themeFill="accent1" w:themeFillTint="66"/>
          </w:tcPr>
          <w:p w14:paraId="19F95695" w14:textId="77777777" w:rsidR="00794C57" w:rsidRPr="005C5824" w:rsidRDefault="00591FD5" w:rsidP="00591FD5">
            <w:pPr>
              <w:pStyle w:val="BodyText"/>
              <w:spacing w:after="120" w:line="240" w:lineRule="auto"/>
              <w:outlineLvl w:val="0"/>
              <w:rPr>
                <w:rFonts w:asciiTheme="majorHAnsi" w:hAnsiTheme="majorHAnsi"/>
                <w:b/>
                <w:sz w:val="28"/>
              </w:rPr>
            </w:pPr>
            <w:bookmarkStart w:id="5" w:name="_Toc515539469"/>
            <w:r w:rsidRPr="005C5824">
              <w:rPr>
                <w:rFonts w:asciiTheme="majorHAnsi" w:hAnsiTheme="majorHAnsi"/>
                <w:b/>
                <w:sz w:val="28"/>
              </w:rPr>
              <w:t>E</w:t>
            </w:r>
            <w:r w:rsidR="00C55800" w:rsidRPr="005C5824">
              <w:rPr>
                <w:rFonts w:asciiTheme="majorHAnsi" w:hAnsiTheme="majorHAnsi"/>
                <w:b/>
                <w:sz w:val="28"/>
              </w:rPr>
              <w:t xml:space="preserve">: </w:t>
            </w:r>
            <w:r w:rsidR="00794C57" w:rsidRPr="005C5824">
              <w:rPr>
                <w:rFonts w:asciiTheme="majorHAnsi" w:hAnsiTheme="majorHAnsi"/>
                <w:b/>
                <w:sz w:val="28"/>
              </w:rPr>
              <w:t>Implementation Arrangements</w:t>
            </w:r>
            <w:bookmarkEnd w:id="5"/>
          </w:p>
        </w:tc>
      </w:tr>
    </w:tbl>
    <w:p w14:paraId="4F1886BC" w14:textId="17156D8E" w:rsidR="00F16DFC" w:rsidRPr="005C5824" w:rsidRDefault="007E4E48" w:rsidP="004901B9">
      <w:r w:rsidRPr="005C5824">
        <w:t xml:space="preserve">Australia Awards </w:t>
      </w:r>
      <w:r w:rsidR="00F16DFC" w:rsidRPr="005C5824">
        <w:t xml:space="preserve">are managed differently across </w:t>
      </w:r>
      <w:r w:rsidR="00676EAA" w:rsidRPr="005C5824">
        <w:t>the Australian Aid program</w:t>
      </w:r>
      <w:r w:rsidR="00F16DFC" w:rsidRPr="005C5824">
        <w:t>, including in-house management, outsourced manag</w:t>
      </w:r>
      <w:r w:rsidR="00676EAA" w:rsidRPr="005C5824">
        <w:t xml:space="preserve">ement to a </w:t>
      </w:r>
      <w:r w:rsidR="006E181F" w:rsidRPr="005C5824">
        <w:t>MC</w:t>
      </w:r>
      <w:r w:rsidR="00D35B3B" w:rsidRPr="005C5824">
        <w:t xml:space="preserve">, </w:t>
      </w:r>
      <w:r w:rsidR="006E181F" w:rsidRPr="005C5824">
        <w:t>o</w:t>
      </w:r>
      <w:r w:rsidR="00F16DFC" w:rsidRPr="005C5824">
        <w:t>r a combination of the two</w:t>
      </w:r>
      <w:r w:rsidR="00425CB4" w:rsidRPr="005C5824">
        <w:t>,</w:t>
      </w:r>
      <w:r w:rsidR="00D35B3B" w:rsidRPr="005C5824">
        <w:t xml:space="preserve"> or through partner government systems</w:t>
      </w:r>
      <w:r w:rsidR="00676EAA" w:rsidRPr="005C5824">
        <w:t>.</w:t>
      </w:r>
      <w:r w:rsidR="00C63177" w:rsidRPr="005C5824">
        <w:t xml:space="preserve"> </w:t>
      </w:r>
      <w:r w:rsidR="00F16DFC" w:rsidRPr="005C5824">
        <w:t xml:space="preserve">In-house management </w:t>
      </w:r>
      <w:r w:rsidR="007C5FF7">
        <w:t xml:space="preserve">was </w:t>
      </w:r>
      <w:r w:rsidR="00F16DFC" w:rsidRPr="005C5824">
        <w:t xml:space="preserve">administratively burdensome </w:t>
      </w:r>
      <w:r w:rsidR="00676EAA" w:rsidRPr="005C5824">
        <w:t xml:space="preserve">for Port Vila Post </w:t>
      </w:r>
      <w:r w:rsidR="00BE7C1D" w:rsidRPr="005C5824">
        <w:t xml:space="preserve">(2.0 FTE </w:t>
      </w:r>
      <w:r w:rsidR="006E181F" w:rsidRPr="005C5824">
        <w:t xml:space="preserve">at the </w:t>
      </w:r>
      <w:r w:rsidR="00BE7C1D" w:rsidRPr="005C5824">
        <w:t>LE5-6</w:t>
      </w:r>
      <w:r w:rsidR="006E181F" w:rsidRPr="005C5824">
        <w:t xml:space="preserve"> level</w:t>
      </w:r>
      <w:r w:rsidR="007C5FF7">
        <w:t xml:space="preserve"> plus 0.3 </w:t>
      </w:r>
      <w:r w:rsidR="00BE7C1D" w:rsidRPr="005C5824">
        <w:t xml:space="preserve">FTE </w:t>
      </w:r>
      <w:r w:rsidR="006E181F" w:rsidRPr="005C5824">
        <w:t xml:space="preserve">at the </w:t>
      </w:r>
      <w:r w:rsidR="00BE7C1D" w:rsidRPr="005C5824">
        <w:t>EL1</w:t>
      </w:r>
      <w:r w:rsidR="006E181F" w:rsidRPr="005C5824">
        <w:t xml:space="preserve"> level</w:t>
      </w:r>
      <w:r w:rsidR="00BE7C1D" w:rsidRPr="005C5824">
        <w:t xml:space="preserve">) </w:t>
      </w:r>
      <w:r w:rsidR="00F16DFC" w:rsidRPr="005C5824">
        <w:t>and precluded more strategic engagement with stakeholders and meaningful engagement with alumni.</w:t>
      </w:r>
      <w:r w:rsidR="00D35B3B" w:rsidRPr="005C5824">
        <w:t xml:space="preserve"> As described above, working through partner government systems is not feasible in Vanuatu.</w:t>
      </w:r>
      <w:r w:rsidR="00F16DFC" w:rsidRPr="005C5824">
        <w:t xml:space="preserve"> Based on experience </w:t>
      </w:r>
      <w:r w:rsidR="00676EAA" w:rsidRPr="005C5824">
        <w:t xml:space="preserve">of </w:t>
      </w:r>
      <w:r w:rsidR="00F16DFC" w:rsidRPr="005C5824">
        <w:t xml:space="preserve">the Papua New Guinea, Fiji and Tuvalu programs, the preferred modality is to outsource administrative aspects of the program, </w:t>
      </w:r>
      <w:r w:rsidR="00676EAA" w:rsidRPr="005C5824">
        <w:t xml:space="preserve">with staff at the Australian High Commission </w:t>
      </w:r>
      <w:r w:rsidR="00F16DFC" w:rsidRPr="005C5824">
        <w:t>remain</w:t>
      </w:r>
      <w:r w:rsidR="00676EAA" w:rsidRPr="005C5824">
        <w:t>ing</w:t>
      </w:r>
      <w:r w:rsidR="00F16DFC" w:rsidRPr="005C5824">
        <w:t xml:space="preserve"> engaged at the strategic level</w:t>
      </w:r>
      <w:r w:rsidR="00C63177" w:rsidRPr="005C5824">
        <w:t xml:space="preserve"> (with </w:t>
      </w:r>
      <w:r w:rsidR="006D16CA" w:rsidRPr="005C5824">
        <w:t xml:space="preserve">0.3-4 FTE at the LE5-6 level plus 0.2 FTE at the </w:t>
      </w:r>
      <w:r w:rsidR="007C5FF7">
        <w:t>Senior Program Manager/</w:t>
      </w:r>
      <w:r w:rsidR="006D16CA" w:rsidRPr="005C5824">
        <w:t xml:space="preserve">EL1 level </w:t>
      </w:r>
      <w:r w:rsidR="00C63177" w:rsidRPr="005C5824">
        <w:t>dedicated to this work)</w:t>
      </w:r>
      <w:r w:rsidR="00F16DFC" w:rsidRPr="005C5824">
        <w:t>.</w:t>
      </w:r>
    </w:p>
    <w:p w14:paraId="7AF5C7C4" w14:textId="5F53F40E" w:rsidR="00794C57" w:rsidRPr="005C5824" w:rsidRDefault="00F16DFC" w:rsidP="004901B9">
      <w:r w:rsidRPr="005C5824">
        <w:lastRenderedPageBreak/>
        <w:t xml:space="preserve">The annual budget for the program is </w:t>
      </w:r>
      <w:r w:rsidR="00F60B85">
        <w:t xml:space="preserve">approximately </w:t>
      </w:r>
      <w:r w:rsidRPr="005C5824">
        <w:t>A$2 million</w:t>
      </w:r>
      <w:r w:rsidR="003C56A3" w:rsidRPr="005C5824">
        <w:t>, with the majority of funds (approx. 85</w:t>
      </w:r>
      <w:r w:rsidRPr="005C5824">
        <w:t xml:space="preserve"> per cent) paid directly </w:t>
      </w:r>
      <w:r w:rsidR="006E181F" w:rsidRPr="005C5824">
        <w:t>to institutions for course fees</w:t>
      </w:r>
      <w:r w:rsidRPr="005C5824">
        <w:t xml:space="preserve"> and support costs for students on award. Remaining funds</w:t>
      </w:r>
      <w:r w:rsidR="00676EAA" w:rsidRPr="005C5824">
        <w:t xml:space="preserve"> to be channelled through </w:t>
      </w:r>
      <w:r w:rsidR="00C63177" w:rsidRPr="005C5824">
        <w:t xml:space="preserve">the MC </w:t>
      </w:r>
      <w:r w:rsidRPr="005C5824">
        <w:t xml:space="preserve">are for promotion, selection, </w:t>
      </w:r>
      <w:r w:rsidR="006E181F" w:rsidRPr="005C5824">
        <w:t xml:space="preserve">mobilisation, </w:t>
      </w:r>
      <w:r w:rsidRPr="005C5824">
        <w:t>alumni engagement</w:t>
      </w:r>
      <w:r w:rsidR="003C6940" w:rsidRPr="005C5824">
        <w:t>,</w:t>
      </w:r>
      <w:r w:rsidRPr="005C5824">
        <w:t xml:space="preserve"> monitoring</w:t>
      </w:r>
      <w:r w:rsidR="006B7F72" w:rsidRPr="005C5824">
        <w:t xml:space="preserve">, </w:t>
      </w:r>
      <w:r w:rsidRPr="005C5824">
        <w:t>evaluation</w:t>
      </w:r>
      <w:r w:rsidR="006B7F72" w:rsidRPr="005C5824">
        <w:t xml:space="preserve"> and reporting</w:t>
      </w:r>
      <w:r w:rsidRPr="005C5824">
        <w:t>.</w:t>
      </w:r>
    </w:p>
    <w:p w14:paraId="41FD9281" w14:textId="77777777" w:rsidR="002E3D5E" w:rsidRPr="005C5824" w:rsidRDefault="0036492B" w:rsidP="004932DE">
      <w:pPr>
        <w:spacing w:after="120" w:line="240" w:lineRule="auto"/>
        <w:rPr>
          <w:rFonts w:asciiTheme="majorHAnsi" w:hAnsiTheme="majorHAnsi"/>
          <w:b/>
        </w:rPr>
      </w:pPr>
      <w:r w:rsidRPr="005C5824">
        <w:rPr>
          <w:rFonts w:asciiTheme="majorHAnsi" w:hAnsiTheme="majorHAnsi"/>
          <w:b/>
        </w:rPr>
        <w:t>Governance arrangements</w:t>
      </w:r>
    </w:p>
    <w:p w14:paraId="2048BAE4" w14:textId="2FB597E4" w:rsidR="0053121C" w:rsidRPr="005C5824" w:rsidRDefault="0053121C" w:rsidP="004901B9">
      <w:r w:rsidRPr="005C5824">
        <w:t>The Australian High Commission will have overall responsibility for strategic aspects of the program, including contract management, liaison with the MC, approvals, and engagement with partner government (predominantly the Public Service Commission and the Ministry of Education and Training) and other key stakeholders. Australian High Commission staff (including A-based and Senior Program Managers) will also participate in promotions, interviews and alumni activities.</w:t>
      </w:r>
    </w:p>
    <w:p w14:paraId="2EA82D69" w14:textId="6F5288CF" w:rsidR="0036492B" w:rsidRPr="005C5824" w:rsidRDefault="005C5824" w:rsidP="004901B9">
      <w:r>
        <w:t>SC</w:t>
      </w:r>
      <w:r w:rsidR="007E4E48" w:rsidRPr="005C5824">
        <w:t>B</w:t>
      </w:r>
      <w:r w:rsidR="0036492B" w:rsidRPr="005C5824">
        <w:t xml:space="preserve"> will play a role in providing guidance on matters that affect the Australia Awards globally, on award matters, relationships with Australian institutions and management of processes as per the Australia Awards Policy Handbook.</w:t>
      </w:r>
      <w:r w:rsidR="00FE08F6" w:rsidRPr="005C5824">
        <w:t xml:space="preserve"> Australian </w:t>
      </w:r>
      <w:r w:rsidR="008F2412" w:rsidRPr="005C5824">
        <w:t xml:space="preserve">and Pacific </w:t>
      </w:r>
      <w:r w:rsidR="00FE08F6" w:rsidRPr="005C5824">
        <w:t xml:space="preserve">tertiary institutions contracted by DFAT are responsible for </w:t>
      </w:r>
      <w:r w:rsidR="008F2412" w:rsidRPr="005C5824">
        <w:t xml:space="preserve">on-award </w:t>
      </w:r>
      <w:r w:rsidR="00FE08F6" w:rsidRPr="005C5824">
        <w:t>management of awardees.</w:t>
      </w:r>
    </w:p>
    <w:p w14:paraId="04E2DEF4" w14:textId="3482D5E0" w:rsidR="0036492B" w:rsidRPr="005C5824" w:rsidRDefault="0036492B" w:rsidP="004901B9">
      <w:r w:rsidRPr="005C5824">
        <w:t xml:space="preserve">Specified tasks will be outsourced to </w:t>
      </w:r>
      <w:r w:rsidR="00C63177" w:rsidRPr="005C5824">
        <w:t>the MC</w:t>
      </w:r>
      <w:r w:rsidRPr="005C5824">
        <w:t xml:space="preserve">. This approach has been effectively implemented for </w:t>
      </w:r>
      <w:r w:rsidR="00197034" w:rsidRPr="005C5824">
        <w:t xml:space="preserve">Australia Awards for </w:t>
      </w:r>
      <w:r w:rsidRPr="005C5824">
        <w:t xml:space="preserve">many years in other </w:t>
      </w:r>
      <w:r w:rsidR="00785394" w:rsidRPr="005C5824">
        <w:t>countries</w:t>
      </w:r>
      <w:r w:rsidRPr="005C5824">
        <w:t>.</w:t>
      </w:r>
      <w:r w:rsidR="0053121C" w:rsidRPr="005C5824">
        <w:t xml:space="preserve"> The services required from the MC will be limited to administrative, procedural and logistical tasks required to manage the annual cycle of promotion, selection, mobilisation, liaison with tertiary institutions and alumni events as well as M&amp;E. The MC will provide information for talking points and briefing as requested by DFAT.</w:t>
      </w:r>
    </w:p>
    <w:p w14:paraId="4139BB21" w14:textId="3578E0C0" w:rsidR="00FE08F6" w:rsidRPr="005C5824" w:rsidRDefault="00EC0AF2" w:rsidP="004901B9">
      <w:r w:rsidRPr="005C5824">
        <w:t xml:space="preserve">Respective roles and responsibilities are outlined at </w:t>
      </w:r>
      <w:r w:rsidRPr="005C5824">
        <w:rPr>
          <w:u w:val="single"/>
        </w:rPr>
        <w:t xml:space="preserve">Annex </w:t>
      </w:r>
      <w:r w:rsidR="00D53F5E" w:rsidRPr="005C5824">
        <w:rPr>
          <w:u w:val="single"/>
        </w:rPr>
        <w:t>B</w:t>
      </w:r>
      <w:r w:rsidRPr="005C5824">
        <w:t xml:space="preserve">. </w:t>
      </w:r>
      <w:r w:rsidR="0036492B" w:rsidRPr="005C5824">
        <w:t>Close engagement between DFAT and the MC is crucial to manage risk and identify opportunities.</w:t>
      </w:r>
      <w:r w:rsidR="00FE08F6" w:rsidRPr="005C5824">
        <w:t xml:space="preserve"> The </w:t>
      </w:r>
      <w:r w:rsidR="00C63177" w:rsidRPr="005C5824">
        <w:t>Australian High Commission</w:t>
      </w:r>
      <w:r w:rsidR="00FE08F6" w:rsidRPr="005C5824">
        <w:t xml:space="preserve"> and MC will meet at least quarterly to review progress, discuss operational issues, emerging issues and to ensure good communication and coordination.</w:t>
      </w:r>
    </w:p>
    <w:p w14:paraId="33CBD05A" w14:textId="55FD5897" w:rsidR="00B71D37" w:rsidRPr="005C5824" w:rsidRDefault="00B71D37" w:rsidP="004932DE">
      <w:pPr>
        <w:spacing w:after="120" w:line="240" w:lineRule="auto"/>
        <w:rPr>
          <w:rFonts w:asciiTheme="majorHAnsi" w:hAnsiTheme="majorHAnsi"/>
          <w:b/>
        </w:rPr>
      </w:pPr>
      <w:r w:rsidRPr="005C5824">
        <w:rPr>
          <w:rFonts w:asciiTheme="majorHAnsi" w:hAnsiTheme="majorHAnsi"/>
          <w:b/>
        </w:rPr>
        <w:t>Monitoring and Evaluation</w:t>
      </w:r>
    </w:p>
    <w:p w14:paraId="2B670239" w14:textId="22B2D27D" w:rsidR="00833A5C" w:rsidRPr="005C5824" w:rsidRDefault="00833A5C" w:rsidP="00B71D37">
      <w:r w:rsidRPr="005C5824">
        <w:t>A Monitoring and Evaluation</w:t>
      </w:r>
      <w:r w:rsidR="00B71D37" w:rsidRPr="005C5824">
        <w:t xml:space="preserve"> </w:t>
      </w:r>
      <w:r w:rsidRPr="005C5824">
        <w:t>(</w:t>
      </w:r>
      <w:r w:rsidR="00B71D37" w:rsidRPr="005C5824">
        <w:t>M&amp;E</w:t>
      </w:r>
      <w:r w:rsidRPr="005C5824">
        <w:t>)</w:t>
      </w:r>
      <w:r w:rsidR="00B71D37" w:rsidRPr="005C5824">
        <w:t xml:space="preserve"> Plan that aligns with the Australia Awards Global M&amp;E Framework is at </w:t>
      </w:r>
      <w:r w:rsidRPr="005C5824">
        <w:rPr>
          <w:u w:val="single"/>
        </w:rPr>
        <w:t>Annex </w:t>
      </w:r>
      <w:r w:rsidR="00D53F5E" w:rsidRPr="005C5824">
        <w:rPr>
          <w:u w:val="single"/>
        </w:rPr>
        <w:t>C</w:t>
      </w:r>
      <w:r w:rsidR="00B71D37" w:rsidRPr="005C5824">
        <w:t>.</w:t>
      </w:r>
    </w:p>
    <w:p w14:paraId="4B067686" w14:textId="0448E84A" w:rsidR="00851A29" w:rsidRPr="005C5824" w:rsidRDefault="00851A29" w:rsidP="004932DE">
      <w:pPr>
        <w:spacing w:after="120" w:line="240" w:lineRule="auto"/>
        <w:rPr>
          <w:rFonts w:asciiTheme="majorHAnsi" w:hAnsiTheme="majorHAnsi"/>
          <w:b/>
        </w:rPr>
      </w:pPr>
      <w:r w:rsidRPr="005C5824">
        <w:rPr>
          <w:rFonts w:asciiTheme="majorHAnsi" w:hAnsiTheme="majorHAnsi"/>
          <w:b/>
        </w:rPr>
        <w:t>Reporting</w:t>
      </w:r>
    </w:p>
    <w:p w14:paraId="51FDD117" w14:textId="4F7F711A" w:rsidR="00851A29" w:rsidRPr="005C5824" w:rsidRDefault="00851A29" w:rsidP="004901B9">
      <w:r w:rsidRPr="005C5824">
        <w:t xml:space="preserve">The MC will prepare the following reports (with summary data disaggregated by </w:t>
      </w:r>
      <w:r w:rsidR="000E4443" w:rsidRPr="005C5824">
        <w:t>sex</w:t>
      </w:r>
      <w:r w:rsidRPr="005C5824">
        <w:t>, disability and award type):</w:t>
      </w:r>
    </w:p>
    <w:tbl>
      <w:tblPr>
        <w:tblStyle w:val="TableGrid"/>
        <w:tblW w:w="10793" w:type="dxa"/>
        <w:tblInd w:w="-289" w:type="dxa"/>
        <w:tblLayout w:type="fixed"/>
        <w:tblLook w:val="04A0" w:firstRow="1" w:lastRow="0" w:firstColumn="1" w:lastColumn="0" w:noHBand="0" w:noVBand="1"/>
      </w:tblPr>
      <w:tblGrid>
        <w:gridCol w:w="1225"/>
        <w:gridCol w:w="6714"/>
        <w:gridCol w:w="1823"/>
        <w:gridCol w:w="1031"/>
      </w:tblGrid>
      <w:tr w:rsidR="005C5824" w:rsidRPr="005C5824" w14:paraId="2F47E96E" w14:textId="77777777" w:rsidTr="00B1124C">
        <w:tc>
          <w:tcPr>
            <w:tcW w:w="1225" w:type="dxa"/>
            <w:shd w:val="clear" w:color="auto" w:fill="E0F3EF" w:themeFill="accent1" w:themeFillTint="33"/>
          </w:tcPr>
          <w:p w14:paraId="114B341A" w14:textId="77777777" w:rsidR="003C3F98" w:rsidRPr="005C5824" w:rsidRDefault="003C3F98" w:rsidP="009C2087">
            <w:pPr>
              <w:pStyle w:val="BodyText"/>
              <w:spacing w:after="120" w:line="240" w:lineRule="auto"/>
              <w:rPr>
                <w:rFonts w:asciiTheme="majorHAnsi" w:hAnsiTheme="majorHAnsi"/>
                <w:sz w:val="21"/>
                <w:szCs w:val="21"/>
              </w:rPr>
            </w:pPr>
            <w:r w:rsidRPr="005C5824">
              <w:rPr>
                <w:rFonts w:asciiTheme="majorHAnsi" w:hAnsiTheme="majorHAnsi"/>
                <w:sz w:val="21"/>
                <w:szCs w:val="21"/>
              </w:rPr>
              <w:t>Report</w:t>
            </w:r>
          </w:p>
        </w:tc>
        <w:tc>
          <w:tcPr>
            <w:tcW w:w="6714" w:type="dxa"/>
            <w:shd w:val="clear" w:color="auto" w:fill="E0F3EF" w:themeFill="accent1" w:themeFillTint="33"/>
          </w:tcPr>
          <w:p w14:paraId="0D1A8DA2" w14:textId="77777777" w:rsidR="003C3F98" w:rsidRPr="005C5824" w:rsidRDefault="003C3F98" w:rsidP="003C3F98">
            <w:pPr>
              <w:pStyle w:val="BodyText"/>
              <w:tabs>
                <w:tab w:val="left" w:pos="4095"/>
              </w:tabs>
              <w:spacing w:after="120" w:line="240" w:lineRule="auto"/>
              <w:rPr>
                <w:rFonts w:asciiTheme="majorHAnsi" w:hAnsiTheme="majorHAnsi"/>
                <w:sz w:val="21"/>
                <w:szCs w:val="21"/>
              </w:rPr>
            </w:pPr>
            <w:r w:rsidRPr="005C5824">
              <w:rPr>
                <w:rFonts w:asciiTheme="majorHAnsi" w:hAnsiTheme="majorHAnsi"/>
                <w:sz w:val="21"/>
                <w:szCs w:val="21"/>
              </w:rPr>
              <w:t>Content</w:t>
            </w:r>
          </w:p>
        </w:tc>
        <w:tc>
          <w:tcPr>
            <w:tcW w:w="1823" w:type="dxa"/>
            <w:shd w:val="clear" w:color="auto" w:fill="E0F3EF" w:themeFill="accent1" w:themeFillTint="33"/>
          </w:tcPr>
          <w:p w14:paraId="4EB83E91" w14:textId="77777777" w:rsidR="003C3F98" w:rsidRPr="005C5824" w:rsidRDefault="003C3F98" w:rsidP="009C2087">
            <w:pPr>
              <w:pStyle w:val="BodyText"/>
              <w:spacing w:after="120" w:line="240" w:lineRule="auto"/>
              <w:rPr>
                <w:rFonts w:asciiTheme="majorHAnsi" w:hAnsiTheme="majorHAnsi"/>
                <w:sz w:val="21"/>
                <w:szCs w:val="21"/>
              </w:rPr>
            </w:pPr>
            <w:r w:rsidRPr="005C5824">
              <w:rPr>
                <w:rFonts w:asciiTheme="majorHAnsi" w:hAnsiTheme="majorHAnsi"/>
                <w:sz w:val="21"/>
                <w:szCs w:val="21"/>
              </w:rPr>
              <w:t>Format</w:t>
            </w:r>
          </w:p>
        </w:tc>
        <w:tc>
          <w:tcPr>
            <w:tcW w:w="1031" w:type="dxa"/>
            <w:shd w:val="clear" w:color="auto" w:fill="E0F3EF" w:themeFill="accent1" w:themeFillTint="33"/>
          </w:tcPr>
          <w:p w14:paraId="0D451BCB" w14:textId="77777777" w:rsidR="003C3F98" w:rsidRPr="005C5824" w:rsidRDefault="003C3F98" w:rsidP="009C2087">
            <w:pPr>
              <w:pStyle w:val="BodyText"/>
              <w:spacing w:after="120" w:line="240" w:lineRule="auto"/>
              <w:rPr>
                <w:rFonts w:asciiTheme="majorHAnsi" w:hAnsiTheme="majorHAnsi"/>
                <w:sz w:val="21"/>
                <w:szCs w:val="21"/>
              </w:rPr>
            </w:pPr>
            <w:r w:rsidRPr="005C5824">
              <w:rPr>
                <w:rFonts w:asciiTheme="majorHAnsi" w:hAnsiTheme="majorHAnsi"/>
                <w:sz w:val="21"/>
                <w:szCs w:val="21"/>
              </w:rPr>
              <w:t>Timing</w:t>
            </w:r>
          </w:p>
        </w:tc>
      </w:tr>
      <w:tr w:rsidR="005C5824" w:rsidRPr="005C5824" w14:paraId="2920E222" w14:textId="77777777" w:rsidTr="00B1124C">
        <w:tc>
          <w:tcPr>
            <w:tcW w:w="1225" w:type="dxa"/>
          </w:tcPr>
          <w:p w14:paraId="74D2DAA7" w14:textId="57E81A1E" w:rsidR="003C3F98" w:rsidRPr="005C5824" w:rsidRDefault="003C3F98" w:rsidP="007C5FF7">
            <w:pPr>
              <w:pStyle w:val="BodyText"/>
              <w:spacing w:after="120" w:line="240" w:lineRule="auto"/>
              <w:rPr>
                <w:sz w:val="20"/>
                <w:szCs w:val="20"/>
              </w:rPr>
            </w:pPr>
            <w:r w:rsidRPr="005C5824">
              <w:rPr>
                <w:sz w:val="20"/>
                <w:szCs w:val="20"/>
              </w:rPr>
              <w:t>Annual plan</w:t>
            </w:r>
            <w:r w:rsidR="007C5FF7">
              <w:rPr>
                <w:sz w:val="20"/>
                <w:szCs w:val="20"/>
              </w:rPr>
              <w:t>s</w:t>
            </w:r>
          </w:p>
        </w:tc>
        <w:tc>
          <w:tcPr>
            <w:tcW w:w="6714" w:type="dxa"/>
          </w:tcPr>
          <w:p w14:paraId="581B33A0" w14:textId="2267FA63" w:rsidR="003C3F98" w:rsidRPr="005C5824" w:rsidRDefault="00816C78" w:rsidP="00816C78">
            <w:pPr>
              <w:pStyle w:val="BodyText"/>
              <w:numPr>
                <w:ilvl w:val="0"/>
                <w:numId w:val="16"/>
              </w:numPr>
              <w:spacing w:after="120" w:line="240" w:lineRule="auto"/>
              <w:ind w:left="170" w:hanging="215"/>
              <w:contextualSpacing/>
              <w:rPr>
                <w:sz w:val="20"/>
                <w:szCs w:val="20"/>
              </w:rPr>
            </w:pPr>
            <w:r>
              <w:rPr>
                <w:sz w:val="20"/>
                <w:szCs w:val="20"/>
              </w:rPr>
              <w:t>Annual w</w:t>
            </w:r>
            <w:r w:rsidR="003C3F98" w:rsidRPr="005C5824">
              <w:rPr>
                <w:sz w:val="20"/>
                <w:szCs w:val="20"/>
              </w:rPr>
              <w:t>ork plan and budget, outlining staffing, supervision</w:t>
            </w:r>
            <w:r w:rsidR="00197034" w:rsidRPr="005C5824">
              <w:rPr>
                <w:sz w:val="20"/>
                <w:szCs w:val="20"/>
              </w:rPr>
              <w:t>,</w:t>
            </w:r>
            <w:r w:rsidR="003C3F98" w:rsidRPr="005C5824">
              <w:rPr>
                <w:sz w:val="20"/>
                <w:szCs w:val="20"/>
              </w:rPr>
              <w:t xml:space="preserve"> quality assurance arrangements</w:t>
            </w:r>
            <w:r w:rsidR="00CA140D" w:rsidRPr="005C5824">
              <w:rPr>
                <w:sz w:val="20"/>
                <w:szCs w:val="20"/>
              </w:rPr>
              <w:t>, risk management</w:t>
            </w:r>
            <w:r w:rsidR="00197034" w:rsidRPr="005C5824">
              <w:rPr>
                <w:sz w:val="20"/>
                <w:szCs w:val="20"/>
              </w:rPr>
              <w:t xml:space="preserve"> and annual review / lessons learned processes</w:t>
            </w:r>
          </w:p>
        </w:tc>
        <w:tc>
          <w:tcPr>
            <w:tcW w:w="1823" w:type="dxa"/>
          </w:tcPr>
          <w:p w14:paraId="26985DD0" w14:textId="560F29FC" w:rsidR="003C3F98" w:rsidRPr="005C5824" w:rsidRDefault="003C3F98" w:rsidP="003C3F98">
            <w:pPr>
              <w:pStyle w:val="BodyText"/>
              <w:spacing w:after="120" w:line="240" w:lineRule="auto"/>
              <w:rPr>
                <w:sz w:val="20"/>
                <w:szCs w:val="20"/>
              </w:rPr>
            </w:pPr>
            <w:r w:rsidRPr="005C5824">
              <w:rPr>
                <w:sz w:val="20"/>
                <w:szCs w:val="20"/>
              </w:rPr>
              <w:t>Word doc</w:t>
            </w:r>
            <w:r w:rsidR="00B1124C">
              <w:rPr>
                <w:sz w:val="20"/>
                <w:szCs w:val="20"/>
              </w:rPr>
              <w:t xml:space="preserve"> </w:t>
            </w:r>
            <w:r w:rsidRPr="005C5824">
              <w:rPr>
                <w:sz w:val="20"/>
                <w:szCs w:val="20"/>
              </w:rPr>
              <w:t>via email</w:t>
            </w:r>
          </w:p>
          <w:p w14:paraId="3E53C27D" w14:textId="77777777" w:rsidR="003C3F98" w:rsidRPr="005C5824" w:rsidRDefault="003C3F98" w:rsidP="003C3F98">
            <w:pPr>
              <w:pStyle w:val="BodyText"/>
              <w:spacing w:after="120" w:line="240" w:lineRule="auto"/>
              <w:rPr>
                <w:sz w:val="20"/>
                <w:szCs w:val="20"/>
              </w:rPr>
            </w:pPr>
            <w:r w:rsidRPr="005C5824">
              <w:rPr>
                <w:sz w:val="20"/>
                <w:szCs w:val="20"/>
              </w:rPr>
              <w:t>Max. 10 pages</w:t>
            </w:r>
          </w:p>
        </w:tc>
        <w:tc>
          <w:tcPr>
            <w:tcW w:w="1031" w:type="dxa"/>
          </w:tcPr>
          <w:p w14:paraId="2E590BA7" w14:textId="5166ECB6" w:rsidR="003C3F98" w:rsidRPr="005C5824" w:rsidRDefault="00B1124C" w:rsidP="00B1124C">
            <w:pPr>
              <w:pStyle w:val="BodyText"/>
              <w:spacing w:after="120" w:line="240" w:lineRule="auto"/>
              <w:rPr>
                <w:sz w:val="20"/>
                <w:szCs w:val="20"/>
              </w:rPr>
            </w:pPr>
            <w:r>
              <w:rPr>
                <w:sz w:val="20"/>
                <w:szCs w:val="20"/>
              </w:rPr>
              <w:t>31 Jul</w:t>
            </w:r>
          </w:p>
        </w:tc>
      </w:tr>
      <w:tr w:rsidR="00816C78" w:rsidRPr="005C5824" w14:paraId="39AA0200" w14:textId="77777777" w:rsidTr="00B1124C">
        <w:tc>
          <w:tcPr>
            <w:tcW w:w="1225" w:type="dxa"/>
          </w:tcPr>
          <w:p w14:paraId="49A17CB1" w14:textId="6A250260" w:rsidR="00816C78" w:rsidRPr="005C5824" w:rsidRDefault="00816C78" w:rsidP="007C5FF7">
            <w:pPr>
              <w:pStyle w:val="BodyText"/>
              <w:spacing w:after="120" w:line="240" w:lineRule="auto"/>
              <w:rPr>
                <w:sz w:val="20"/>
                <w:szCs w:val="20"/>
              </w:rPr>
            </w:pPr>
            <w:r>
              <w:rPr>
                <w:sz w:val="20"/>
                <w:szCs w:val="20"/>
              </w:rPr>
              <w:t>Promotions plans</w:t>
            </w:r>
          </w:p>
        </w:tc>
        <w:tc>
          <w:tcPr>
            <w:tcW w:w="6714" w:type="dxa"/>
          </w:tcPr>
          <w:p w14:paraId="095F78A4" w14:textId="6B6BF58C" w:rsidR="00816C78" w:rsidRDefault="00816C78" w:rsidP="00197034">
            <w:pPr>
              <w:pStyle w:val="BodyText"/>
              <w:numPr>
                <w:ilvl w:val="0"/>
                <w:numId w:val="16"/>
              </w:numPr>
              <w:spacing w:after="120" w:line="240" w:lineRule="auto"/>
              <w:ind w:left="170" w:hanging="215"/>
              <w:contextualSpacing/>
              <w:rPr>
                <w:sz w:val="20"/>
                <w:szCs w:val="20"/>
              </w:rPr>
            </w:pPr>
            <w:r>
              <w:rPr>
                <w:sz w:val="20"/>
                <w:szCs w:val="20"/>
              </w:rPr>
              <w:t>Outline promotions activities, demonstrating how this responds to analysis of application from the previous year.</w:t>
            </w:r>
          </w:p>
          <w:p w14:paraId="533963E6" w14:textId="676E6DFB" w:rsidR="00816C78" w:rsidRPr="005C5824" w:rsidRDefault="00816C78" w:rsidP="00816C78">
            <w:pPr>
              <w:pStyle w:val="BodyText"/>
              <w:numPr>
                <w:ilvl w:val="0"/>
                <w:numId w:val="16"/>
              </w:numPr>
              <w:spacing w:after="120" w:line="240" w:lineRule="auto"/>
              <w:ind w:left="170" w:hanging="215"/>
              <w:contextualSpacing/>
              <w:rPr>
                <w:sz w:val="20"/>
                <w:szCs w:val="20"/>
              </w:rPr>
            </w:pPr>
            <w:r>
              <w:rPr>
                <w:sz w:val="20"/>
                <w:szCs w:val="20"/>
              </w:rPr>
              <w:t>Provide all draft promotional materials</w:t>
            </w:r>
          </w:p>
        </w:tc>
        <w:tc>
          <w:tcPr>
            <w:tcW w:w="1823" w:type="dxa"/>
          </w:tcPr>
          <w:p w14:paraId="5BBA40F9" w14:textId="5385E384" w:rsidR="00816C78" w:rsidRPr="005C5824" w:rsidRDefault="00816C78" w:rsidP="00B1124C">
            <w:pPr>
              <w:pStyle w:val="BodyText"/>
              <w:spacing w:after="120" w:line="240" w:lineRule="auto"/>
              <w:rPr>
                <w:sz w:val="20"/>
                <w:szCs w:val="20"/>
              </w:rPr>
            </w:pPr>
            <w:r>
              <w:rPr>
                <w:sz w:val="20"/>
                <w:szCs w:val="20"/>
              </w:rPr>
              <w:t>Word doc(s) via email</w:t>
            </w:r>
          </w:p>
        </w:tc>
        <w:tc>
          <w:tcPr>
            <w:tcW w:w="1031" w:type="dxa"/>
          </w:tcPr>
          <w:p w14:paraId="135B892B" w14:textId="6AB3694A" w:rsidR="00816C78" w:rsidRPr="005C5824" w:rsidRDefault="00816C78" w:rsidP="00B1124C">
            <w:pPr>
              <w:pStyle w:val="BodyText"/>
              <w:spacing w:after="120" w:line="240" w:lineRule="auto"/>
              <w:rPr>
                <w:sz w:val="20"/>
                <w:szCs w:val="20"/>
              </w:rPr>
            </w:pPr>
            <w:r>
              <w:rPr>
                <w:sz w:val="20"/>
                <w:szCs w:val="20"/>
              </w:rPr>
              <w:t>15 Dec</w:t>
            </w:r>
          </w:p>
        </w:tc>
      </w:tr>
      <w:tr w:rsidR="00816C78" w:rsidRPr="005C5824" w14:paraId="01299E6A" w14:textId="77777777" w:rsidTr="00B1124C">
        <w:tc>
          <w:tcPr>
            <w:tcW w:w="1225" w:type="dxa"/>
          </w:tcPr>
          <w:p w14:paraId="330D6A5F" w14:textId="2F65578D" w:rsidR="00816C78" w:rsidRDefault="00816C78" w:rsidP="007C5FF7">
            <w:pPr>
              <w:pStyle w:val="BodyText"/>
              <w:spacing w:after="120" w:line="240" w:lineRule="auto"/>
              <w:rPr>
                <w:sz w:val="20"/>
                <w:szCs w:val="20"/>
              </w:rPr>
            </w:pPr>
            <w:r>
              <w:rPr>
                <w:sz w:val="20"/>
                <w:szCs w:val="20"/>
              </w:rPr>
              <w:t>Selection plans</w:t>
            </w:r>
          </w:p>
        </w:tc>
        <w:tc>
          <w:tcPr>
            <w:tcW w:w="6714" w:type="dxa"/>
          </w:tcPr>
          <w:p w14:paraId="00460B4D" w14:textId="1C1523DA" w:rsidR="00816C78" w:rsidRDefault="00816C78" w:rsidP="00197034">
            <w:pPr>
              <w:pStyle w:val="BodyText"/>
              <w:numPr>
                <w:ilvl w:val="0"/>
                <w:numId w:val="16"/>
              </w:numPr>
              <w:spacing w:after="120" w:line="240" w:lineRule="auto"/>
              <w:ind w:left="170" w:hanging="215"/>
              <w:contextualSpacing/>
              <w:rPr>
                <w:sz w:val="20"/>
                <w:szCs w:val="20"/>
              </w:rPr>
            </w:pPr>
            <w:r>
              <w:rPr>
                <w:sz w:val="20"/>
                <w:szCs w:val="20"/>
              </w:rPr>
              <w:t>Provision of longlist</w:t>
            </w:r>
          </w:p>
          <w:p w14:paraId="19D46CDE" w14:textId="77777777" w:rsidR="00816C78" w:rsidRDefault="00816C78" w:rsidP="00197034">
            <w:pPr>
              <w:pStyle w:val="BodyText"/>
              <w:numPr>
                <w:ilvl w:val="0"/>
                <w:numId w:val="16"/>
              </w:numPr>
              <w:spacing w:after="120" w:line="240" w:lineRule="auto"/>
              <w:ind w:left="170" w:hanging="215"/>
              <w:contextualSpacing/>
              <w:rPr>
                <w:sz w:val="20"/>
                <w:szCs w:val="20"/>
              </w:rPr>
            </w:pPr>
            <w:r>
              <w:rPr>
                <w:sz w:val="20"/>
                <w:szCs w:val="20"/>
              </w:rPr>
              <w:t>Indicative interview schedule + arrangements</w:t>
            </w:r>
          </w:p>
          <w:p w14:paraId="24B6840C" w14:textId="2DF319CB" w:rsidR="00816C78" w:rsidRDefault="00816C78" w:rsidP="00197034">
            <w:pPr>
              <w:pStyle w:val="BodyText"/>
              <w:numPr>
                <w:ilvl w:val="0"/>
                <w:numId w:val="16"/>
              </w:numPr>
              <w:spacing w:after="120" w:line="240" w:lineRule="auto"/>
              <w:ind w:left="170" w:hanging="215"/>
              <w:contextualSpacing/>
              <w:rPr>
                <w:sz w:val="20"/>
                <w:szCs w:val="20"/>
              </w:rPr>
            </w:pPr>
            <w:r>
              <w:rPr>
                <w:sz w:val="20"/>
                <w:szCs w:val="20"/>
              </w:rPr>
              <w:t>Assessment panel materials (scoresheets, etc.)</w:t>
            </w:r>
          </w:p>
        </w:tc>
        <w:tc>
          <w:tcPr>
            <w:tcW w:w="1823" w:type="dxa"/>
          </w:tcPr>
          <w:p w14:paraId="08F4896B" w14:textId="439F941C" w:rsidR="00816C78" w:rsidRDefault="00816C78" w:rsidP="00B1124C">
            <w:pPr>
              <w:pStyle w:val="BodyText"/>
              <w:spacing w:after="120" w:line="240" w:lineRule="auto"/>
              <w:rPr>
                <w:sz w:val="20"/>
                <w:szCs w:val="20"/>
              </w:rPr>
            </w:pPr>
            <w:r>
              <w:rPr>
                <w:sz w:val="20"/>
                <w:szCs w:val="20"/>
              </w:rPr>
              <w:t>Word or Excel doc(s) via email</w:t>
            </w:r>
          </w:p>
        </w:tc>
        <w:tc>
          <w:tcPr>
            <w:tcW w:w="1031" w:type="dxa"/>
          </w:tcPr>
          <w:p w14:paraId="2848852C" w14:textId="77A0879A" w:rsidR="00816C78" w:rsidRDefault="00816C78" w:rsidP="00B1124C">
            <w:pPr>
              <w:pStyle w:val="BodyText"/>
              <w:spacing w:after="120" w:line="240" w:lineRule="auto"/>
              <w:rPr>
                <w:sz w:val="20"/>
                <w:szCs w:val="20"/>
              </w:rPr>
            </w:pPr>
            <w:r>
              <w:rPr>
                <w:sz w:val="20"/>
                <w:szCs w:val="20"/>
              </w:rPr>
              <w:t>20 Apr</w:t>
            </w:r>
          </w:p>
        </w:tc>
      </w:tr>
      <w:tr w:rsidR="00816C78" w:rsidRPr="005C5824" w14:paraId="50B24284" w14:textId="77777777" w:rsidTr="00B1124C">
        <w:tc>
          <w:tcPr>
            <w:tcW w:w="1225" w:type="dxa"/>
          </w:tcPr>
          <w:p w14:paraId="6277B65C" w14:textId="00701824" w:rsidR="00816C78" w:rsidRDefault="00816C78" w:rsidP="00B1124C">
            <w:pPr>
              <w:pStyle w:val="BodyText"/>
              <w:spacing w:after="120" w:line="240" w:lineRule="auto"/>
              <w:rPr>
                <w:sz w:val="20"/>
                <w:szCs w:val="20"/>
              </w:rPr>
            </w:pPr>
            <w:r>
              <w:rPr>
                <w:sz w:val="20"/>
                <w:szCs w:val="20"/>
              </w:rPr>
              <w:t>Alumni plans</w:t>
            </w:r>
          </w:p>
        </w:tc>
        <w:tc>
          <w:tcPr>
            <w:tcW w:w="6714" w:type="dxa"/>
          </w:tcPr>
          <w:p w14:paraId="259BE202" w14:textId="3503172D" w:rsidR="00816C78" w:rsidRDefault="00816C78" w:rsidP="00197034">
            <w:pPr>
              <w:pStyle w:val="BodyText"/>
              <w:numPr>
                <w:ilvl w:val="0"/>
                <w:numId w:val="16"/>
              </w:numPr>
              <w:spacing w:after="120" w:line="240" w:lineRule="auto"/>
              <w:ind w:left="170" w:hanging="215"/>
              <w:contextualSpacing/>
              <w:rPr>
                <w:sz w:val="20"/>
                <w:szCs w:val="20"/>
              </w:rPr>
            </w:pPr>
            <w:r>
              <w:rPr>
                <w:sz w:val="20"/>
                <w:szCs w:val="20"/>
              </w:rPr>
              <w:t>Indicative plan for alumni events (topic, facilitators, arrangements)</w:t>
            </w:r>
          </w:p>
        </w:tc>
        <w:tc>
          <w:tcPr>
            <w:tcW w:w="1823" w:type="dxa"/>
          </w:tcPr>
          <w:p w14:paraId="683A207F" w14:textId="49D90ED5" w:rsidR="00816C78" w:rsidRDefault="00816C78" w:rsidP="00B1124C">
            <w:pPr>
              <w:pStyle w:val="BodyText"/>
              <w:spacing w:after="120" w:line="240" w:lineRule="auto"/>
              <w:rPr>
                <w:sz w:val="20"/>
                <w:szCs w:val="20"/>
              </w:rPr>
            </w:pPr>
            <w:r>
              <w:rPr>
                <w:sz w:val="20"/>
                <w:szCs w:val="20"/>
              </w:rPr>
              <w:t>Word doc</w:t>
            </w:r>
            <w:r w:rsidR="00B1124C">
              <w:rPr>
                <w:sz w:val="20"/>
                <w:szCs w:val="20"/>
              </w:rPr>
              <w:t xml:space="preserve"> </w:t>
            </w:r>
            <w:r>
              <w:rPr>
                <w:sz w:val="20"/>
                <w:szCs w:val="20"/>
              </w:rPr>
              <w:t>via email</w:t>
            </w:r>
          </w:p>
        </w:tc>
        <w:tc>
          <w:tcPr>
            <w:tcW w:w="1031" w:type="dxa"/>
          </w:tcPr>
          <w:p w14:paraId="18FD83B4" w14:textId="2EC04681" w:rsidR="00816C78" w:rsidRDefault="00816C78" w:rsidP="00B1124C">
            <w:pPr>
              <w:pStyle w:val="BodyText"/>
              <w:spacing w:after="120" w:line="240" w:lineRule="auto"/>
              <w:rPr>
                <w:sz w:val="20"/>
                <w:szCs w:val="20"/>
              </w:rPr>
            </w:pPr>
            <w:r>
              <w:rPr>
                <w:sz w:val="20"/>
                <w:szCs w:val="20"/>
              </w:rPr>
              <w:t xml:space="preserve">15 Dec </w:t>
            </w:r>
            <w:r w:rsidR="00B1124C">
              <w:rPr>
                <w:sz w:val="20"/>
                <w:szCs w:val="20"/>
              </w:rPr>
              <w:t>&amp; 15 </w:t>
            </w:r>
            <w:r>
              <w:rPr>
                <w:sz w:val="20"/>
                <w:szCs w:val="20"/>
              </w:rPr>
              <w:t>Jun</w:t>
            </w:r>
          </w:p>
        </w:tc>
      </w:tr>
      <w:tr w:rsidR="005C5824" w:rsidRPr="005C5824" w14:paraId="3DD4D573" w14:textId="77777777" w:rsidTr="00B1124C">
        <w:tc>
          <w:tcPr>
            <w:tcW w:w="1225" w:type="dxa"/>
          </w:tcPr>
          <w:p w14:paraId="6D8FEB5F" w14:textId="6090FCFD" w:rsidR="003C3F98" w:rsidRPr="005C5824" w:rsidRDefault="003C3F98" w:rsidP="009C2087">
            <w:pPr>
              <w:pStyle w:val="BodyText"/>
              <w:spacing w:after="120" w:line="240" w:lineRule="auto"/>
              <w:rPr>
                <w:sz w:val="20"/>
                <w:szCs w:val="20"/>
              </w:rPr>
            </w:pPr>
            <w:r w:rsidRPr="005C5824">
              <w:rPr>
                <w:sz w:val="20"/>
                <w:szCs w:val="20"/>
              </w:rPr>
              <w:t>6 monthly report</w:t>
            </w:r>
            <w:r w:rsidR="00C46008">
              <w:rPr>
                <w:sz w:val="20"/>
                <w:szCs w:val="20"/>
              </w:rPr>
              <w:t>s</w:t>
            </w:r>
          </w:p>
        </w:tc>
        <w:tc>
          <w:tcPr>
            <w:tcW w:w="6714" w:type="dxa"/>
          </w:tcPr>
          <w:p w14:paraId="45457E1E" w14:textId="77777777" w:rsidR="003C3F98" w:rsidRPr="005C5824" w:rsidRDefault="003C3F98" w:rsidP="00340D7B">
            <w:pPr>
              <w:pStyle w:val="BodyText"/>
              <w:numPr>
                <w:ilvl w:val="0"/>
                <w:numId w:val="16"/>
              </w:numPr>
              <w:spacing w:after="120" w:line="240" w:lineRule="auto"/>
              <w:ind w:left="170" w:hanging="215"/>
              <w:contextualSpacing/>
              <w:rPr>
                <w:sz w:val="20"/>
                <w:szCs w:val="20"/>
              </w:rPr>
            </w:pPr>
            <w:r w:rsidRPr="005C5824">
              <w:rPr>
                <w:sz w:val="20"/>
                <w:szCs w:val="20"/>
              </w:rPr>
              <w:t>Summary of activities and progress against the annual plan</w:t>
            </w:r>
            <w:r w:rsidR="00340D7B" w:rsidRPr="005C5824">
              <w:rPr>
                <w:sz w:val="20"/>
                <w:szCs w:val="20"/>
              </w:rPr>
              <w:t>.</w:t>
            </w:r>
          </w:p>
          <w:p w14:paraId="1604203D" w14:textId="77777777" w:rsidR="003C3F98" w:rsidRPr="005C5824" w:rsidRDefault="003C3F98" w:rsidP="00340D7B">
            <w:pPr>
              <w:pStyle w:val="BodyText"/>
              <w:numPr>
                <w:ilvl w:val="0"/>
                <w:numId w:val="16"/>
              </w:numPr>
              <w:spacing w:after="120" w:line="240" w:lineRule="auto"/>
              <w:ind w:left="170" w:hanging="215"/>
              <w:contextualSpacing/>
              <w:rPr>
                <w:sz w:val="20"/>
                <w:szCs w:val="20"/>
              </w:rPr>
            </w:pPr>
            <w:r w:rsidRPr="005C5824">
              <w:rPr>
                <w:sz w:val="20"/>
                <w:szCs w:val="20"/>
              </w:rPr>
              <w:t>Summary of unplanned implementation issues addressed, and adjustments made to the program as a consequence</w:t>
            </w:r>
            <w:r w:rsidR="00340D7B" w:rsidRPr="005C5824">
              <w:rPr>
                <w:sz w:val="20"/>
                <w:szCs w:val="20"/>
              </w:rPr>
              <w:t>.</w:t>
            </w:r>
          </w:p>
          <w:p w14:paraId="375587BF" w14:textId="77777777" w:rsidR="003C3F98" w:rsidRPr="005C5824" w:rsidRDefault="003C3F98" w:rsidP="00340D7B">
            <w:pPr>
              <w:pStyle w:val="BodyText"/>
              <w:numPr>
                <w:ilvl w:val="0"/>
                <w:numId w:val="16"/>
              </w:numPr>
              <w:spacing w:after="120" w:line="240" w:lineRule="auto"/>
              <w:ind w:left="170" w:hanging="215"/>
              <w:contextualSpacing/>
              <w:rPr>
                <w:sz w:val="20"/>
                <w:szCs w:val="20"/>
              </w:rPr>
            </w:pPr>
            <w:r w:rsidRPr="005C5824">
              <w:rPr>
                <w:sz w:val="20"/>
                <w:szCs w:val="20"/>
              </w:rPr>
              <w:t>Progress against the M&amp;E Plan, including any desired adjustments</w:t>
            </w:r>
            <w:r w:rsidR="00340D7B" w:rsidRPr="005C5824">
              <w:rPr>
                <w:sz w:val="20"/>
                <w:szCs w:val="20"/>
              </w:rPr>
              <w:t>.</w:t>
            </w:r>
          </w:p>
          <w:p w14:paraId="67457E14" w14:textId="216BC240" w:rsidR="003C3F98" w:rsidRPr="005C5824" w:rsidRDefault="003C3F98" w:rsidP="00340D7B">
            <w:pPr>
              <w:pStyle w:val="BodyText"/>
              <w:numPr>
                <w:ilvl w:val="0"/>
                <w:numId w:val="16"/>
              </w:numPr>
              <w:spacing w:after="120" w:line="240" w:lineRule="auto"/>
              <w:ind w:left="170" w:hanging="215"/>
              <w:contextualSpacing/>
              <w:rPr>
                <w:sz w:val="20"/>
                <w:szCs w:val="20"/>
              </w:rPr>
            </w:pPr>
            <w:r w:rsidRPr="005C5824">
              <w:rPr>
                <w:sz w:val="20"/>
                <w:szCs w:val="20"/>
              </w:rPr>
              <w:t>Statistics and analysis of activities (including selection, variations, completions and alumni events</w:t>
            </w:r>
            <w:r w:rsidR="006B7F72" w:rsidRPr="005C5824">
              <w:rPr>
                <w:sz w:val="20"/>
                <w:szCs w:val="20"/>
              </w:rPr>
              <w:t xml:space="preserve"> and case studies</w:t>
            </w:r>
            <w:r w:rsidRPr="005C5824">
              <w:rPr>
                <w:sz w:val="20"/>
                <w:szCs w:val="20"/>
              </w:rPr>
              <w:t>)</w:t>
            </w:r>
            <w:r w:rsidR="00340D7B" w:rsidRPr="005C5824">
              <w:rPr>
                <w:sz w:val="20"/>
                <w:szCs w:val="20"/>
              </w:rPr>
              <w:t>.</w:t>
            </w:r>
          </w:p>
          <w:p w14:paraId="7002C158" w14:textId="77777777" w:rsidR="003C3F98" w:rsidRPr="005C5824" w:rsidRDefault="003C3F98" w:rsidP="00340D7B">
            <w:pPr>
              <w:pStyle w:val="BodyText"/>
              <w:numPr>
                <w:ilvl w:val="0"/>
                <w:numId w:val="16"/>
              </w:numPr>
              <w:spacing w:after="120" w:line="240" w:lineRule="auto"/>
              <w:ind w:left="170" w:hanging="215"/>
              <w:contextualSpacing/>
              <w:rPr>
                <w:sz w:val="20"/>
                <w:szCs w:val="20"/>
              </w:rPr>
            </w:pPr>
            <w:r w:rsidRPr="005C5824">
              <w:rPr>
                <w:sz w:val="20"/>
                <w:szCs w:val="20"/>
              </w:rPr>
              <w:t>Summary of expenditure</w:t>
            </w:r>
            <w:r w:rsidR="00340D7B" w:rsidRPr="005C5824">
              <w:rPr>
                <w:sz w:val="20"/>
                <w:szCs w:val="20"/>
              </w:rPr>
              <w:t>.</w:t>
            </w:r>
          </w:p>
          <w:p w14:paraId="34C04561" w14:textId="77777777" w:rsidR="003C3F98" w:rsidRPr="005C5824" w:rsidRDefault="003C3F98" w:rsidP="00340D7B">
            <w:pPr>
              <w:pStyle w:val="BodyText"/>
              <w:numPr>
                <w:ilvl w:val="0"/>
                <w:numId w:val="16"/>
              </w:numPr>
              <w:spacing w:after="120" w:line="240" w:lineRule="auto"/>
              <w:ind w:left="170" w:hanging="215"/>
              <w:contextualSpacing/>
              <w:rPr>
                <w:sz w:val="20"/>
                <w:szCs w:val="20"/>
              </w:rPr>
            </w:pPr>
            <w:r w:rsidRPr="005C5824">
              <w:rPr>
                <w:sz w:val="20"/>
                <w:szCs w:val="20"/>
              </w:rPr>
              <w:t>Updates to the risk register as required</w:t>
            </w:r>
            <w:r w:rsidR="00340D7B" w:rsidRPr="005C5824">
              <w:rPr>
                <w:sz w:val="20"/>
                <w:szCs w:val="20"/>
              </w:rPr>
              <w:t>.</w:t>
            </w:r>
          </w:p>
        </w:tc>
        <w:tc>
          <w:tcPr>
            <w:tcW w:w="1823" w:type="dxa"/>
          </w:tcPr>
          <w:p w14:paraId="4F32702E" w14:textId="03911381" w:rsidR="003C3F98" w:rsidRPr="005C5824" w:rsidRDefault="003C3F98" w:rsidP="009C2087">
            <w:pPr>
              <w:pStyle w:val="BodyText"/>
              <w:spacing w:after="120" w:line="240" w:lineRule="auto"/>
              <w:rPr>
                <w:sz w:val="20"/>
                <w:szCs w:val="20"/>
              </w:rPr>
            </w:pPr>
            <w:r w:rsidRPr="005C5824">
              <w:rPr>
                <w:sz w:val="20"/>
                <w:szCs w:val="20"/>
              </w:rPr>
              <w:t>Word doc via email</w:t>
            </w:r>
          </w:p>
          <w:p w14:paraId="5D067BA9" w14:textId="77777777" w:rsidR="003C3F98" w:rsidRPr="005C5824" w:rsidRDefault="003C3F98" w:rsidP="009C2087">
            <w:pPr>
              <w:pStyle w:val="BodyText"/>
              <w:spacing w:after="120" w:line="240" w:lineRule="auto"/>
              <w:rPr>
                <w:sz w:val="20"/>
                <w:szCs w:val="20"/>
              </w:rPr>
            </w:pPr>
            <w:r w:rsidRPr="005C5824">
              <w:rPr>
                <w:sz w:val="20"/>
                <w:szCs w:val="20"/>
              </w:rPr>
              <w:t>Max. 10 pages</w:t>
            </w:r>
          </w:p>
        </w:tc>
        <w:tc>
          <w:tcPr>
            <w:tcW w:w="1031" w:type="dxa"/>
          </w:tcPr>
          <w:p w14:paraId="5CC2F243" w14:textId="01F98213" w:rsidR="003C3F98" w:rsidRPr="005C5824" w:rsidRDefault="007C5FF7" w:rsidP="00B1124C">
            <w:pPr>
              <w:pStyle w:val="BodyText"/>
              <w:spacing w:after="120" w:line="240" w:lineRule="auto"/>
              <w:rPr>
                <w:sz w:val="20"/>
                <w:szCs w:val="20"/>
              </w:rPr>
            </w:pPr>
            <w:r>
              <w:rPr>
                <w:sz w:val="20"/>
                <w:szCs w:val="20"/>
              </w:rPr>
              <w:t>15 Jul</w:t>
            </w:r>
            <w:r w:rsidR="00B1124C">
              <w:rPr>
                <w:sz w:val="20"/>
                <w:szCs w:val="20"/>
              </w:rPr>
              <w:t xml:space="preserve"> &amp; 15</w:t>
            </w:r>
            <w:r w:rsidR="00C46008">
              <w:rPr>
                <w:sz w:val="20"/>
                <w:szCs w:val="20"/>
              </w:rPr>
              <w:t> Jan</w:t>
            </w:r>
          </w:p>
        </w:tc>
      </w:tr>
      <w:tr w:rsidR="005C5824" w:rsidRPr="005C5824" w14:paraId="079C95E9" w14:textId="77777777" w:rsidTr="00B1124C">
        <w:tc>
          <w:tcPr>
            <w:tcW w:w="1225" w:type="dxa"/>
          </w:tcPr>
          <w:p w14:paraId="290D5FD7" w14:textId="77777777" w:rsidR="003C3F98" w:rsidRPr="005C5824" w:rsidRDefault="003C3F98" w:rsidP="009C2087">
            <w:pPr>
              <w:pStyle w:val="BodyText"/>
              <w:spacing w:after="120" w:line="240" w:lineRule="auto"/>
              <w:rPr>
                <w:sz w:val="20"/>
                <w:szCs w:val="20"/>
              </w:rPr>
            </w:pPr>
            <w:r w:rsidRPr="005C5824">
              <w:rPr>
                <w:sz w:val="20"/>
                <w:szCs w:val="20"/>
              </w:rPr>
              <w:t>Program completion report</w:t>
            </w:r>
          </w:p>
        </w:tc>
        <w:tc>
          <w:tcPr>
            <w:tcW w:w="6714" w:type="dxa"/>
          </w:tcPr>
          <w:p w14:paraId="7CEBE110" w14:textId="33929AB7" w:rsidR="003C3F98" w:rsidRPr="005C5824" w:rsidRDefault="003C3F98" w:rsidP="00340D7B">
            <w:pPr>
              <w:pStyle w:val="BodyText"/>
              <w:numPr>
                <w:ilvl w:val="0"/>
                <w:numId w:val="16"/>
              </w:numPr>
              <w:spacing w:after="120" w:line="240" w:lineRule="auto"/>
              <w:ind w:left="170" w:hanging="215"/>
              <w:contextualSpacing/>
              <w:rPr>
                <w:sz w:val="20"/>
                <w:szCs w:val="20"/>
              </w:rPr>
            </w:pPr>
            <w:r w:rsidRPr="005C5824">
              <w:rPr>
                <w:sz w:val="20"/>
                <w:szCs w:val="20"/>
              </w:rPr>
              <w:t xml:space="preserve">As per 6 monthly report, but for the entire </w:t>
            </w:r>
            <w:r w:rsidR="00AD399A" w:rsidRPr="005C5824">
              <w:rPr>
                <w:sz w:val="20"/>
                <w:szCs w:val="20"/>
              </w:rPr>
              <w:t>3-year program</w:t>
            </w:r>
            <w:r w:rsidRPr="005C5824">
              <w:rPr>
                <w:sz w:val="20"/>
                <w:szCs w:val="20"/>
              </w:rPr>
              <w:t xml:space="preserve"> period.</w:t>
            </w:r>
          </w:p>
          <w:p w14:paraId="01228464" w14:textId="2440E6D1" w:rsidR="00957D6E" w:rsidRPr="005C5824" w:rsidRDefault="00957D6E" w:rsidP="00340D7B">
            <w:pPr>
              <w:pStyle w:val="BodyText"/>
              <w:numPr>
                <w:ilvl w:val="0"/>
                <w:numId w:val="16"/>
              </w:numPr>
              <w:spacing w:after="120" w:line="240" w:lineRule="auto"/>
              <w:ind w:left="170" w:hanging="215"/>
              <w:contextualSpacing/>
              <w:rPr>
                <w:sz w:val="20"/>
                <w:szCs w:val="20"/>
              </w:rPr>
            </w:pPr>
            <w:r w:rsidRPr="005C5824">
              <w:rPr>
                <w:sz w:val="20"/>
                <w:szCs w:val="20"/>
              </w:rPr>
              <w:t>Handover arrangements should also be detailed in an Annex.</w:t>
            </w:r>
          </w:p>
        </w:tc>
        <w:tc>
          <w:tcPr>
            <w:tcW w:w="1823" w:type="dxa"/>
          </w:tcPr>
          <w:p w14:paraId="243D962B" w14:textId="0966A724" w:rsidR="003C3F98" w:rsidRPr="005C5824" w:rsidRDefault="003C3F98" w:rsidP="009C2087">
            <w:pPr>
              <w:pStyle w:val="BodyText"/>
              <w:spacing w:after="120" w:line="240" w:lineRule="auto"/>
              <w:rPr>
                <w:sz w:val="20"/>
                <w:szCs w:val="20"/>
              </w:rPr>
            </w:pPr>
            <w:r w:rsidRPr="005C5824">
              <w:rPr>
                <w:sz w:val="20"/>
                <w:szCs w:val="20"/>
              </w:rPr>
              <w:t>Word doc via email</w:t>
            </w:r>
          </w:p>
          <w:p w14:paraId="69B6BF0B" w14:textId="77777777" w:rsidR="003C3F98" w:rsidRPr="005C5824" w:rsidRDefault="003C3F98" w:rsidP="009C2087">
            <w:pPr>
              <w:pStyle w:val="BodyText"/>
              <w:spacing w:after="120" w:line="240" w:lineRule="auto"/>
              <w:rPr>
                <w:sz w:val="20"/>
                <w:szCs w:val="20"/>
              </w:rPr>
            </w:pPr>
            <w:r w:rsidRPr="005C5824">
              <w:rPr>
                <w:sz w:val="20"/>
                <w:szCs w:val="20"/>
              </w:rPr>
              <w:t>Max. 20 pages</w:t>
            </w:r>
          </w:p>
        </w:tc>
        <w:tc>
          <w:tcPr>
            <w:tcW w:w="1031" w:type="dxa"/>
          </w:tcPr>
          <w:p w14:paraId="22CC0305" w14:textId="24C4BE4D" w:rsidR="003C3F98" w:rsidRPr="005C5824" w:rsidRDefault="003C3F98" w:rsidP="003C6940">
            <w:pPr>
              <w:pStyle w:val="BodyText"/>
              <w:spacing w:after="120" w:line="240" w:lineRule="auto"/>
              <w:rPr>
                <w:sz w:val="20"/>
                <w:szCs w:val="20"/>
              </w:rPr>
            </w:pPr>
            <w:r w:rsidRPr="005C5824">
              <w:rPr>
                <w:sz w:val="20"/>
                <w:szCs w:val="20"/>
              </w:rPr>
              <w:t>3</w:t>
            </w:r>
            <w:r w:rsidR="00AD399A" w:rsidRPr="005C5824">
              <w:rPr>
                <w:sz w:val="20"/>
                <w:szCs w:val="20"/>
              </w:rPr>
              <w:t>1</w:t>
            </w:r>
            <w:r w:rsidRPr="005C5824">
              <w:rPr>
                <w:sz w:val="20"/>
                <w:szCs w:val="20"/>
              </w:rPr>
              <w:t xml:space="preserve"> </w:t>
            </w:r>
            <w:r w:rsidR="005D5E2B" w:rsidRPr="005C5824">
              <w:rPr>
                <w:sz w:val="20"/>
                <w:szCs w:val="20"/>
              </w:rPr>
              <w:t>Dec</w:t>
            </w:r>
            <w:r w:rsidRPr="005C5824">
              <w:rPr>
                <w:sz w:val="20"/>
                <w:szCs w:val="20"/>
              </w:rPr>
              <w:t xml:space="preserve"> </w:t>
            </w:r>
            <w:r w:rsidR="00131317" w:rsidRPr="005C5824">
              <w:rPr>
                <w:sz w:val="20"/>
                <w:szCs w:val="20"/>
              </w:rPr>
              <w:t>2021</w:t>
            </w:r>
          </w:p>
        </w:tc>
      </w:tr>
      <w:tr w:rsidR="005C5824" w:rsidRPr="005C5824" w14:paraId="3D00D183" w14:textId="77777777" w:rsidTr="00B1124C">
        <w:tc>
          <w:tcPr>
            <w:tcW w:w="1225" w:type="dxa"/>
          </w:tcPr>
          <w:p w14:paraId="1D2FBCE0" w14:textId="77777777" w:rsidR="003C3F98" w:rsidRPr="005C5824" w:rsidRDefault="003C3F98" w:rsidP="009C2087">
            <w:pPr>
              <w:pStyle w:val="BodyText"/>
              <w:spacing w:after="120" w:line="240" w:lineRule="auto"/>
              <w:rPr>
                <w:sz w:val="20"/>
                <w:szCs w:val="20"/>
              </w:rPr>
            </w:pPr>
            <w:r w:rsidRPr="005C5824">
              <w:rPr>
                <w:sz w:val="20"/>
                <w:szCs w:val="20"/>
              </w:rPr>
              <w:lastRenderedPageBreak/>
              <w:t>Exception reports</w:t>
            </w:r>
          </w:p>
        </w:tc>
        <w:tc>
          <w:tcPr>
            <w:tcW w:w="6714" w:type="dxa"/>
          </w:tcPr>
          <w:p w14:paraId="4B6D9DD0" w14:textId="77777777" w:rsidR="003C3F98" w:rsidRPr="005C5824" w:rsidRDefault="003C3F98" w:rsidP="00340D7B">
            <w:pPr>
              <w:pStyle w:val="BodyText"/>
              <w:numPr>
                <w:ilvl w:val="0"/>
                <w:numId w:val="16"/>
              </w:numPr>
              <w:spacing w:after="120" w:line="240" w:lineRule="auto"/>
              <w:ind w:left="170" w:hanging="215"/>
              <w:contextualSpacing/>
              <w:rPr>
                <w:sz w:val="20"/>
                <w:szCs w:val="20"/>
              </w:rPr>
            </w:pPr>
            <w:r w:rsidRPr="005C5824">
              <w:rPr>
                <w:sz w:val="20"/>
                <w:szCs w:val="20"/>
              </w:rPr>
              <w:t>Advise DFAT of any major, unforeseen, occurring or emerging issues or publicity likely to have an impact (positive or negative) on the operation of the program</w:t>
            </w:r>
            <w:r w:rsidR="00340D7B" w:rsidRPr="005C5824">
              <w:rPr>
                <w:sz w:val="20"/>
                <w:szCs w:val="20"/>
              </w:rPr>
              <w:t>.</w:t>
            </w:r>
          </w:p>
          <w:p w14:paraId="58202D36" w14:textId="77777777" w:rsidR="003C3F98" w:rsidRPr="005C5824" w:rsidRDefault="003C3F98" w:rsidP="00340D7B">
            <w:pPr>
              <w:pStyle w:val="BodyText"/>
              <w:numPr>
                <w:ilvl w:val="0"/>
                <w:numId w:val="16"/>
              </w:numPr>
              <w:spacing w:after="120" w:line="240" w:lineRule="auto"/>
              <w:ind w:left="170" w:hanging="215"/>
              <w:contextualSpacing/>
              <w:rPr>
                <w:sz w:val="20"/>
                <w:szCs w:val="20"/>
              </w:rPr>
            </w:pPr>
            <w:r w:rsidRPr="005C5824">
              <w:rPr>
                <w:sz w:val="20"/>
                <w:szCs w:val="20"/>
              </w:rPr>
              <w:t>Proposed solutions / management strategies to resolve outstanding issues identified</w:t>
            </w:r>
            <w:r w:rsidR="00340D7B" w:rsidRPr="005C5824">
              <w:rPr>
                <w:sz w:val="20"/>
                <w:szCs w:val="20"/>
              </w:rPr>
              <w:t>.</w:t>
            </w:r>
          </w:p>
          <w:p w14:paraId="474C167E" w14:textId="7E612869" w:rsidR="00EA2939" w:rsidRPr="005C5824" w:rsidRDefault="00EA2939" w:rsidP="00EA2939">
            <w:pPr>
              <w:pStyle w:val="BodyText"/>
              <w:numPr>
                <w:ilvl w:val="0"/>
                <w:numId w:val="16"/>
              </w:numPr>
              <w:spacing w:after="120" w:line="240" w:lineRule="auto"/>
              <w:ind w:left="170" w:hanging="215"/>
              <w:contextualSpacing/>
              <w:rPr>
                <w:sz w:val="20"/>
                <w:szCs w:val="20"/>
              </w:rPr>
            </w:pPr>
            <w:r w:rsidRPr="005C5824">
              <w:rPr>
                <w:sz w:val="20"/>
                <w:szCs w:val="20"/>
              </w:rPr>
              <w:t>Expenditure over a particular period, if requested by DFAT</w:t>
            </w:r>
          </w:p>
        </w:tc>
        <w:tc>
          <w:tcPr>
            <w:tcW w:w="1823" w:type="dxa"/>
          </w:tcPr>
          <w:p w14:paraId="4D07C91F" w14:textId="77777777" w:rsidR="003C3F98" w:rsidRPr="005C5824" w:rsidRDefault="003C3F98" w:rsidP="003C3F98">
            <w:pPr>
              <w:pStyle w:val="BodyText"/>
              <w:spacing w:after="120" w:line="240" w:lineRule="auto"/>
              <w:rPr>
                <w:sz w:val="20"/>
                <w:szCs w:val="20"/>
              </w:rPr>
            </w:pPr>
            <w:r w:rsidRPr="005C5824">
              <w:rPr>
                <w:sz w:val="20"/>
                <w:szCs w:val="20"/>
              </w:rPr>
              <w:t>Email</w:t>
            </w:r>
          </w:p>
        </w:tc>
        <w:tc>
          <w:tcPr>
            <w:tcW w:w="1031" w:type="dxa"/>
          </w:tcPr>
          <w:p w14:paraId="3EBB92F0" w14:textId="5D961FAC" w:rsidR="003C3F98" w:rsidRPr="005C5824" w:rsidRDefault="003C3F98" w:rsidP="00B1124C">
            <w:pPr>
              <w:pStyle w:val="BodyText"/>
              <w:spacing w:after="120" w:line="240" w:lineRule="auto"/>
              <w:rPr>
                <w:sz w:val="20"/>
                <w:szCs w:val="20"/>
              </w:rPr>
            </w:pPr>
            <w:r w:rsidRPr="005C5824">
              <w:rPr>
                <w:sz w:val="20"/>
                <w:szCs w:val="20"/>
              </w:rPr>
              <w:t>Upon identification of unforeseen issues</w:t>
            </w:r>
          </w:p>
        </w:tc>
      </w:tr>
    </w:tbl>
    <w:p w14:paraId="63725DA3" w14:textId="5C56259B" w:rsidR="003C3F98" w:rsidRPr="005C5824" w:rsidRDefault="003C3F98" w:rsidP="004932DE">
      <w:pPr>
        <w:spacing w:after="120" w:line="240" w:lineRule="auto"/>
        <w:rPr>
          <w:rFonts w:asciiTheme="majorHAnsi" w:hAnsiTheme="majorHAnsi"/>
          <w:b/>
        </w:rPr>
      </w:pPr>
      <w:r w:rsidRPr="005C5824">
        <w:rPr>
          <w:rFonts w:asciiTheme="majorHAnsi" w:hAnsiTheme="majorHAnsi"/>
          <w:b/>
        </w:rPr>
        <w:t>Sustainability</w:t>
      </w:r>
    </w:p>
    <w:p w14:paraId="08BC188E" w14:textId="0D04B898" w:rsidR="005928F6" w:rsidRPr="005C5824" w:rsidRDefault="003C3F98" w:rsidP="005D5E2B">
      <w:pPr>
        <w:spacing w:after="0"/>
      </w:pPr>
      <w:r w:rsidRPr="005C5824">
        <w:t xml:space="preserve">Sustainability for the </w:t>
      </w:r>
      <w:r w:rsidR="00CA140D" w:rsidRPr="005C5824">
        <w:t xml:space="preserve">investment </w:t>
      </w:r>
      <w:r w:rsidR="00340D7B" w:rsidRPr="005C5824">
        <w:t xml:space="preserve">will be assessed </w:t>
      </w:r>
      <w:r w:rsidRPr="005C5824">
        <w:t xml:space="preserve">in terms of the capacity of the </w:t>
      </w:r>
      <w:r w:rsidR="00CA140D" w:rsidRPr="005C5824">
        <w:t xml:space="preserve">alumni </w:t>
      </w:r>
      <w:r w:rsidRPr="005C5824">
        <w:t>to use and transfer their new skills and knowledge, and to be used effectively by their employing organisations.</w:t>
      </w:r>
      <w:r w:rsidR="005928F6" w:rsidRPr="005C5824">
        <w:t xml:space="preserve"> The program will address sustainability on two levels:</w:t>
      </w:r>
    </w:p>
    <w:p w14:paraId="3306AD5E" w14:textId="77777777" w:rsidR="00340D7B" w:rsidRPr="005C5824" w:rsidRDefault="006E181F"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t</w:t>
      </w:r>
      <w:r w:rsidR="005928F6" w:rsidRPr="005C5824">
        <w:rPr>
          <w:rFonts w:asciiTheme="minorHAnsi" w:hAnsiTheme="minorHAnsi"/>
          <w:sz w:val="22"/>
          <w:lang w:eastAsia="en-US"/>
        </w:rPr>
        <w:t>argeting and selection of candidates</w:t>
      </w:r>
      <w:r w:rsidR="00340D7B" w:rsidRPr="005C5824">
        <w:rPr>
          <w:rFonts w:asciiTheme="minorHAnsi" w:hAnsiTheme="minorHAnsi"/>
          <w:sz w:val="22"/>
          <w:lang w:eastAsia="en-US"/>
        </w:rPr>
        <w:t>, and engagement with key stakeholders (including employers)</w:t>
      </w:r>
      <w:r w:rsidR="005928F6" w:rsidRPr="005C5824">
        <w:rPr>
          <w:rFonts w:asciiTheme="minorHAnsi" w:hAnsiTheme="minorHAnsi"/>
          <w:sz w:val="22"/>
          <w:lang w:eastAsia="en-US"/>
        </w:rPr>
        <w:t xml:space="preserve"> to maximise the likelihood of awardees contributing to Vanuatu’s development for the long term</w:t>
      </w:r>
      <w:r w:rsidRPr="005C5824">
        <w:rPr>
          <w:rFonts w:asciiTheme="minorHAnsi" w:hAnsiTheme="minorHAnsi"/>
          <w:sz w:val="22"/>
          <w:lang w:eastAsia="en-US"/>
        </w:rPr>
        <w:t>; and</w:t>
      </w:r>
    </w:p>
    <w:p w14:paraId="2235C851" w14:textId="4006C792" w:rsidR="005928F6" w:rsidRPr="005C5824" w:rsidRDefault="006E181F"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a</w:t>
      </w:r>
      <w:r w:rsidR="005928F6" w:rsidRPr="005C5824">
        <w:rPr>
          <w:rFonts w:asciiTheme="minorHAnsi" w:hAnsiTheme="minorHAnsi"/>
          <w:sz w:val="22"/>
          <w:lang w:eastAsia="en-US"/>
        </w:rPr>
        <w:t>ligning priority fields of study to the Australian aid program to maximise the future benefits of alumni engagement.</w:t>
      </w:r>
    </w:p>
    <w:p w14:paraId="2E3ECADD" w14:textId="5D257937" w:rsidR="00833A5C" w:rsidRPr="005C5824" w:rsidRDefault="00833A5C" w:rsidP="00833A5C">
      <w:r w:rsidRPr="005C5824">
        <w:t>Efforts to maximise sustainability will be through stakeholder engagement (including with employers to help alumni get appropriate jobs) and alumni engagement activities.</w:t>
      </w:r>
    </w:p>
    <w:p w14:paraId="5CD604D5" w14:textId="6CFFD943" w:rsidR="00833A5C" w:rsidRPr="005C5824" w:rsidRDefault="00833A5C" w:rsidP="00833A5C">
      <w:r w:rsidRPr="005C5824">
        <w:t>The Vanuatu Government will not be able to offer a merit based, quality scholarship program in the foreseeable future and we anticipate that Australia Awards will continue to operate outside the Vanuatu Government system.</w:t>
      </w:r>
    </w:p>
    <w:p w14:paraId="045284C0" w14:textId="02E6DEE1" w:rsidR="005928F6" w:rsidRPr="005C5824" w:rsidRDefault="005928F6" w:rsidP="004932DE">
      <w:pPr>
        <w:spacing w:after="120" w:line="240" w:lineRule="auto"/>
        <w:rPr>
          <w:rFonts w:asciiTheme="majorHAnsi" w:hAnsiTheme="majorHAnsi"/>
          <w:b/>
        </w:rPr>
      </w:pPr>
      <w:r w:rsidRPr="005C5824">
        <w:rPr>
          <w:rFonts w:asciiTheme="majorHAnsi" w:hAnsiTheme="majorHAnsi"/>
          <w:b/>
        </w:rPr>
        <w:t>Gender equality</w:t>
      </w:r>
    </w:p>
    <w:p w14:paraId="41916D38" w14:textId="77777777" w:rsidR="00AF3E6E" w:rsidRPr="005C5824" w:rsidRDefault="00AF3E6E" w:rsidP="000E4443">
      <w:r w:rsidRPr="005C5824">
        <w:t>Gender equality is a significant objective of the program, particularly women’s leadership. This is because:</w:t>
      </w:r>
    </w:p>
    <w:p w14:paraId="68309876" w14:textId="77777777" w:rsidR="00AF3E6E" w:rsidRPr="005C5824" w:rsidRDefault="00AF3E6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women and men should have equal opportunities in social, political and professional life;</w:t>
      </w:r>
    </w:p>
    <w:p w14:paraId="579BD0E2" w14:textId="77777777" w:rsidR="00D771FC" w:rsidRPr="005C5824" w:rsidRDefault="00AF3E6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the economy as a whole benefits when women are able to develop their full potential (this is a virtuous cycle, with women more likely to allocate earnings to the education of children, particularly girls, and women in leadership positions influence the aspirations of subsequent generations)</w:t>
      </w:r>
      <w:r w:rsidR="00D771FC" w:rsidRPr="005C5824">
        <w:rPr>
          <w:rFonts w:asciiTheme="minorHAnsi" w:hAnsiTheme="minorHAnsi"/>
          <w:sz w:val="22"/>
          <w:lang w:eastAsia="en-US"/>
        </w:rPr>
        <w:t>; and</w:t>
      </w:r>
    </w:p>
    <w:p w14:paraId="6285B3F7" w14:textId="1F22634B" w:rsidR="00AF3E6E" w:rsidRPr="005C5824" w:rsidRDefault="00AF3E6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 xml:space="preserve">women are more likely to consider and prioritise a broader range of needs and interests (including of other women, children, families </w:t>
      </w:r>
      <w:r w:rsidR="00D771FC" w:rsidRPr="005C5824">
        <w:rPr>
          <w:rFonts w:asciiTheme="minorHAnsi" w:hAnsiTheme="minorHAnsi"/>
          <w:sz w:val="22"/>
          <w:lang w:eastAsia="en-US"/>
        </w:rPr>
        <w:t>and marginalised groups) to address Vanuatu’s development challenges.</w:t>
      </w:r>
    </w:p>
    <w:p w14:paraId="5F6DBD7E" w14:textId="07CEF703" w:rsidR="000E4443" w:rsidRPr="005C5824" w:rsidRDefault="000E4443" w:rsidP="000E4443">
      <w:r w:rsidRPr="005C5824">
        <w:t xml:space="preserve">The program will actively provide opportunities for women </w:t>
      </w:r>
      <w:r w:rsidR="00AF3E6E" w:rsidRPr="005C5824">
        <w:t xml:space="preserve">and men </w:t>
      </w:r>
      <w:r w:rsidRPr="005C5824">
        <w:t>to study, and ongoing professional development support through alumni engagement activities. Stakeholder engagement will also focus on appropriate employment opportunities</w:t>
      </w:r>
      <w:r w:rsidR="00717E5F" w:rsidRPr="005C5824">
        <w:t xml:space="preserve"> for women</w:t>
      </w:r>
      <w:r w:rsidRPr="005C5824">
        <w:t>. Through engagement with awardees and alumni, the program will also encourage men to be gender equality champions.</w:t>
      </w:r>
    </w:p>
    <w:p w14:paraId="6CBB6B80" w14:textId="36324162" w:rsidR="00AA30B7" w:rsidRPr="005C5824" w:rsidRDefault="00B94BA3" w:rsidP="005D5E2B">
      <w:pPr>
        <w:pStyle w:val="BodyText"/>
        <w:spacing w:after="0" w:line="240" w:lineRule="auto"/>
        <w:contextualSpacing/>
        <w:rPr>
          <w:szCs w:val="21"/>
        </w:rPr>
      </w:pPr>
      <w:r w:rsidRPr="005C5824">
        <w:rPr>
          <w:szCs w:val="21"/>
        </w:rPr>
        <w:t>Gender equality w</w:t>
      </w:r>
      <w:r w:rsidR="00957D6E" w:rsidRPr="005C5824">
        <w:rPr>
          <w:szCs w:val="21"/>
        </w:rPr>
        <w:t>ill be considered at all stages</w:t>
      </w:r>
      <w:r w:rsidR="00D771FC" w:rsidRPr="005C5824">
        <w:rPr>
          <w:szCs w:val="21"/>
        </w:rPr>
        <w:t xml:space="preserve"> of the program</w:t>
      </w:r>
      <w:r w:rsidR="00957D6E" w:rsidRPr="005C5824">
        <w:rPr>
          <w:szCs w:val="21"/>
        </w:rPr>
        <w:t>, including</w:t>
      </w:r>
      <w:r w:rsidRPr="005C5824">
        <w:rPr>
          <w:szCs w:val="21"/>
        </w:rPr>
        <w:t>:</w:t>
      </w:r>
    </w:p>
    <w:p w14:paraId="6D17FEB7" w14:textId="77777777" w:rsidR="00FB7D88" w:rsidRPr="005C5824" w:rsidRDefault="00FB7D88"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Promotion: ensure materials encourage women to apply, and highlight female alumni achievements</w:t>
      </w:r>
      <w:r w:rsidR="006E181F" w:rsidRPr="005C5824">
        <w:rPr>
          <w:rFonts w:asciiTheme="minorHAnsi" w:hAnsiTheme="minorHAnsi"/>
          <w:sz w:val="22"/>
          <w:lang w:eastAsia="en-US"/>
        </w:rPr>
        <w:t>.</w:t>
      </w:r>
    </w:p>
    <w:p w14:paraId="4C939E01" w14:textId="77777777" w:rsidR="00B94BA3" w:rsidRPr="005C5824" w:rsidRDefault="00B94BA3"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Selection: Ensure interview panels include male and female members; ensure at least 50 per cent of succe</w:t>
      </w:r>
      <w:r w:rsidR="002D2115" w:rsidRPr="005C5824">
        <w:rPr>
          <w:rFonts w:asciiTheme="minorHAnsi" w:hAnsiTheme="minorHAnsi"/>
          <w:sz w:val="22"/>
          <w:lang w:eastAsia="en-US"/>
        </w:rPr>
        <w:t>ssful candidates are female.</w:t>
      </w:r>
    </w:p>
    <w:p w14:paraId="56215904" w14:textId="77777777" w:rsidR="00B94BA3" w:rsidRPr="005C5824" w:rsidRDefault="00B94BA3"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Mobilisation</w:t>
      </w:r>
      <w:r w:rsidR="002D2115" w:rsidRPr="005C5824">
        <w:rPr>
          <w:rFonts w:asciiTheme="minorHAnsi" w:hAnsiTheme="minorHAnsi"/>
          <w:sz w:val="22"/>
          <w:lang w:eastAsia="en-US"/>
        </w:rPr>
        <w:t>: P</w:t>
      </w:r>
      <w:r w:rsidRPr="005C5824">
        <w:rPr>
          <w:rFonts w:asciiTheme="minorHAnsi" w:hAnsiTheme="minorHAnsi"/>
          <w:sz w:val="22"/>
          <w:lang w:eastAsia="en-US"/>
        </w:rPr>
        <w:t xml:space="preserve">re-departure training </w:t>
      </w:r>
      <w:r w:rsidR="004F5055" w:rsidRPr="005C5824">
        <w:rPr>
          <w:rFonts w:asciiTheme="minorHAnsi" w:hAnsiTheme="minorHAnsi"/>
          <w:sz w:val="22"/>
          <w:lang w:eastAsia="en-US"/>
        </w:rPr>
        <w:t xml:space="preserve">(for awardees and spouses) </w:t>
      </w:r>
      <w:r w:rsidRPr="005C5824">
        <w:rPr>
          <w:rFonts w:asciiTheme="minorHAnsi" w:hAnsiTheme="minorHAnsi"/>
          <w:sz w:val="22"/>
          <w:lang w:eastAsia="en-US"/>
        </w:rPr>
        <w:t>will include sessions on violence against women (in partnership with the Vanuatu Women’s Centre) and women’s rights – targeting both male and female awardees.</w:t>
      </w:r>
    </w:p>
    <w:p w14:paraId="5860C153" w14:textId="77777777" w:rsidR="00B94BA3" w:rsidRPr="005C5824" w:rsidRDefault="00B94BA3"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 xml:space="preserve">On award </w:t>
      </w:r>
      <w:r w:rsidR="00FB7D88" w:rsidRPr="005C5824">
        <w:rPr>
          <w:rFonts w:asciiTheme="minorHAnsi" w:hAnsiTheme="minorHAnsi"/>
          <w:sz w:val="22"/>
          <w:lang w:eastAsia="en-US"/>
        </w:rPr>
        <w:t>support</w:t>
      </w:r>
      <w:r w:rsidR="002D2115" w:rsidRPr="005C5824">
        <w:rPr>
          <w:rFonts w:asciiTheme="minorHAnsi" w:hAnsiTheme="minorHAnsi"/>
          <w:sz w:val="22"/>
          <w:lang w:eastAsia="en-US"/>
        </w:rPr>
        <w:t>:</w:t>
      </w:r>
      <w:r w:rsidRPr="005C5824">
        <w:rPr>
          <w:rFonts w:asciiTheme="minorHAnsi" w:hAnsiTheme="minorHAnsi"/>
          <w:sz w:val="22"/>
          <w:lang w:eastAsia="en-US"/>
        </w:rPr>
        <w:t xml:space="preserve"> </w:t>
      </w:r>
      <w:r w:rsidR="002D2115" w:rsidRPr="005C5824">
        <w:rPr>
          <w:rFonts w:asciiTheme="minorHAnsi" w:hAnsiTheme="minorHAnsi"/>
          <w:sz w:val="22"/>
          <w:lang w:eastAsia="en-US"/>
        </w:rPr>
        <w:t>S</w:t>
      </w:r>
      <w:r w:rsidRPr="005C5824">
        <w:rPr>
          <w:rFonts w:asciiTheme="minorHAnsi" w:hAnsiTheme="minorHAnsi"/>
          <w:sz w:val="22"/>
          <w:lang w:eastAsia="en-US"/>
        </w:rPr>
        <w:t xml:space="preserve">eek flexibility and alternative arrangements </w:t>
      </w:r>
      <w:r w:rsidR="00FB7D88" w:rsidRPr="005C5824">
        <w:rPr>
          <w:rFonts w:asciiTheme="minorHAnsi" w:hAnsiTheme="minorHAnsi"/>
          <w:sz w:val="22"/>
          <w:lang w:eastAsia="en-US"/>
        </w:rPr>
        <w:t xml:space="preserve">(including flexible study options) </w:t>
      </w:r>
      <w:r w:rsidRPr="005C5824">
        <w:rPr>
          <w:rFonts w:asciiTheme="minorHAnsi" w:hAnsiTheme="minorHAnsi"/>
          <w:sz w:val="22"/>
          <w:lang w:eastAsia="en-US"/>
        </w:rPr>
        <w:t>to support specific needs of women</w:t>
      </w:r>
      <w:r w:rsidR="00340D7B" w:rsidRPr="005C5824">
        <w:rPr>
          <w:rFonts w:asciiTheme="minorHAnsi" w:hAnsiTheme="minorHAnsi"/>
          <w:sz w:val="22"/>
          <w:lang w:eastAsia="en-US"/>
        </w:rPr>
        <w:t xml:space="preserve"> (particularly mothers and care-</w:t>
      </w:r>
      <w:r w:rsidRPr="005C5824">
        <w:rPr>
          <w:rFonts w:asciiTheme="minorHAnsi" w:hAnsiTheme="minorHAnsi"/>
          <w:sz w:val="22"/>
          <w:lang w:eastAsia="en-US"/>
        </w:rPr>
        <w:t>givers) and consider additional support that can be provided to support women on award</w:t>
      </w:r>
      <w:r w:rsidR="002D2115" w:rsidRPr="005C5824">
        <w:rPr>
          <w:rFonts w:asciiTheme="minorHAnsi" w:hAnsiTheme="minorHAnsi"/>
          <w:sz w:val="22"/>
          <w:lang w:eastAsia="en-US"/>
        </w:rPr>
        <w:t>.</w:t>
      </w:r>
    </w:p>
    <w:p w14:paraId="12E562F3" w14:textId="77777777" w:rsidR="00B94BA3" w:rsidRPr="005C5824" w:rsidRDefault="00B94BA3"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Alumni engagement</w:t>
      </w:r>
      <w:r w:rsidR="002D2115" w:rsidRPr="005C5824">
        <w:rPr>
          <w:rFonts w:asciiTheme="minorHAnsi" w:hAnsiTheme="minorHAnsi"/>
          <w:sz w:val="22"/>
          <w:lang w:eastAsia="en-US"/>
        </w:rPr>
        <w:t>:</w:t>
      </w:r>
      <w:r w:rsidRPr="005C5824">
        <w:rPr>
          <w:rFonts w:asciiTheme="minorHAnsi" w:hAnsiTheme="minorHAnsi"/>
          <w:sz w:val="22"/>
          <w:lang w:eastAsia="en-US"/>
        </w:rPr>
        <w:t xml:space="preserve"> </w:t>
      </w:r>
      <w:r w:rsidR="002D2115" w:rsidRPr="005C5824">
        <w:rPr>
          <w:rFonts w:asciiTheme="minorHAnsi" w:hAnsiTheme="minorHAnsi"/>
          <w:sz w:val="22"/>
          <w:lang w:eastAsia="en-US"/>
        </w:rPr>
        <w:t>A</w:t>
      </w:r>
      <w:r w:rsidRPr="005C5824">
        <w:rPr>
          <w:rFonts w:asciiTheme="minorHAnsi" w:hAnsiTheme="minorHAnsi"/>
          <w:sz w:val="22"/>
          <w:lang w:eastAsia="en-US"/>
        </w:rPr>
        <w:t xml:space="preserve">dvocate </w:t>
      </w:r>
      <w:r w:rsidR="002D2115" w:rsidRPr="005C5824">
        <w:rPr>
          <w:rFonts w:asciiTheme="minorHAnsi" w:hAnsiTheme="minorHAnsi"/>
          <w:sz w:val="22"/>
          <w:lang w:eastAsia="en-US"/>
        </w:rPr>
        <w:t xml:space="preserve">with prospective employers </w:t>
      </w:r>
      <w:r w:rsidRPr="005C5824">
        <w:rPr>
          <w:rFonts w:asciiTheme="minorHAnsi" w:hAnsiTheme="minorHAnsi"/>
          <w:sz w:val="22"/>
          <w:lang w:eastAsia="en-US"/>
        </w:rPr>
        <w:t xml:space="preserve">for job placements for female </w:t>
      </w:r>
      <w:r w:rsidR="002D2115" w:rsidRPr="005C5824">
        <w:rPr>
          <w:rFonts w:asciiTheme="minorHAnsi" w:hAnsiTheme="minorHAnsi"/>
          <w:sz w:val="22"/>
          <w:lang w:eastAsia="en-US"/>
        </w:rPr>
        <w:t xml:space="preserve">and male </w:t>
      </w:r>
      <w:r w:rsidRPr="005C5824">
        <w:rPr>
          <w:rFonts w:asciiTheme="minorHAnsi" w:hAnsiTheme="minorHAnsi"/>
          <w:sz w:val="22"/>
          <w:lang w:eastAsia="en-US"/>
        </w:rPr>
        <w:t xml:space="preserve">alumni on their return; ensure alumni events have at least 50 per cent female participation; </w:t>
      </w:r>
      <w:r w:rsidR="002D2115" w:rsidRPr="005C5824">
        <w:rPr>
          <w:rFonts w:asciiTheme="minorHAnsi" w:hAnsiTheme="minorHAnsi"/>
          <w:sz w:val="22"/>
          <w:lang w:eastAsia="en-US"/>
        </w:rPr>
        <w:t xml:space="preserve">deliver a </w:t>
      </w:r>
      <w:r w:rsidRPr="005C5824">
        <w:rPr>
          <w:rFonts w:asciiTheme="minorHAnsi" w:hAnsiTheme="minorHAnsi"/>
          <w:sz w:val="22"/>
          <w:lang w:eastAsia="en-US"/>
        </w:rPr>
        <w:t>dedicated program to support female alumni lea</w:t>
      </w:r>
      <w:r w:rsidR="002D2115" w:rsidRPr="005C5824">
        <w:rPr>
          <w:rFonts w:asciiTheme="minorHAnsi" w:hAnsiTheme="minorHAnsi"/>
          <w:sz w:val="22"/>
          <w:lang w:eastAsia="en-US"/>
        </w:rPr>
        <w:t>dership and career progression.</w:t>
      </w:r>
    </w:p>
    <w:p w14:paraId="0511B6EF" w14:textId="77777777" w:rsidR="002D2115" w:rsidRPr="005C5824" w:rsidRDefault="002D2115"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Stakeholder engagement: advocate for women’s participation and leadership.</w:t>
      </w:r>
    </w:p>
    <w:p w14:paraId="13A39A36" w14:textId="77777777" w:rsidR="00BE7C1D" w:rsidRPr="005C5824" w:rsidRDefault="002D2115" w:rsidP="00D85223">
      <w:pPr>
        <w:pStyle w:val="ListBullet"/>
        <w:numPr>
          <w:ilvl w:val="0"/>
          <w:numId w:val="14"/>
        </w:numPr>
        <w:tabs>
          <w:tab w:val="clear" w:pos="284"/>
          <w:tab w:val="left" w:pos="426"/>
        </w:tabs>
        <w:spacing w:line="240" w:lineRule="auto"/>
        <w:ind w:left="426" w:hanging="357"/>
        <w:rPr>
          <w:rFonts w:asciiTheme="minorHAnsi" w:hAnsiTheme="minorHAnsi"/>
          <w:sz w:val="22"/>
          <w:lang w:eastAsia="en-US"/>
        </w:rPr>
      </w:pPr>
      <w:r w:rsidRPr="005C5824">
        <w:rPr>
          <w:rFonts w:asciiTheme="minorHAnsi" w:hAnsiTheme="minorHAnsi"/>
          <w:sz w:val="22"/>
          <w:lang w:eastAsia="en-US"/>
        </w:rPr>
        <w:t>M&amp;E: ensure all surveys, case studies</w:t>
      </w:r>
      <w:r w:rsidR="004F5055" w:rsidRPr="005C5824">
        <w:rPr>
          <w:rFonts w:asciiTheme="minorHAnsi" w:hAnsiTheme="minorHAnsi"/>
          <w:sz w:val="22"/>
          <w:lang w:eastAsia="en-US"/>
        </w:rPr>
        <w:t>, tracer studies</w:t>
      </w:r>
      <w:r w:rsidRPr="005C5824">
        <w:rPr>
          <w:rFonts w:asciiTheme="minorHAnsi" w:hAnsiTheme="minorHAnsi"/>
          <w:sz w:val="22"/>
          <w:lang w:eastAsia="en-US"/>
        </w:rPr>
        <w:t xml:space="preserve"> and review</w:t>
      </w:r>
      <w:r w:rsidR="004F5055" w:rsidRPr="005C5824">
        <w:rPr>
          <w:rFonts w:asciiTheme="minorHAnsi" w:hAnsiTheme="minorHAnsi"/>
          <w:sz w:val="22"/>
          <w:lang w:eastAsia="en-US"/>
        </w:rPr>
        <w:t>s</w:t>
      </w:r>
      <w:r w:rsidRPr="005C5824">
        <w:rPr>
          <w:rFonts w:asciiTheme="minorHAnsi" w:hAnsiTheme="minorHAnsi"/>
          <w:sz w:val="22"/>
          <w:lang w:eastAsia="en-US"/>
        </w:rPr>
        <w:t xml:space="preserve"> consider gender equality; data analysis of applications will be sex disaggregated and inform future selection processes.</w:t>
      </w:r>
    </w:p>
    <w:p w14:paraId="065FC39E" w14:textId="18EAFE01" w:rsidR="00FB7D88" w:rsidRPr="005C5824" w:rsidRDefault="00FB7D88" w:rsidP="004932DE">
      <w:pPr>
        <w:spacing w:after="120" w:line="240" w:lineRule="auto"/>
        <w:rPr>
          <w:rFonts w:asciiTheme="majorHAnsi" w:hAnsiTheme="majorHAnsi"/>
          <w:b/>
        </w:rPr>
      </w:pPr>
      <w:r w:rsidRPr="005C5824">
        <w:rPr>
          <w:rFonts w:asciiTheme="majorHAnsi" w:hAnsiTheme="majorHAnsi"/>
          <w:b/>
        </w:rPr>
        <w:t>Disability inclusion</w:t>
      </w:r>
    </w:p>
    <w:p w14:paraId="22E02824" w14:textId="77777777" w:rsidR="00340D7B" w:rsidRPr="005C5824" w:rsidRDefault="00340D7B" w:rsidP="00340D7B">
      <w:r w:rsidRPr="005C5824">
        <w:t xml:space="preserve">The disability prevalence (people who identify themselves as having a severe or extreme difficulty) estimates among working age individuals in Vanuatu is </w:t>
      </w:r>
      <w:r w:rsidR="00BF62F4" w:rsidRPr="005C5824">
        <w:t>2.4</w:t>
      </w:r>
      <w:r w:rsidRPr="005C5824">
        <w:t xml:space="preserve"> per cent.</w:t>
      </w:r>
      <w:r w:rsidR="00BF62F4" w:rsidRPr="005C5824">
        <w:rPr>
          <w:rStyle w:val="FootnoteReference"/>
        </w:rPr>
        <w:footnoteReference w:id="16"/>
      </w:r>
      <w:r w:rsidRPr="005C5824">
        <w:t xml:space="preserve"> Disability prevalence is </w:t>
      </w:r>
      <w:r w:rsidR="00BF62F4" w:rsidRPr="005C5824">
        <w:t xml:space="preserve">similar for </w:t>
      </w:r>
      <w:r w:rsidRPr="005C5824">
        <w:t xml:space="preserve">women </w:t>
      </w:r>
      <w:r w:rsidR="00BF62F4" w:rsidRPr="005C5824">
        <w:t xml:space="preserve">and </w:t>
      </w:r>
      <w:r w:rsidRPr="005C5824">
        <w:t>men.</w:t>
      </w:r>
      <w:r w:rsidR="00BF62F4" w:rsidRPr="005C5824">
        <w:rPr>
          <w:rStyle w:val="FootnoteReference"/>
        </w:rPr>
        <w:footnoteReference w:id="17"/>
      </w:r>
    </w:p>
    <w:p w14:paraId="0C70B935" w14:textId="77777777" w:rsidR="00FA57BD" w:rsidRPr="005C5824" w:rsidRDefault="00FA57BD" w:rsidP="00E2531B">
      <w:r w:rsidRPr="005C5824">
        <w:lastRenderedPageBreak/>
        <w:t xml:space="preserve">People with a disability face barriers to equal participation in educational and professional development. These barriers may be created by numerous factors including: physical, information, communication, technology, attitudinal, social and institutional. Such barriers limit the proportion of academically-able students with disability graduating from secondary school and university. </w:t>
      </w:r>
    </w:p>
    <w:p w14:paraId="5B7DEEB5" w14:textId="0E5AF9FD" w:rsidR="00E2531B" w:rsidRPr="005C5824" w:rsidRDefault="00E2531B" w:rsidP="00E2531B">
      <w:r w:rsidRPr="005C5824">
        <w:t xml:space="preserve">The </w:t>
      </w:r>
      <w:r w:rsidR="00CA140D" w:rsidRPr="005C5824">
        <w:t xml:space="preserve">investment </w:t>
      </w:r>
      <w:r w:rsidRPr="005C5824">
        <w:t xml:space="preserve">should actively support and promote opportunities for people with a disability.  Disability should not be a factor that influences selection or the participation of awardees in Australia Awards. Assessment for selection will be merit based and the same criteria used for all applicants. </w:t>
      </w:r>
      <w:r w:rsidR="00340D7B" w:rsidRPr="005C5824">
        <w:t>Academic institutions must have a dedicated welfare o</w:t>
      </w:r>
      <w:r w:rsidRPr="005C5824">
        <w:t>fficer</w:t>
      </w:r>
      <w:r w:rsidR="00340D7B" w:rsidRPr="005C5824">
        <w:t xml:space="preserve"> who is responsible for the on-a</w:t>
      </w:r>
      <w:r w:rsidRPr="005C5824">
        <w:t>ward support of participants</w:t>
      </w:r>
      <w:r w:rsidR="00340D7B" w:rsidRPr="005C5824">
        <w:t>, including to meet the needs of scholars with a disability</w:t>
      </w:r>
      <w:r w:rsidRPr="005C5824">
        <w:t>.</w:t>
      </w:r>
    </w:p>
    <w:p w14:paraId="093B8866" w14:textId="5D0FC12D" w:rsidR="009E025E" w:rsidRPr="005C5824" w:rsidRDefault="00A148DB" w:rsidP="005D5E2B">
      <w:pPr>
        <w:spacing w:after="0"/>
      </w:pPr>
      <w:r w:rsidRPr="005C5824">
        <w:t xml:space="preserve">The program </w:t>
      </w:r>
      <w:r w:rsidR="009E025E" w:rsidRPr="005C5824">
        <w:t>will align</w:t>
      </w:r>
      <w:r w:rsidRPr="005C5824">
        <w:t xml:space="preserve"> with DFAT’s Disability Inclusive Development Strategy</w:t>
      </w:r>
      <w:r w:rsidR="009E025E" w:rsidRPr="005C5824">
        <w:t xml:space="preserve"> by:</w:t>
      </w:r>
    </w:p>
    <w:p w14:paraId="4BEC6115" w14:textId="0D39A37A" w:rsidR="009E025E" w:rsidRPr="005C5824" w:rsidRDefault="009E025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encouraging</w:t>
      </w:r>
      <w:r w:rsidR="00A148DB" w:rsidRPr="005C5824">
        <w:rPr>
          <w:rFonts w:asciiTheme="minorHAnsi" w:hAnsiTheme="minorHAnsi"/>
          <w:sz w:val="22"/>
          <w:lang w:eastAsia="en-US"/>
        </w:rPr>
        <w:t xml:space="preserve"> people with</w:t>
      </w:r>
      <w:r w:rsidRPr="005C5824">
        <w:rPr>
          <w:rFonts w:asciiTheme="minorHAnsi" w:hAnsiTheme="minorHAnsi"/>
          <w:sz w:val="22"/>
          <w:lang w:eastAsia="en-US"/>
        </w:rPr>
        <w:t xml:space="preserve"> a</w:t>
      </w:r>
      <w:r w:rsidR="00A148DB" w:rsidRPr="005C5824">
        <w:rPr>
          <w:rFonts w:asciiTheme="minorHAnsi" w:hAnsiTheme="minorHAnsi"/>
          <w:sz w:val="22"/>
          <w:lang w:eastAsia="en-US"/>
        </w:rPr>
        <w:t xml:space="preserve"> disabilit</w:t>
      </w:r>
      <w:r w:rsidRPr="005C5824">
        <w:rPr>
          <w:rFonts w:asciiTheme="minorHAnsi" w:hAnsiTheme="minorHAnsi"/>
          <w:sz w:val="22"/>
          <w:lang w:eastAsia="en-US"/>
        </w:rPr>
        <w:t>y to apply for scholarships and ensuring promotion</w:t>
      </w:r>
      <w:r w:rsidR="00717E5F" w:rsidRPr="005C5824">
        <w:rPr>
          <w:rFonts w:asciiTheme="minorHAnsi" w:hAnsiTheme="minorHAnsi"/>
          <w:sz w:val="22"/>
          <w:lang w:eastAsia="en-US"/>
        </w:rPr>
        <w:t>al</w:t>
      </w:r>
      <w:r w:rsidRPr="005C5824">
        <w:rPr>
          <w:rFonts w:asciiTheme="minorHAnsi" w:hAnsiTheme="minorHAnsi"/>
          <w:sz w:val="22"/>
          <w:lang w:eastAsia="en-US"/>
        </w:rPr>
        <w:t xml:space="preserve"> </w:t>
      </w:r>
      <w:r w:rsidR="006E181F" w:rsidRPr="005C5824">
        <w:rPr>
          <w:rFonts w:asciiTheme="minorHAnsi" w:hAnsiTheme="minorHAnsi"/>
          <w:sz w:val="22"/>
          <w:lang w:eastAsia="en-US"/>
        </w:rPr>
        <w:t xml:space="preserve">materials and </w:t>
      </w:r>
      <w:r w:rsidRPr="005C5824">
        <w:rPr>
          <w:rFonts w:asciiTheme="minorHAnsi" w:hAnsiTheme="minorHAnsi"/>
          <w:sz w:val="22"/>
          <w:lang w:eastAsia="en-US"/>
        </w:rPr>
        <w:t xml:space="preserve">applications </w:t>
      </w:r>
      <w:r w:rsidR="006E181F" w:rsidRPr="005C5824">
        <w:rPr>
          <w:rFonts w:asciiTheme="minorHAnsi" w:hAnsiTheme="minorHAnsi"/>
          <w:sz w:val="22"/>
          <w:lang w:eastAsia="en-US"/>
        </w:rPr>
        <w:t xml:space="preserve">are </w:t>
      </w:r>
      <w:r w:rsidRPr="005C5824">
        <w:rPr>
          <w:rFonts w:asciiTheme="minorHAnsi" w:hAnsiTheme="minorHAnsi"/>
          <w:sz w:val="22"/>
          <w:lang w:eastAsia="en-US"/>
        </w:rPr>
        <w:t>accessible for people with a disability;</w:t>
      </w:r>
    </w:p>
    <w:p w14:paraId="46554D07" w14:textId="77777777" w:rsidR="009E025E" w:rsidRPr="005C5824" w:rsidRDefault="009E025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including the Washington Group questions in scholarship application forms;</w:t>
      </w:r>
    </w:p>
    <w:p w14:paraId="5178DCAF" w14:textId="6CE73DF2" w:rsidR="006E181F" w:rsidRPr="005C5824" w:rsidRDefault="006E181F"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 xml:space="preserve">proactively providing information on the scholarship application process to </w:t>
      </w:r>
      <w:r w:rsidR="00774508" w:rsidRPr="005C5824">
        <w:rPr>
          <w:rFonts w:asciiTheme="minorHAnsi" w:hAnsiTheme="minorHAnsi"/>
          <w:sz w:val="22"/>
          <w:lang w:eastAsia="en-US"/>
        </w:rPr>
        <w:t xml:space="preserve">disabled people’s organisations </w:t>
      </w:r>
      <w:r w:rsidRPr="005C5824">
        <w:rPr>
          <w:rFonts w:asciiTheme="minorHAnsi" w:hAnsiTheme="minorHAnsi"/>
          <w:sz w:val="22"/>
          <w:lang w:eastAsia="en-US"/>
        </w:rPr>
        <w:t xml:space="preserve">in Vanuatu and seeking feedback from </w:t>
      </w:r>
      <w:r w:rsidR="00774508" w:rsidRPr="005C5824">
        <w:rPr>
          <w:rFonts w:asciiTheme="minorHAnsi" w:hAnsiTheme="minorHAnsi"/>
          <w:sz w:val="22"/>
          <w:lang w:eastAsia="en-US"/>
        </w:rPr>
        <w:t>disabled people’s organisations</w:t>
      </w:r>
      <w:r w:rsidRPr="005C5824">
        <w:rPr>
          <w:rFonts w:asciiTheme="minorHAnsi" w:hAnsiTheme="minorHAnsi"/>
          <w:sz w:val="22"/>
          <w:lang w:eastAsia="en-US"/>
        </w:rPr>
        <w:t xml:space="preserve"> on ways to improve access for people with a disability;</w:t>
      </w:r>
    </w:p>
    <w:p w14:paraId="24B708EE" w14:textId="77777777" w:rsidR="009E025E" w:rsidRPr="005C5824" w:rsidRDefault="009E025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ensuring shortlisted applicants with a disability are afforded assistance to attend an interview and complete a written test;</w:t>
      </w:r>
    </w:p>
    <w:p w14:paraId="1CDE66C2" w14:textId="77777777" w:rsidR="009E025E" w:rsidRPr="005C5824" w:rsidRDefault="009E025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ensuring successful candidates receive suitable support while on award;</w:t>
      </w:r>
    </w:p>
    <w:p w14:paraId="1B18E138" w14:textId="77777777" w:rsidR="009E025E" w:rsidRPr="005C5824" w:rsidRDefault="009E025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ensuring alumni events are accessible to people with a disability and providing workshops on disability inclusion for alumni; and</w:t>
      </w:r>
    </w:p>
    <w:p w14:paraId="2484D26C" w14:textId="46FEEF56" w:rsidR="009E025E" w:rsidRPr="005C5824" w:rsidRDefault="005C0F25"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 xml:space="preserve">collecting, </w:t>
      </w:r>
      <w:r w:rsidR="009E025E" w:rsidRPr="005C5824">
        <w:rPr>
          <w:rFonts w:asciiTheme="minorHAnsi" w:hAnsiTheme="minorHAnsi"/>
          <w:sz w:val="22"/>
          <w:lang w:eastAsia="en-US"/>
        </w:rPr>
        <w:t xml:space="preserve">analysing </w:t>
      </w:r>
      <w:r w:rsidRPr="005C5824">
        <w:rPr>
          <w:rFonts w:asciiTheme="minorHAnsi" w:hAnsiTheme="minorHAnsi"/>
          <w:sz w:val="22"/>
          <w:lang w:eastAsia="en-US"/>
        </w:rPr>
        <w:t xml:space="preserve">and using </w:t>
      </w:r>
      <w:r w:rsidR="009E025E" w:rsidRPr="005C5824">
        <w:rPr>
          <w:rFonts w:asciiTheme="minorHAnsi" w:hAnsiTheme="minorHAnsi"/>
          <w:sz w:val="22"/>
          <w:lang w:eastAsia="en-US"/>
        </w:rPr>
        <w:t>M&amp;E data on disability inclusion.</w:t>
      </w:r>
    </w:p>
    <w:p w14:paraId="1197954B" w14:textId="6DF7B2A1" w:rsidR="00957D6E" w:rsidRPr="005C5824" w:rsidRDefault="00957D6E" w:rsidP="004932DE">
      <w:pPr>
        <w:spacing w:after="120" w:line="240" w:lineRule="auto"/>
        <w:rPr>
          <w:rFonts w:asciiTheme="majorHAnsi" w:hAnsiTheme="majorHAnsi"/>
          <w:b/>
        </w:rPr>
      </w:pPr>
      <w:r w:rsidRPr="005C5824">
        <w:rPr>
          <w:rFonts w:asciiTheme="majorHAnsi" w:hAnsiTheme="majorHAnsi"/>
          <w:b/>
        </w:rPr>
        <w:t>Climate Change</w:t>
      </w:r>
    </w:p>
    <w:p w14:paraId="1C37C375" w14:textId="46050158" w:rsidR="00542BAE" w:rsidRPr="005C5824" w:rsidRDefault="00542BAE" w:rsidP="00542BAE">
      <w:r w:rsidRPr="005C5824">
        <w:t xml:space="preserve">Climate change poses extreme risks to Vanuatu and compounds a wide range of other development challenges. Currently, skills and knowledge needed to manage the risks of climate change and extreme weather events are </w:t>
      </w:r>
      <w:r w:rsidR="00E31ABE" w:rsidRPr="005C5824">
        <w:t xml:space="preserve">predominantly </w:t>
      </w:r>
      <w:r w:rsidRPr="005C5824">
        <w:t>imported, with international specialists designing, managing and implementing donor climate change programs. A long-term skills building program is needed to fill this skills gap.</w:t>
      </w:r>
    </w:p>
    <w:p w14:paraId="5B0CD9B0" w14:textId="725708B5" w:rsidR="00542BAE" w:rsidRPr="005C5824" w:rsidRDefault="00957D6E" w:rsidP="00957D6E">
      <w:r w:rsidRPr="005C5824">
        <w:t>The program includes climate change and disaster risk reduction as priority fields of study that will build Vanuatu’s capacity to respond to climate change and natural disasters</w:t>
      </w:r>
      <w:r w:rsidR="00E31ABE" w:rsidRPr="005C5824">
        <w:t>. This will help the Vanuatu Government to reduce</w:t>
      </w:r>
      <w:r w:rsidR="00542BAE" w:rsidRPr="005C5824">
        <w:t xml:space="preserve"> the dependence on foreign skills and expertise</w:t>
      </w:r>
      <w:r w:rsidR="00E31ABE" w:rsidRPr="005C5824">
        <w:t xml:space="preserve"> to </w:t>
      </w:r>
      <w:r w:rsidR="00542BAE" w:rsidRPr="005C5824">
        <w:t>manage the risks of climate change (including extreme cyclones)</w:t>
      </w:r>
      <w:r w:rsidR="00E31ABE" w:rsidRPr="005C5824">
        <w:t xml:space="preserve">, </w:t>
      </w:r>
      <w:r w:rsidR="00542BAE" w:rsidRPr="005C5824">
        <w:t>build community and societal resi</w:t>
      </w:r>
      <w:r w:rsidR="00E31ABE" w:rsidRPr="005C5824">
        <w:t>lience to the worsening impacts</w:t>
      </w:r>
      <w:r w:rsidR="00542BAE" w:rsidRPr="005C5824">
        <w:t xml:space="preserve"> </w:t>
      </w:r>
      <w:r w:rsidR="00E31ABE" w:rsidRPr="005C5824">
        <w:t xml:space="preserve">of climate change, </w:t>
      </w:r>
      <w:r w:rsidR="00542BAE" w:rsidRPr="005C5824">
        <w:t>and</w:t>
      </w:r>
      <w:r w:rsidR="00E31ABE" w:rsidRPr="005C5824">
        <w:t xml:space="preserve"> </w:t>
      </w:r>
      <w:r w:rsidR="00542BAE" w:rsidRPr="005C5824">
        <w:t>deliver low carbon growth.</w:t>
      </w:r>
      <w:r w:rsidR="00E31ABE" w:rsidRPr="005C5824">
        <w:t xml:space="preserve"> </w:t>
      </w:r>
      <w:r w:rsidR="00542BAE" w:rsidRPr="005C5824">
        <w:t xml:space="preserve">The Pacific climate change interim support unit will </w:t>
      </w:r>
      <w:r w:rsidR="00E31ABE" w:rsidRPr="005C5824">
        <w:t>provide advice to help identify</w:t>
      </w:r>
      <w:r w:rsidR="00542BAE" w:rsidRPr="005C5824">
        <w:t xml:space="preserve"> critical climate change skills gaps and priorities.</w:t>
      </w:r>
    </w:p>
    <w:p w14:paraId="1689521A" w14:textId="77777777" w:rsidR="00FA57BD" w:rsidRPr="005C5824" w:rsidRDefault="00FA57BD" w:rsidP="004932DE">
      <w:pPr>
        <w:spacing w:after="120" w:line="240" w:lineRule="auto"/>
        <w:rPr>
          <w:rFonts w:asciiTheme="majorHAnsi" w:hAnsiTheme="majorHAnsi"/>
          <w:b/>
        </w:rPr>
      </w:pPr>
      <w:r w:rsidRPr="005C5824">
        <w:rPr>
          <w:rFonts w:asciiTheme="majorHAnsi" w:hAnsiTheme="majorHAnsi"/>
          <w:b/>
        </w:rPr>
        <w:t>Private sector</w:t>
      </w:r>
    </w:p>
    <w:p w14:paraId="2D1F7342" w14:textId="32FF8C02" w:rsidR="00BE7C1D" w:rsidRPr="005C5824" w:rsidRDefault="009E025E" w:rsidP="005D5E2B">
      <w:pPr>
        <w:spacing w:after="0"/>
      </w:pPr>
      <w:r w:rsidRPr="005C5824">
        <w:t xml:space="preserve">Australia Awards aim to target skills gaps in the public and private sector. </w:t>
      </w:r>
      <w:r w:rsidR="00FA57BD" w:rsidRPr="005C5824">
        <w:t xml:space="preserve">The MC, with </w:t>
      </w:r>
      <w:r w:rsidR="00340D7B" w:rsidRPr="005C5824">
        <w:t xml:space="preserve">the Australian High Commission </w:t>
      </w:r>
      <w:r w:rsidR="00FA57BD" w:rsidRPr="005C5824">
        <w:t xml:space="preserve">as appropriate, </w:t>
      </w:r>
      <w:r w:rsidRPr="005C5824">
        <w:t>will engage with the Vanuatu Chamber of Commerce and Industry, Industry Associations and businesses to discuss and consider options to make the program more suitable for the private sector. This may include:</w:t>
      </w:r>
    </w:p>
    <w:p w14:paraId="2A956D37" w14:textId="77777777" w:rsidR="009E025E" w:rsidRPr="005C5824" w:rsidRDefault="009E025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 xml:space="preserve">more flexible study options, including </w:t>
      </w:r>
      <w:r w:rsidR="00FA57BD" w:rsidRPr="005C5824">
        <w:rPr>
          <w:rFonts w:asciiTheme="minorHAnsi" w:hAnsiTheme="minorHAnsi"/>
          <w:sz w:val="22"/>
          <w:lang w:eastAsia="en-US"/>
        </w:rPr>
        <w:t xml:space="preserve">distance education and </w:t>
      </w:r>
      <w:r w:rsidRPr="005C5824">
        <w:rPr>
          <w:rFonts w:asciiTheme="minorHAnsi" w:hAnsiTheme="minorHAnsi"/>
          <w:sz w:val="22"/>
          <w:lang w:eastAsia="en-US"/>
        </w:rPr>
        <w:t>short-courses;</w:t>
      </w:r>
    </w:p>
    <w:p w14:paraId="418BA056" w14:textId="77777777" w:rsidR="009E025E" w:rsidRPr="005C5824" w:rsidRDefault="009E025E"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internships with businesses for students on award during semester break, and/or on graduation;</w:t>
      </w:r>
    </w:p>
    <w:p w14:paraId="2492D66A" w14:textId="77777777" w:rsidR="009E025E" w:rsidRPr="005C5824" w:rsidRDefault="00F67DCA"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alumni professional development opportunities such as facilitating links to professional associations in the region and workshops on particular skills needed in the private sector; and</w:t>
      </w:r>
    </w:p>
    <w:p w14:paraId="30386BD0" w14:textId="1F19E989" w:rsidR="009C2087" w:rsidRPr="005C5824" w:rsidRDefault="00F67DCA"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collecting and analysing M&amp;E data on private sector involvement / engagement.</w:t>
      </w:r>
    </w:p>
    <w:p w14:paraId="6CA76569" w14:textId="2634A9B5" w:rsidR="00B71D37" w:rsidRPr="005C5824" w:rsidRDefault="00B71D37" w:rsidP="004932DE">
      <w:pPr>
        <w:spacing w:after="120" w:line="240" w:lineRule="auto"/>
        <w:rPr>
          <w:rFonts w:asciiTheme="majorHAnsi" w:hAnsiTheme="majorHAnsi"/>
          <w:b/>
        </w:rPr>
      </w:pPr>
      <w:r w:rsidRPr="005C5824">
        <w:rPr>
          <w:rFonts w:asciiTheme="majorHAnsi" w:hAnsiTheme="majorHAnsi"/>
          <w:b/>
        </w:rPr>
        <w:t>Communications</w:t>
      </w:r>
    </w:p>
    <w:p w14:paraId="4D34C8DD" w14:textId="02973763" w:rsidR="00765DD1" w:rsidRPr="005C5824" w:rsidRDefault="00765DD1" w:rsidP="00B71D37">
      <w:r w:rsidRPr="005C5824">
        <w:t>The Australian High Commission, with support from the MC, will pursue public diplomacy opportunities to promote both Australia’s investment and the achievements of alumni. This will include:</w:t>
      </w:r>
    </w:p>
    <w:p w14:paraId="52F2D9F6" w14:textId="77777777" w:rsidR="00765DD1" w:rsidRPr="005C5824" w:rsidRDefault="00765DD1"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ongoing engagement with partner government and key stakeholders;</w:t>
      </w:r>
    </w:p>
    <w:p w14:paraId="2ECB0A3D" w14:textId="54EC54A2" w:rsidR="00765DD1" w:rsidRPr="005C5824" w:rsidRDefault="00765DD1"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alumni events, publications about alumni and sponsoring alumni participation at regional conferences;</w:t>
      </w:r>
    </w:p>
    <w:p w14:paraId="573EB9AC" w14:textId="77777777" w:rsidR="00765DD1" w:rsidRPr="005C5824" w:rsidRDefault="00765DD1"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inviting key alumni to Australian High Commission functions;</w:t>
      </w:r>
    </w:p>
    <w:p w14:paraId="687B0186" w14:textId="3494D40A" w:rsidR="00765DD1" w:rsidRPr="005C5824" w:rsidRDefault="00765DD1"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drafting articles and broadcasts for the media (newspapers, radio, social media); and</w:t>
      </w:r>
    </w:p>
    <w:p w14:paraId="2AC401B6" w14:textId="2C3B30D0" w:rsidR="00765DD1" w:rsidRPr="005C5824" w:rsidRDefault="00765DD1" w:rsidP="00D85223">
      <w:pPr>
        <w:pStyle w:val="ListBullet"/>
        <w:numPr>
          <w:ilvl w:val="0"/>
          <w:numId w:val="14"/>
        </w:numPr>
        <w:tabs>
          <w:tab w:val="clear" w:pos="284"/>
          <w:tab w:val="left" w:pos="426"/>
        </w:tabs>
        <w:spacing w:after="0" w:line="240" w:lineRule="auto"/>
        <w:ind w:left="426" w:hanging="357"/>
        <w:rPr>
          <w:rFonts w:asciiTheme="minorHAnsi" w:hAnsiTheme="minorHAnsi"/>
          <w:sz w:val="22"/>
          <w:lang w:eastAsia="en-US"/>
        </w:rPr>
      </w:pPr>
      <w:r w:rsidRPr="005C5824">
        <w:rPr>
          <w:rFonts w:asciiTheme="minorHAnsi" w:hAnsiTheme="minorHAnsi"/>
          <w:sz w:val="22"/>
          <w:lang w:eastAsia="en-US"/>
        </w:rPr>
        <w:t>inviting media to functions and events.</w:t>
      </w:r>
    </w:p>
    <w:p w14:paraId="260C82F8" w14:textId="77777777" w:rsidR="00B1124C" w:rsidRDefault="00B1124C" w:rsidP="004932DE">
      <w:pPr>
        <w:spacing w:after="120" w:line="240" w:lineRule="auto"/>
        <w:rPr>
          <w:rFonts w:asciiTheme="majorHAnsi" w:hAnsiTheme="majorHAnsi"/>
          <w:b/>
        </w:rPr>
      </w:pPr>
    </w:p>
    <w:p w14:paraId="7F8CD317" w14:textId="52B287B1" w:rsidR="00FA57BD" w:rsidRPr="005C5824" w:rsidRDefault="00130C95" w:rsidP="004932DE">
      <w:pPr>
        <w:spacing w:after="120" w:line="240" w:lineRule="auto"/>
        <w:rPr>
          <w:rFonts w:asciiTheme="majorHAnsi" w:hAnsiTheme="majorHAnsi"/>
          <w:b/>
        </w:rPr>
      </w:pPr>
      <w:r w:rsidRPr="005C5824">
        <w:rPr>
          <w:rFonts w:asciiTheme="majorHAnsi" w:hAnsiTheme="majorHAnsi"/>
          <w:b/>
        </w:rPr>
        <w:lastRenderedPageBreak/>
        <w:t>Risk M</w:t>
      </w:r>
      <w:r w:rsidR="00FA57BD" w:rsidRPr="005C5824">
        <w:rPr>
          <w:rFonts w:asciiTheme="majorHAnsi" w:hAnsiTheme="majorHAnsi"/>
          <w:b/>
        </w:rPr>
        <w:t>anagement</w:t>
      </w:r>
      <w:r w:rsidRPr="005C5824">
        <w:rPr>
          <w:rFonts w:asciiTheme="majorHAnsi" w:hAnsiTheme="majorHAnsi"/>
          <w:b/>
        </w:rPr>
        <w:t>, Fraud and Safeguards</w:t>
      </w:r>
    </w:p>
    <w:p w14:paraId="588B12F7" w14:textId="22B9C694" w:rsidR="00130C95" w:rsidRPr="005C5824" w:rsidRDefault="00FA57BD" w:rsidP="004901B9">
      <w:r w:rsidRPr="005C5824">
        <w:t xml:space="preserve">Australia Awards </w:t>
      </w:r>
      <w:r w:rsidR="009B3AD3" w:rsidRPr="005C5824">
        <w:t xml:space="preserve">are </w:t>
      </w:r>
      <w:r w:rsidRPr="005C5824">
        <w:t xml:space="preserve">well-established with a track record for effectiveness globally. </w:t>
      </w:r>
      <w:r w:rsidR="00515BE8" w:rsidRPr="005C5824">
        <w:t>Overall, the investment represents an effective, efficient, relevant, sustainable and inclusive use of Australian funds and is low risk.</w:t>
      </w:r>
    </w:p>
    <w:p w14:paraId="6A636013" w14:textId="3B862679" w:rsidR="00FA57BD" w:rsidRPr="005C5824" w:rsidRDefault="00FA57BD" w:rsidP="004901B9">
      <w:r w:rsidRPr="005C5824">
        <w:t>Program risks relate mainly to selecting the most appropriate awardees, their reintegration into the workplace, and o</w:t>
      </w:r>
      <w:r w:rsidR="00717E5F" w:rsidRPr="005C5824">
        <w:t>rganisational</w:t>
      </w:r>
      <w:r w:rsidRPr="005C5824">
        <w:t xml:space="preserve"> barriers to using their new skills. Key risks and mitigation measures are ide</w:t>
      </w:r>
      <w:r w:rsidR="00340D7B" w:rsidRPr="005C5824">
        <w:t xml:space="preserve">ntified in a risk register at </w:t>
      </w:r>
      <w:r w:rsidRPr="005C5824">
        <w:rPr>
          <w:u w:val="single"/>
        </w:rPr>
        <w:t xml:space="preserve">Annex </w:t>
      </w:r>
      <w:r w:rsidR="00D53F5E" w:rsidRPr="005C5824">
        <w:rPr>
          <w:u w:val="single"/>
        </w:rPr>
        <w:t xml:space="preserve">D </w:t>
      </w:r>
      <w:r w:rsidRPr="005C5824">
        <w:t>that will be discussed and updated at least</w:t>
      </w:r>
      <w:r w:rsidR="00130C95" w:rsidRPr="005C5824">
        <w:t xml:space="preserve"> quarterly at aid team meetings. The MC will also update the risk register every 6 months, or more frequently if required.</w:t>
      </w:r>
    </w:p>
    <w:p w14:paraId="35A8EBA7" w14:textId="00A7F59F" w:rsidR="0029075A" w:rsidRPr="005C5824" w:rsidRDefault="0029075A" w:rsidP="00D85223">
      <w:pPr>
        <w:spacing w:before="0" w:after="0" w:line="240" w:lineRule="auto"/>
      </w:pPr>
    </w:p>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10490"/>
      </w:tblGrid>
      <w:tr w:rsidR="005C5824" w:rsidRPr="005C5824" w14:paraId="7E8EFD2C" w14:textId="77777777" w:rsidTr="00864320">
        <w:trPr>
          <w:trHeight w:val="360"/>
          <w:tblHeader/>
        </w:trPr>
        <w:tc>
          <w:tcPr>
            <w:tcW w:w="10490" w:type="dxa"/>
            <w:shd w:val="clear" w:color="auto" w:fill="C1E7E0" w:themeFill="accent1" w:themeFillTint="66"/>
          </w:tcPr>
          <w:p w14:paraId="4DC44B71" w14:textId="7E9F05A8" w:rsidR="00794C57" w:rsidRPr="005C5824" w:rsidRDefault="00591FD5" w:rsidP="00591FD5">
            <w:pPr>
              <w:pStyle w:val="BodyText"/>
              <w:spacing w:after="120" w:line="240" w:lineRule="auto"/>
              <w:outlineLvl w:val="0"/>
              <w:rPr>
                <w:rFonts w:asciiTheme="majorHAnsi" w:hAnsiTheme="majorHAnsi"/>
                <w:b/>
                <w:sz w:val="28"/>
              </w:rPr>
            </w:pPr>
            <w:bookmarkStart w:id="6" w:name="_Toc515539470"/>
            <w:r w:rsidRPr="005C5824">
              <w:rPr>
                <w:rFonts w:asciiTheme="majorHAnsi" w:hAnsiTheme="majorHAnsi"/>
                <w:b/>
                <w:sz w:val="28"/>
              </w:rPr>
              <w:t>F</w:t>
            </w:r>
            <w:r w:rsidR="00794C57" w:rsidRPr="005C5824">
              <w:rPr>
                <w:rFonts w:asciiTheme="majorHAnsi" w:hAnsiTheme="majorHAnsi"/>
                <w:b/>
                <w:sz w:val="28"/>
              </w:rPr>
              <w:t>: Annexes</w:t>
            </w:r>
            <w:bookmarkEnd w:id="6"/>
          </w:p>
        </w:tc>
      </w:tr>
    </w:tbl>
    <w:p w14:paraId="39AD63AC" w14:textId="2CE7C2D6" w:rsidR="00EC0AF2" w:rsidRPr="005C5824" w:rsidRDefault="00B71D37" w:rsidP="00DE75FE">
      <w:pPr>
        <w:pStyle w:val="ListBullet"/>
        <w:numPr>
          <w:ilvl w:val="0"/>
          <w:numId w:val="15"/>
        </w:numPr>
        <w:spacing w:before="120" w:line="240" w:lineRule="auto"/>
        <w:rPr>
          <w:rFonts w:asciiTheme="minorHAnsi" w:hAnsiTheme="minorHAnsi"/>
          <w:sz w:val="22"/>
          <w:szCs w:val="21"/>
          <w:lang w:eastAsia="en-US"/>
        </w:rPr>
      </w:pPr>
      <w:r w:rsidRPr="005C5824">
        <w:rPr>
          <w:rFonts w:asciiTheme="minorHAnsi" w:hAnsiTheme="minorHAnsi"/>
          <w:sz w:val="22"/>
          <w:szCs w:val="21"/>
          <w:lang w:eastAsia="en-US"/>
        </w:rPr>
        <w:t>Detail on annual activities</w:t>
      </w:r>
    </w:p>
    <w:p w14:paraId="1A66CEB3" w14:textId="77777777" w:rsidR="00DD56C1" w:rsidRPr="005C5824" w:rsidRDefault="00DD56C1" w:rsidP="003B384D">
      <w:pPr>
        <w:pStyle w:val="ListBullet"/>
        <w:numPr>
          <w:ilvl w:val="0"/>
          <w:numId w:val="15"/>
        </w:numPr>
        <w:spacing w:before="120" w:line="240" w:lineRule="auto"/>
        <w:rPr>
          <w:rFonts w:asciiTheme="minorHAnsi" w:hAnsiTheme="minorHAnsi"/>
          <w:sz w:val="22"/>
          <w:szCs w:val="21"/>
          <w:lang w:eastAsia="en-US"/>
        </w:rPr>
      </w:pPr>
      <w:r w:rsidRPr="005C5824">
        <w:rPr>
          <w:rFonts w:asciiTheme="minorHAnsi" w:hAnsiTheme="minorHAnsi"/>
          <w:sz w:val="22"/>
          <w:szCs w:val="21"/>
          <w:lang w:eastAsia="en-US"/>
        </w:rPr>
        <w:t>Respective roles and responsibilities</w:t>
      </w:r>
    </w:p>
    <w:p w14:paraId="5C3F64C6" w14:textId="77777777" w:rsidR="00DD56C1" w:rsidRPr="005C5824" w:rsidRDefault="00DD56C1" w:rsidP="00DD56C1">
      <w:pPr>
        <w:pStyle w:val="ListBullet"/>
        <w:numPr>
          <w:ilvl w:val="0"/>
          <w:numId w:val="15"/>
        </w:numPr>
        <w:spacing w:before="120" w:line="240" w:lineRule="auto"/>
        <w:rPr>
          <w:rFonts w:asciiTheme="minorHAnsi" w:hAnsiTheme="minorHAnsi"/>
          <w:sz w:val="22"/>
          <w:szCs w:val="21"/>
          <w:lang w:eastAsia="en-US"/>
        </w:rPr>
      </w:pPr>
      <w:r w:rsidRPr="005C5824">
        <w:rPr>
          <w:rFonts w:asciiTheme="minorHAnsi" w:hAnsiTheme="minorHAnsi"/>
          <w:sz w:val="22"/>
          <w:szCs w:val="21"/>
          <w:lang w:eastAsia="en-US"/>
        </w:rPr>
        <w:t>M&amp;E Plan</w:t>
      </w:r>
    </w:p>
    <w:p w14:paraId="3E28AE24" w14:textId="77777777" w:rsidR="00DD56C1" w:rsidRPr="005C5824" w:rsidRDefault="00DD56C1" w:rsidP="00DD56C1">
      <w:pPr>
        <w:pStyle w:val="ListBullet"/>
        <w:numPr>
          <w:ilvl w:val="0"/>
          <w:numId w:val="15"/>
        </w:numPr>
        <w:spacing w:before="120" w:line="240" w:lineRule="auto"/>
        <w:rPr>
          <w:rFonts w:asciiTheme="minorHAnsi" w:hAnsiTheme="minorHAnsi"/>
          <w:sz w:val="22"/>
          <w:szCs w:val="21"/>
          <w:lang w:eastAsia="en-US"/>
        </w:rPr>
      </w:pPr>
      <w:r w:rsidRPr="005C5824">
        <w:rPr>
          <w:rFonts w:asciiTheme="minorHAnsi" w:hAnsiTheme="minorHAnsi"/>
          <w:sz w:val="22"/>
          <w:szCs w:val="21"/>
          <w:lang w:eastAsia="en-US"/>
        </w:rPr>
        <w:t>Risk register (incl. safeguard risk assessments)</w:t>
      </w:r>
    </w:p>
    <w:p w14:paraId="4E82FF54" w14:textId="77777777" w:rsidR="00876F8E" w:rsidRPr="005C5824" w:rsidRDefault="00876F8E" w:rsidP="009C2087">
      <w:pPr>
        <w:pStyle w:val="ListBullet"/>
        <w:numPr>
          <w:ilvl w:val="0"/>
          <w:numId w:val="15"/>
        </w:numPr>
        <w:spacing w:before="120" w:line="240" w:lineRule="auto"/>
        <w:rPr>
          <w:rFonts w:asciiTheme="minorHAnsi" w:hAnsiTheme="minorHAnsi"/>
          <w:sz w:val="22"/>
          <w:szCs w:val="21"/>
          <w:lang w:eastAsia="en-US"/>
        </w:rPr>
      </w:pPr>
      <w:r w:rsidRPr="005C5824">
        <w:rPr>
          <w:rFonts w:asciiTheme="minorHAnsi" w:hAnsiTheme="minorHAnsi"/>
          <w:sz w:val="22"/>
          <w:szCs w:val="21"/>
          <w:lang w:eastAsia="en-US"/>
        </w:rPr>
        <w:t>Indicative program for pre-departure briefing</w:t>
      </w:r>
    </w:p>
    <w:p w14:paraId="7EABA22B" w14:textId="5807D577" w:rsidR="00EC0AF2" w:rsidRDefault="00EC0AF2">
      <w:pPr>
        <w:suppressAutoHyphens w:val="0"/>
        <w:spacing w:before="0" w:after="120" w:line="440" w:lineRule="atLeast"/>
        <w:rPr>
          <w:rFonts w:asciiTheme="majorHAnsi" w:hAnsiTheme="majorHAnsi"/>
          <w:b/>
          <w:sz w:val="28"/>
          <w:szCs w:val="28"/>
        </w:rPr>
      </w:pPr>
      <w:r>
        <w:rPr>
          <w:rFonts w:asciiTheme="majorHAnsi" w:hAnsiTheme="majorHAnsi"/>
          <w:b/>
          <w:sz w:val="28"/>
          <w:szCs w:val="28"/>
        </w:rPr>
        <w:br w:type="page"/>
      </w:r>
    </w:p>
    <w:tbl>
      <w:tblPr>
        <w:tblStyle w:val="TableGrid"/>
        <w:tblW w:w="0" w:type="auto"/>
        <w:shd w:val="clear" w:color="auto" w:fill="C1E7E0" w:themeFill="accent1" w:themeFillTint="66"/>
        <w:tblLook w:val="04A0" w:firstRow="1" w:lastRow="0" w:firstColumn="1" w:lastColumn="0" w:noHBand="0" w:noVBand="1"/>
      </w:tblPr>
      <w:tblGrid>
        <w:gridCol w:w="10196"/>
      </w:tblGrid>
      <w:tr w:rsidR="005C5824" w:rsidRPr="005C5824" w14:paraId="3A9C6139" w14:textId="77777777" w:rsidTr="00B71D37">
        <w:tc>
          <w:tcPr>
            <w:tcW w:w="10196" w:type="dxa"/>
            <w:shd w:val="clear" w:color="auto" w:fill="C1E7E0" w:themeFill="accent1" w:themeFillTint="66"/>
          </w:tcPr>
          <w:p w14:paraId="7A4EC304" w14:textId="7BF0E87A" w:rsidR="00453C09" w:rsidRPr="005C5824" w:rsidRDefault="00453C09" w:rsidP="00453C09">
            <w:pPr>
              <w:spacing w:after="120" w:line="240" w:lineRule="auto"/>
              <w:rPr>
                <w:rFonts w:asciiTheme="majorHAnsi" w:hAnsiTheme="majorHAnsi"/>
                <w:b/>
                <w:sz w:val="28"/>
                <w:szCs w:val="28"/>
              </w:rPr>
            </w:pPr>
            <w:r w:rsidRPr="005C5824">
              <w:rPr>
                <w:rFonts w:asciiTheme="majorHAnsi" w:hAnsiTheme="majorHAnsi"/>
                <w:b/>
                <w:sz w:val="28"/>
                <w:szCs w:val="28"/>
              </w:rPr>
              <w:lastRenderedPageBreak/>
              <w:t>ANNEX A: Detail on Annual Activities</w:t>
            </w:r>
          </w:p>
        </w:tc>
      </w:tr>
    </w:tbl>
    <w:p w14:paraId="2127BCAF" w14:textId="5CEC5EB7" w:rsidR="00EC0AF2" w:rsidRPr="005C5824" w:rsidRDefault="00EC0AF2" w:rsidP="00EC0AF2">
      <w:r w:rsidRPr="005C5824">
        <w:t>Annual activities include: planning, promotion, selection, placements, mobilisation, management of students on award, alumni engagement, stakeholder engagement and monitoring and evaluation.</w:t>
      </w:r>
    </w:p>
    <w:p w14:paraId="0C7E4D36" w14:textId="77777777" w:rsidR="00EC0AF2" w:rsidRPr="005C5824" w:rsidRDefault="00EC0AF2" w:rsidP="006B7C69">
      <w:pPr>
        <w:spacing w:after="120" w:line="240" w:lineRule="auto"/>
        <w:rPr>
          <w:rFonts w:asciiTheme="majorHAnsi" w:hAnsiTheme="majorHAnsi"/>
          <w:b/>
        </w:rPr>
      </w:pPr>
      <w:r w:rsidRPr="005C5824">
        <w:rPr>
          <w:rFonts w:asciiTheme="majorHAnsi" w:hAnsiTheme="majorHAnsi"/>
          <w:b/>
        </w:rPr>
        <w:t>Promotion</w:t>
      </w:r>
    </w:p>
    <w:p w14:paraId="6464B69B" w14:textId="5112C1A5" w:rsidR="00EC0AF2" w:rsidRPr="005C5824" w:rsidRDefault="00EC0AF2" w:rsidP="00EC0AF2">
      <w:r w:rsidRPr="005C5824">
        <w:t xml:space="preserve">Australia Awards are prestigious due to the high quality of education at institutions (particularly in Australia) and suitable allowances to give students the best possible chance of success. </w:t>
      </w:r>
      <w:r w:rsidR="00B71D37" w:rsidRPr="005C5824">
        <w:t>Communications that promote</w:t>
      </w:r>
      <w:r w:rsidRPr="005C5824">
        <w:t xml:space="preserve"> </w:t>
      </w:r>
      <w:r w:rsidR="00B71D37" w:rsidRPr="005C5824">
        <w:t xml:space="preserve">the </w:t>
      </w:r>
      <w:r w:rsidRPr="005C5824">
        <w:t>Australia Awards as pres</w:t>
      </w:r>
      <w:r w:rsidR="00B71D37" w:rsidRPr="005C5824">
        <w:t>tigious aim</w:t>
      </w:r>
      <w:r w:rsidRPr="005C5824">
        <w:t xml:space="preserve"> to attract the highest calibre candidates that show the most promise to contribute to the desired outcomes and goals of Australia Awards in Vanuatu. Coherent, strategic, targeted promotion </w:t>
      </w:r>
      <w:r w:rsidR="00C46008">
        <w:t xml:space="preserve">(taking into account lessons from previous years) </w:t>
      </w:r>
      <w:r w:rsidRPr="005C5824">
        <w:t xml:space="preserve">will ensure that high-quality eligible candidates </w:t>
      </w:r>
      <w:r w:rsidR="00C46008">
        <w:t xml:space="preserve">across all provinces </w:t>
      </w:r>
      <w:r w:rsidRPr="005C5824">
        <w:t>are informed about the program and given sufficient information to apply.</w:t>
      </w:r>
    </w:p>
    <w:p w14:paraId="06BE35AC" w14:textId="77777777" w:rsidR="00EC0AF2" w:rsidRPr="005C5824" w:rsidRDefault="00EC0AF2" w:rsidP="00EC0AF2">
      <w:r w:rsidRPr="005C5824">
        <w:t>Promotion activities include participation in careers fairs, engagement with Provincial Education Officers and Principals of the largest secondary school in each province and advertising (newspaper, radio broadcasts, through the Vanuatu Government network). Key times for promotion are before applications open each year, and prior to the application closing date.</w:t>
      </w:r>
    </w:p>
    <w:p w14:paraId="4A1DC766" w14:textId="77777777" w:rsidR="00EC0AF2" w:rsidRPr="005C5824" w:rsidRDefault="00EC0AF2" w:rsidP="00EC0AF2">
      <w:r w:rsidRPr="005C5824">
        <w:t>Australian High Commission staff will promote Australia Awards across their networks, particularly when applications are about to or are open. While all applicants must go through a merit based selection process (see below), promising individuals known to the Australian High Commission and program staff will be encouraged to apply.</w:t>
      </w:r>
    </w:p>
    <w:p w14:paraId="73776B91" w14:textId="77777777" w:rsidR="00EC0AF2" w:rsidRPr="005C5824" w:rsidRDefault="00EC0AF2" w:rsidP="00EC0AF2">
      <w:r w:rsidRPr="005C5824">
        <w:t>The MC will prepare all promotional materials, including the online application, which must be consistent with Australia Awards branding and in line with the principle of equitable access. The Australia High Commission will approve all promotional materials prior to publication.</w:t>
      </w:r>
    </w:p>
    <w:p w14:paraId="47669FDF" w14:textId="77777777" w:rsidR="00EC0AF2" w:rsidRPr="005C5824" w:rsidRDefault="00EC0AF2" w:rsidP="006B7C69">
      <w:pPr>
        <w:spacing w:after="120" w:line="240" w:lineRule="auto"/>
        <w:rPr>
          <w:rFonts w:asciiTheme="majorHAnsi" w:hAnsiTheme="majorHAnsi"/>
          <w:b/>
        </w:rPr>
      </w:pPr>
      <w:r w:rsidRPr="005C5824">
        <w:rPr>
          <w:rFonts w:asciiTheme="majorHAnsi" w:hAnsiTheme="majorHAnsi"/>
          <w:b/>
        </w:rPr>
        <w:t>Selection</w:t>
      </w:r>
    </w:p>
    <w:p w14:paraId="47101424" w14:textId="77777777" w:rsidR="00EC0AF2" w:rsidRPr="005C5824" w:rsidRDefault="00EC0AF2" w:rsidP="00EC0AF2">
      <w:r w:rsidRPr="005C5824">
        <w:t>A robust, merit-based selection process that ensures equitable access is critical to ensure the best candidates are awarded a scholarship, and to ensure the program is widely regarded as fair and transparent. The process should select candidates with strong academic records, relevant work experience and who demonstrate a desire, maturity and an aptitude to apply their skills and knowledge to positively influence Vanuatu’s development. A robust selection process will ensure the focus is not on benefits for individual scholarship recipients, but on broader development outcomes for Vanuatu.</w:t>
      </w:r>
    </w:p>
    <w:p w14:paraId="4EE172A8" w14:textId="77777777" w:rsidR="00EC0AF2" w:rsidRPr="005C5824" w:rsidRDefault="00EC0AF2" w:rsidP="00EC0AF2">
      <w:r w:rsidRPr="005C5824">
        <w:t>DFAT’s online system for scholarship management, OASIS, is accessible for institutions and managing contractors. However, the online OASIS application form is very detailed and not required at the application stage. A shorter, more targeted online application form is preferable at the early stage of selection. It should be designed in a way to make the shortlisting process as efficient and fair as possible. Candidates who are selected for a scholarship will need to provide details required in OASIS.</w:t>
      </w:r>
    </w:p>
    <w:p w14:paraId="39F87F1B" w14:textId="7027C5A3" w:rsidR="00EC0AF2" w:rsidRPr="005C5824" w:rsidRDefault="00EC0AF2" w:rsidP="00EC0AF2">
      <w:r w:rsidRPr="005C5824">
        <w:t>The MC will allocate sufficient resources to ensure applications are managed efficiently and the selection process is accurate and fair. With reasonably good internet coverage across Vanuatu (including via smart phones), applications will be limited to online only to minimise the administrative burden. Only in special circumstances will hard copy applications be accepted. Applications will collect information to determine eligibility, academic merit, relevant work experience, professional and personal leadership attributes, and potential to make a contribution to development outcomes in Vanuatu. The application form will also identify candidates that require special assistance.</w:t>
      </w:r>
    </w:p>
    <w:p w14:paraId="0D31141D" w14:textId="22F30D1B" w:rsidR="00EC0AF2" w:rsidRPr="005C5824" w:rsidRDefault="00EC0AF2" w:rsidP="00EC0AF2">
      <w:r w:rsidRPr="005C5824">
        <w:t xml:space="preserve">Only complete applications will be considered, and data will be collected on applications (e.g. sex, province of residence, etc.). Applications will be </w:t>
      </w:r>
      <w:r w:rsidR="00C46008">
        <w:t xml:space="preserve">initially screened </w:t>
      </w:r>
      <w:r w:rsidRPr="005C5824">
        <w:t xml:space="preserve">by the MC on the basis of eligibility, alignment with priority fields of study, recent academic merit, relevant work experience and the likelihood / scale of the potential benefit for Vanuatu. The </w:t>
      </w:r>
      <w:r w:rsidR="00C46008">
        <w:t xml:space="preserve">MC will provide a longlist of approximately 120 candidates, from which DFAT will select a </w:t>
      </w:r>
      <w:r w:rsidRPr="005C5824">
        <w:t xml:space="preserve">shortlist </w:t>
      </w:r>
      <w:r w:rsidR="00C46008">
        <w:t>of candidates to be invited for interview</w:t>
      </w:r>
      <w:r w:rsidRPr="005C5824">
        <w:t>.</w:t>
      </w:r>
    </w:p>
    <w:p w14:paraId="2EDD6631" w14:textId="77777777" w:rsidR="00EC0AF2" w:rsidRPr="005C5824" w:rsidRDefault="00EC0AF2" w:rsidP="00EC0AF2">
      <w:pPr>
        <w:pStyle w:val="ListBullet"/>
        <w:numPr>
          <w:ilvl w:val="0"/>
          <w:numId w:val="0"/>
        </w:numPr>
        <w:rPr>
          <w:rFonts w:asciiTheme="minorHAnsi" w:hAnsiTheme="minorHAnsi"/>
          <w:sz w:val="22"/>
          <w:szCs w:val="21"/>
          <w:lang w:eastAsia="en-US"/>
        </w:rPr>
      </w:pPr>
      <w:r w:rsidRPr="005C5824">
        <w:rPr>
          <w:rFonts w:asciiTheme="minorHAnsi" w:hAnsiTheme="minorHAnsi"/>
          <w:sz w:val="22"/>
          <w:szCs w:val="21"/>
          <w:lang w:eastAsia="en-US"/>
        </w:rPr>
        <w:t xml:space="preserve">All shortlisted candidates (up to 100, at least 50 per cent should be female) must be interviewed to identify candidates who: demonstrate the most likely chance of success on scholarship; have a vision for how they would like to apply their skills and knowledge in Vanuatu to contribute to Vanuatu’s development; and demonstrate the </w:t>
      </w:r>
      <w:r w:rsidRPr="005C5824">
        <w:rPr>
          <w:rFonts w:asciiTheme="minorHAnsi" w:hAnsiTheme="minorHAnsi"/>
          <w:sz w:val="22"/>
          <w:szCs w:val="21"/>
          <w:lang w:eastAsia="en-US"/>
        </w:rPr>
        <w:lastRenderedPageBreak/>
        <w:t>greatest likelihood to become influential leaders. Attributes to be assessed through interviews are communication skills, leadership potential (confidence, initiative, motivation), teamwork, problem solving skills and maturity.</w:t>
      </w:r>
      <w:r w:rsidRPr="005C5824">
        <w:rPr>
          <w:rStyle w:val="FootnoteReference"/>
          <w:rFonts w:asciiTheme="minorHAnsi" w:hAnsiTheme="minorHAnsi"/>
          <w:sz w:val="22"/>
          <w:szCs w:val="21"/>
          <w:lang w:eastAsia="en-US"/>
        </w:rPr>
        <w:footnoteReference w:id="18"/>
      </w:r>
    </w:p>
    <w:p w14:paraId="7EA62E7A" w14:textId="77777777" w:rsidR="00EC0AF2" w:rsidRPr="005C5824" w:rsidRDefault="00EC0AF2" w:rsidP="00EC0AF2">
      <w:r w:rsidRPr="005C5824">
        <w:t>The interview process must involve Australian High Commission staff, Australia Awards alumni and Vanuatu Government representatives. Interviews are a key opportunity to strengthen Vanuatu Government engagement and understanding of the program, and to demonstrate and discuss good practice, transparent selection processes. The selection panel must be chaired by a DFAT staff member (EL1 or above) and the panel will receive a detailed briefing and close advisory support from the MC to ensure efficient and consistent approaches to assessment.</w:t>
      </w:r>
    </w:p>
    <w:p w14:paraId="485205DE" w14:textId="77777777" w:rsidR="00EC0AF2" w:rsidRPr="005C5824" w:rsidRDefault="00EC0AF2" w:rsidP="00EC0AF2">
      <w:r w:rsidRPr="005C5824">
        <w:t>Selection will be by group interview for candidates residing on Efate. Two group interviews will be held – one for undergraduate candidates and another for postgraduate candidates. Sector, gender, age and any other relevant factors will be considered when determining groups, with the aim of making candidates comfortable contributing to group discussions. The interviews will allow adequate time to make participants comfortable, and involve a number of exercises to assess the attributes of all candidates. A brief individual semi-structured interview will also be conducted for each candidate, involving Australian High Commission staff. This will provide an opportunity to test assessments made at group interviews.</w:t>
      </w:r>
    </w:p>
    <w:p w14:paraId="0DB7DFC2" w14:textId="77777777" w:rsidR="00EC0AF2" w:rsidRPr="005C5824" w:rsidRDefault="00EC0AF2" w:rsidP="00EC0AF2">
      <w:r w:rsidRPr="005C5824">
        <w:t>Candidates residing outside Efate will have a phone interview, with interview questions designed to assess the same attributes assessed during group interviews. Trusted interlocutors will be used to verify identity of interviewees.</w:t>
      </w:r>
    </w:p>
    <w:p w14:paraId="620FBB3D" w14:textId="77777777" w:rsidR="00EC0AF2" w:rsidRPr="005C5824" w:rsidRDefault="00EC0AF2" w:rsidP="00EC0AF2">
      <w:r w:rsidRPr="005C5824">
        <w:t>All candidates will also complete a short written response to a question to assess English writing skills and verify assessments made during group or phone interviews.</w:t>
      </w:r>
    </w:p>
    <w:p w14:paraId="108F01FB" w14:textId="77777777" w:rsidR="00EC0AF2" w:rsidRPr="005C5824" w:rsidRDefault="00EC0AF2" w:rsidP="00EC0AF2">
      <w:r w:rsidRPr="005C5824">
        <w:t>The selection process should aim to select up to 30 candidates across all priority sectors (at least 50 per cent should be female). Suitable arrangements should be made to ensure the needs of applicants with a disability are met</w:t>
      </w:r>
      <w:r w:rsidRPr="005C5824">
        <w:rPr>
          <w:rStyle w:val="FootnoteReference"/>
        </w:rPr>
        <w:footnoteReference w:id="19"/>
      </w:r>
      <w:r w:rsidRPr="005C5824">
        <w:t>.</w:t>
      </w:r>
    </w:p>
    <w:p w14:paraId="594BC676" w14:textId="16CAAE6B" w:rsidR="00EC0AF2" w:rsidRPr="005C5824" w:rsidRDefault="00EC0AF2" w:rsidP="00EC0AF2">
      <w:r w:rsidRPr="005C5824">
        <w:t xml:space="preserve">The MC will offer </w:t>
      </w:r>
      <w:r w:rsidR="00C46008">
        <w:t xml:space="preserve">career and </w:t>
      </w:r>
      <w:r w:rsidRPr="005C5824">
        <w:t>course advice to suitable candidates. The effectiveness of the program depends on awardees being placed in the right course of study that matches their training needs. Where appropriate, applicants will be provided with advice about the most appropriate institutions and courses to match their career goals. Flexible study options will also be considered and discussed with awardees, particularly women at mid and senior levels.</w:t>
      </w:r>
      <w:r w:rsidRPr="005C5824">
        <w:rPr>
          <w:rStyle w:val="FootnoteReference"/>
        </w:rPr>
        <w:footnoteReference w:id="20"/>
      </w:r>
    </w:p>
    <w:p w14:paraId="4B097342" w14:textId="77777777" w:rsidR="00EC0AF2" w:rsidRPr="005C5824" w:rsidRDefault="00EC0AF2" w:rsidP="006B7C69">
      <w:pPr>
        <w:spacing w:after="120" w:line="240" w:lineRule="auto"/>
        <w:rPr>
          <w:rFonts w:asciiTheme="majorHAnsi" w:hAnsiTheme="majorHAnsi"/>
          <w:b/>
        </w:rPr>
      </w:pPr>
      <w:r w:rsidRPr="005C5824">
        <w:rPr>
          <w:rFonts w:asciiTheme="majorHAnsi" w:hAnsiTheme="majorHAnsi"/>
          <w:b/>
        </w:rPr>
        <w:t>Placements</w:t>
      </w:r>
    </w:p>
    <w:p w14:paraId="44979560" w14:textId="77777777" w:rsidR="00EC0AF2" w:rsidRPr="005C5824" w:rsidRDefault="00EC0AF2" w:rsidP="00EC0AF2">
      <w:r w:rsidRPr="005C5824">
        <w:t>Once the merit list is approved by the Australian High Commission, interviewed candidates will be notified about whether they will progress to the next stage or not (or whether they are on a reserve list). This notification must clearly state that it is not a letter of offer at this stage.</w:t>
      </w:r>
    </w:p>
    <w:p w14:paraId="064A5B05" w14:textId="77777777" w:rsidR="00EC0AF2" w:rsidRPr="005C5824" w:rsidRDefault="00EC0AF2" w:rsidP="00EC0AF2">
      <w:r w:rsidRPr="005C5824">
        <w:t>All successful and reserve candidates applying to study in Australia will be required to sit an English language proficiency test (IELTS). This test is delivered at the University of the South Pacific Emalus campus in August each year (this service is procured annually by the MC).</w:t>
      </w:r>
    </w:p>
    <w:p w14:paraId="6D928BCE" w14:textId="77777777" w:rsidR="00EC0AF2" w:rsidRPr="005C5824" w:rsidRDefault="00EC0AF2" w:rsidP="00EC0AF2">
      <w:r w:rsidRPr="005C5824">
        <w:t>Successful and reserve candidates must provide details required in OASIS so that placement with institutions through the system can occur. The MC will request placement at the preferred institution for priority and reserve candidates by entering the placement details and IELTS score into OASIS before the global cut-off date for award placements (typically mid-September). Once a university placement is confirmed, DFAT will generate in OASIS a letter of offer, to be signed by the First Secretary at the Australian High Commission, and a student contract for the applicant.</w:t>
      </w:r>
    </w:p>
    <w:p w14:paraId="2A0A587F" w14:textId="77777777" w:rsidR="00EC0AF2" w:rsidRPr="005C5824" w:rsidRDefault="00EC0AF2" w:rsidP="00EC0AF2">
      <w:r w:rsidRPr="005C5824">
        <w:t>Where candidates are not accepted by their preferred institution because their IELTS score falls short, pre-course English language training (for up to six months) may be considered as part of their offer of award, where there is a good value for money justification.</w:t>
      </w:r>
    </w:p>
    <w:p w14:paraId="69F1C0F3" w14:textId="77777777" w:rsidR="00EC0AF2" w:rsidRPr="005C5824" w:rsidRDefault="00EC0AF2" w:rsidP="006B7C69">
      <w:pPr>
        <w:spacing w:after="120" w:line="240" w:lineRule="auto"/>
        <w:rPr>
          <w:rFonts w:asciiTheme="majorHAnsi" w:hAnsiTheme="majorHAnsi"/>
          <w:b/>
        </w:rPr>
      </w:pPr>
      <w:r w:rsidRPr="005C5824">
        <w:rPr>
          <w:rFonts w:asciiTheme="majorHAnsi" w:hAnsiTheme="majorHAnsi"/>
          <w:b/>
        </w:rPr>
        <w:t>Mobilisation</w:t>
      </w:r>
    </w:p>
    <w:p w14:paraId="7A8408AF" w14:textId="477950BE" w:rsidR="00EC0AF2" w:rsidRPr="005C5824" w:rsidRDefault="00EC0AF2" w:rsidP="00EC0AF2">
      <w:r w:rsidRPr="005C5824">
        <w:t xml:space="preserve">All successful awardees must attend a pre-departure briefing. Spouses will also be encouraged to attend, given the significant impact of a scholarship on the lives of spouses and dependents. This will be led by the Australian High </w:t>
      </w:r>
      <w:r w:rsidRPr="005C5824">
        <w:lastRenderedPageBreak/>
        <w:t xml:space="preserve">Commission, with administrative support from the MC. An indicative program is at </w:t>
      </w:r>
      <w:r w:rsidRPr="005C5824">
        <w:rPr>
          <w:u w:val="single"/>
        </w:rPr>
        <w:t xml:space="preserve">Annex </w:t>
      </w:r>
      <w:r w:rsidR="00D64C26" w:rsidRPr="005C5824">
        <w:rPr>
          <w:u w:val="single"/>
        </w:rPr>
        <w:t>E</w:t>
      </w:r>
      <w:r w:rsidRPr="005C5824">
        <w:t>. Reasonable costs for travel will be met for candidates (and spouses) not residing in Port Vila.</w:t>
      </w:r>
    </w:p>
    <w:p w14:paraId="364E1CAF" w14:textId="77777777" w:rsidR="00EC0AF2" w:rsidRPr="005C5824" w:rsidRDefault="00EC0AF2" w:rsidP="00EC0AF2">
      <w:r w:rsidRPr="005C5824">
        <w:t>The MC will arrange for the awardees to complete Australian student visa application forms, including the medical test, for submission to the Department of Immigration and Border Protection. The MC will book flights for candidates to ensure they arrive in time for the mandatory Introductory Academic Program (for those studying in Australia) and classes. Institutions will be notified of awardees travel details and confirm reception at the destination.</w:t>
      </w:r>
    </w:p>
    <w:p w14:paraId="6DAF29D5" w14:textId="77777777" w:rsidR="00EC0AF2" w:rsidRPr="005C5824" w:rsidRDefault="00EC0AF2" w:rsidP="006B7C69">
      <w:pPr>
        <w:spacing w:after="120" w:line="240" w:lineRule="auto"/>
        <w:rPr>
          <w:rFonts w:asciiTheme="majorHAnsi" w:hAnsiTheme="majorHAnsi"/>
          <w:b/>
        </w:rPr>
      </w:pPr>
      <w:r w:rsidRPr="005C5824">
        <w:rPr>
          <w:rFonts w:asciiTheme="majorHAnsi" w:hAnsiTheme="majorHAnsi"/>
          <w:b/>
        </w:rPr>
        <w:t>On award support</w:t>
      </w:r>
    </w:p>
    <w:p w14:paraId="73E4BC6C" w14:textId="652A6B31" w:rsidR="00EC0AF2" w:rsidRPr="005C5824" w:rsidRDefault="00EC0AF2" w:rsidP="00EC0AF2">
      <w:r w:rsidRPr="005C5824">
        <w:t>Once awardees arrive at their institution, their academic support and pastoral care is the responsibility of the host institution. The MC will liaise with institutions regarding award variations, support reintegration and facilitate reporting of welfare incidents. Where there appears to be a good justification for a variation</w:t>
      </w:r>
      <w:r w:rsidR="008C4AF0" w:rsidRPr="005C5824">
        <w:t xml:space="preserve"> to an award</w:t>
      </w:r>
      <w:r w:rsidRPr="005C5824">
        <w:t>, the MC will seek approval from the Australian High Commission.</w:t>
      </w:r>
    </w:p>
    <w:p w14:paraId="291D78BE" w14:textId="77777777" w:rsidR="00EC0AF2" w:rsidRPr="005C5824" w:rsidRDefault="00EC0AF2" w:rsidP="00EC0AF2">
      <w:r w:rsidRPr="005C5824">
        <w:t>Monitoring students’ academic performance each semester is required and students who do not perform should be terminated (in line with the Policy Handbook).</w:t>
      </w:r>
    </w:p>
    <w:p w14:paraId="6AADCE16" w14:textId="77777777" w:rsidR="00EC0AF2" w:rsidRPr="005C5824" w:rsidRDefault="00EC0AF2" w:rsidP="00EC0AF2">
      <w:r w:rsidRPr="005C5824">
        <w:t>The MC will also facilitate internships for undergraduate awardees with appropriate organisations in Vanuatu (and/or in Australia) during university holidays. The MC will also work with alumni and relevant employers to support their re-entry to Vanuatu, through encouraging early communication before return, as well as reviewing and updating Reintegration Plans as appropriate.</w:t>
      </w:r>
    </w:p>
    <w:p w14:paraId="28C8239F" w14:textId="77777777" w:rsidR="00EC0AF2" w:rsidRPr="005C5824" w:rsidRDefault="00EC0AF2" w:rsidP="006B7C69">
      <w:pPr>
        <w:spacing w:after="120" w:line="240" w:lineRule="auto"/>
        <w:rPr>
          <w:rFonts w:asciiTheme="majorHAnsi" w:hAnsiTheme="majorHAnsi"/>
          <w:b/>
        </w:rPr>
      </w:pPr>
      <w:r w:rsidRPr="005C5824">
        <w:rPr>
          <w:rFonts w:asciiTheme="majorHAnsi" w:hAnsiTheme="majorHAnsi"/>
          <w:b/>
        </w:rPr>
        <w:t>Alumni engagement</w:t>
      </w:r>
    </w:p>
    <w:p w14:paraId="210B4762" w14:textId="77777777" w:rsidR="00EC0AF2" w:rsidRPr="005C5824" w:rsidRDefault="00EC0AF2" w:rsidP="00EC0AF2">
      <w:r w:rsidRPr="005C5824">
        <w:t>One of the aims of Australia Awards globally is to build people-to-people links at the individual, institutional and country levels. Ideally, alumni will bring not only new technical skills, knowledge and networks to their workplace on their return, they will also bring an appreciation for good governance, accountability, equality and inclusiveness.</w:t>
      </w:r>
    </w:p>
    <w:p w14:paraId="48BE2C0E" w14:textId="77777777" w:rsidR="00EC0AF2" w:rsidRPr="005C5824" w:rsidRDefault="00EC0AF2" w:rsidP="00EC0AF2">
      <w:r w:rsidRPr="005C5824">
        <w:t>Alumni are also a vital diplomatic asset. Many alumni are in important positions in the Vanuatu Government, including at the Ministerial level. This opens doors for DFAT to pursue Australia’s interests with people who have a better understanding of Australian culture and who have been exposed to issues of concern to Australia and Australians. Alumni activities will seek to strengthen these key relationships to maximise the benefits of Australia’s investment in these individuals.</w:t>
      </w:r>
    </w:p>
    <w:p w14:paraId="42ACEA6E" w14:textId="77777777" w:rsidR="00EC0AF2" w:rsidRPr="005C5824" w:rsidRDefault="00EC0AF2" w:rsidP="00EC0AF2">
      <w:r w:rsidRPr="005C5824">
        <w:t>An alumni network in Vanuatu was launched in February 2016. This network is an important mechanism to maintain and strengthen people-to-people links. The network aims to provide ongoing, practical professional development support for alumni, in recognition that a formal qualification is not enough to excel in the workplace. Strengthening the alumni network is a high priority for the program.</w:t>
      </w:r>
    </w:p>
    <w:p w14:paraId="7EAA5387" w14:textId="77777777" w:rsidR="00EC0AF2" w:rsidRPr="005C5824" w:rsidRDefault="00EC0AF2" w:rsidP="00EC0AF2">
      <w:r w:rsidRPr="005C5824">
        <w:t>The program will deliver annual alumni activities designed to build relationships with the Australian High Commission, provide links to Australia and across the region, and support alumni career development. Alumni will be encouraged through these activities to continue to apply their skills, knowledge, and experiences, maintain links with each other and their institutions of study.</w:t>
      </w:r>
    </w:p>
    <w:p w14:paraId="67534C84" w14:textId="77777777" w:rsidR="00EC0AF2" w:rsidRPr="005C5824" w:rsidRDefault="00EC0AF2" w:rsidP="00EC0AF2">
      <w:r w:rsidRPr="005C5824">
        <w:t>Activities will be designed to enhance ‘soft skills’ such as leadership (with a focus on how male and female alumni can strengthen women’s leadership outcomes), project management, public speaking, change management and networking as well as cross-cutting issues such as gender equality, disability inclusion and climate change. There will also be dedicated ‘Women in Leadership’ alumni activities (this may include specific discussions for female alumni to discuss how they might try to overcome barriers they are likely to face).</w:t>
      </w:r>
    </w:p>
    <w:p w14:paraId="01AB4224" w14:textId="77777777" w:rsidR="00EC0AF2" w:rsidRPr="005C5824" w:rsidRDefault="00EC0AF2" w:rsidP="00EC0AF2">
      <w:r w:rsidRPr="005C5824">
        <w:t>The Australian High Commission will also pursue stronger relationships with key alumni working in areas that have potential to support mutual interests of Australia and Vanuatu.</w:t>
      </w:r>
      <w:r w:rsidRPr="005C5824">
        <w:rPr>
          <w:rStyle w:val="FootnoteReference"/>
        </w:rPr>
        <w:footnoteReference w:id="21"/>
      </w:r>
    </w:p>
    <w:p w14:paraId="22151EEB" w14:textId="5AEC1B4E" w:rsidR="00EC0AF2" w:rsidRPr="005C5824" w:rsidRDefault="00EC0AF2" w:rsidP="00EC0AF2">
      <w:r w:rsidRPr="005C5824">
        <w:t>The MC will work closely with the Australian High Commission and the Alumni Committee to deliver activities.</w:t>
      </w:r>
    </w:p>
    <w:p w14:paraId="1F4FEDEC" w14:textId="77777777" w:rsidR="00EC0AF2" w:rsidRPr="005C5824" w:rsidRDefault="00EC0AF2" w:rsidP="00EC0AF2">
      <w:r w:rsidRPr="005C5824">
        <w:t xml:space="preserve">The MC will also work with each awardee to develop a Reintegration Plan prior to their departure (which links to the overall priorities identified in the Aid Investment Plan). All awardees (male and female) will be encouraged to consider how they can integrate actions to promote gender equality and disability inclusion in their Reintegration Plan. Where possible, these plans will be endorsed by the awardee’s supervisor and integrated into the workplan of their organisation. The MC will also work with awardees to update their plan within one month of completion of their award. These plans will be useful tools to apply and monitor the application of new knowledge and skills. The </w:t>
      </w:r>
      <w:r w:rsidRPr="005C5824">
        <w:lastRenderedPageBreak/>
        <w:t>plan will focus on a relevant area of change that an individual can undertake on return to their organisation or on employment strategies for candidates that had to resign from their position to take up an award, or for those without prior work experience.</w:t>
      </w:r>
      <w:r w:rsidRPr="005C5824">
        <w:rPr>
          <w:rStyle w:val="FootnoteReference"/>
        </w:rPr>
        <w:footnoteReference w:id="22"/>
      </w:r>
    </w:p>
    <w:p w14:paraId="58674B54" w14:textId="0272A7CB" w:rsidR="00EC0AF2" w:rsidRPr="005C5824" w:rsidRDefault="00EC0AF2" w:rsidP="00EC0AF2">
      <w:r w:rsidRPr="005C5824">
        <w:t xml:space="preserve">All recent graduates should participate in a career goal setting, CV writing and interview skills workshop soon after their return to Vanuatu. This workshop will also include an opportunity for </w:t>
      </w:r>
      <w:r w:rsidR="00B71D37" w:rsidRPr="005C5824">
        <w:t>high-level engagement with the Australian High Commission</w:t>
      </w:r>
      <w:r w:rsidRPr="005C5824">
        <w:t>. This event may include family members and employers. Media promotion should be arranged for the function.</w:t>
      </w:r>
    </w:p>
    <w:p w14:paraId="0DC1B221" w14:textId="77777777" w:rsidR="00EC0AF2" w:rsidRPr="005C5824" w:rsidRDefault="00EC0AF2" w:rsidP="00EC0AF2">
      <w:r w:rsidRPr="005C5824">
        <w:t>Alumni engagement should encourage links with DFAT’s Direct Aid Program to provide small grants for the purchase of equipment to support alumni in the workplace. Supporting alumni leadership and networking may also include sponsorship to present at professional conferences in the region.</w:t>
      </w:r>
    </w:p>
    <w:p w14:paraId="5ADB62F2" w14:textId="1FE8087A" w:rsidR="00EC0AF2" w:rsidRPr="005C5824" w:rsidRDefault="005C5824" w:rsidP="00EC0AF2">
      <w:r>
        <w:t>SC</w:t>
      </w:r>
      <w:r w:rsidR="00EC0AF2" w:rsidRPr="005C5824">
        <w:t xml:space="preserve">B has developed the Australia Global Alumni </w:t>
      </w:r>
      <w:r w:rsidR="00D96096" w:rsidRPr="005C5824">
        <w:t>website for Alumni (and Alumni practitioners)</w:t>
      </w:r>
      <w:r w:rsidR="00181DA5" w:rsidRPr="005C5824">
        <w:rPr>
          <w:rStyle w:val="FootnoteReference"/>
        </w:rPr>
        <w:footnoteReference w:id="23"/>
      </w:r>
      <w:r w:rsidR="00EC0AF2" w:rsidRPr="005C5824">
        <w:t xml:space="preserve"> to promote discussion about alumni engagement, research and policy in an informal and easily accessible format. Where possible, the program will promote alumni engagement in this forum and keep alumni information up-to-date. The MC will also regularly seek and update alumni personal profiles and identify high-profile alumni, media opportunities and data for statistical reporting. The MC will liaise directly with the Global Alumni Communications team in DFAT to promote alumni achievements.</w:t>
      </w:r>
    </w:p>
    <w:p w14:paraId="2D6FB847" w14:textId="77777777" w:rsidR="00EC0AF2" w:rsidRPr="005C5824" w:rsidRDefault="00EC0AF2" w:rsidP="006B7C69">
      <w:pPr>
        <w:spacing w:after="120" w:line="240" w:lineRule="auto"/>
        <w:rPr>
          <w:rFonts w:asciiTheme="majorHAnsi" w:hAnsiTheme="majorHAnsi"/>
          <w:b/>
        </w:rPr>
      </w:pPr>
      <w:r w:rsidRPr="005C5824">
        <w:rPr>
          <w:rFonts w:asciiTheme="majorHAnsi" w:hAnsiTheme="majorHAnsi"/>
          <w:b/>
        </w:rPr>
        <w:t>Stakeholder engagement</w:t>
      </w:r>
    </w:p>
    <w:p w14:paraId="31FD57E2" w14:textId="470ADB26" w:rsidR="00EC0AF2" w:rsidRPr="005C5824" w:rsidRDefault="00EC0AF2" w:rsidP="00EC0AF2">
      <w:r w:rsidRPr="005C5824">
        <w:t xml:space="preserve">The Australian High Commission will continue to share lessons with other Pacific posts through a Pacific Scholarships Community of Practice, which will convene </w:t>
      </w:r>
      <w:r w:rsidR="00C46008">
        <w:t>monthly</w:t>
      </w:r>
      <w:r w:rsidRPr="005C5824">
        <w:t>. Where requested, the MC will participate.</w:t>
      </w:r>
    </w:p>
    <w:p w14:paraId="5F2135A4" w14:textId="77777777" w:rsidR="00EC0AF2" w:rsidRPr="005C5824" w:rsidRDefault="00EC0AF2" w:rsidP="00EC0AF2">
      <w:pPr>
        <w:spacing w:after="0"/>
      </w:pPr>
      <w:r w:rsidRPr="005C5824">
        <w:t>The Australian High Commission will also lead strategic engagement with the Vanuatu Government and other donors, particularly the New Zealand High Commission. This will include pursuing opportunities to strengthen policy dialogue with key stakeholders to:</w:t>
      </w:r>
    </w:p>
    <w:p w14:paraId="1813CBCB" w14:textId="77777777" w:rsidR="00EC0AF2" w:rsidRPr="005C5824" w:rsidRDefault="00EC0AF2" w:rsidP="00EC0AF2">
      <w:pPr>
        <w:pStyle w:val="ListBullet"/>
        <w:numPr>
          <w:ilvl w:val="0"/>
          <w:numId w:val="14"/>
        </w:numPr>
        <w:tabs>
          <w:tab w:val="clear" w:pos="284"/>
          <w:tab w:val="left" w:pos="567"/>
        </w:tabs>
        <w:spacing w:after="0" w:line="240" w:lineRule="auto"/>
        <w:ind w:left="567" w:hanging="357"/>
        <w:rPr>
          <w:rFonts w:asciiTheme="minorHAnsi" w:hAnsiTheme="minorHAnsi"/>
          <w:sz w:val="22"/>
          <w:lang w:eastAsia="en-US"/>
        </w:rPr>
      </w:pPr>
      <w:r w:rsidRPr="005C5824">
        <w:rPr>
          <w:rFonts w:asciiTheme="minorHAnsi" w:hAnsiTheme="minorHAnsi"/>
          <w:sz w:val="22"/>
          <w:lang w:eastAsia="en-US"/>
        </w:rPr>
        <w:t>promote Australia Award opportunities to organisations that have influence in shaping development in Vanuatu and the Pacific region;</w:t>
      </w:r>
    </w:p>
    <w:p w14:paraId="4A7DDDD9" w14:textId="77777777" w:rsidR="00EC0AF2" w:rsidRPr="005C5824" w:rsidRDefault="00EC0AF2" w:rsidP="00EC0AF2">
      <w:pPr>
        <w:pStyle w:val="ListBullet"/>
        <w:numPr>
          <w:ilvl w:val="0"/>
          <w:numId w:val="14"/>
        </w:numPr>
        <w:tabs>
          <w:tab w:val="clear" w:pos="284"/>
          <w:tab w:val="left" w:pos="567"/>
        </w:tabs>
        <w:spacing w:after="0" w:line="240" w:lineRule="auto"/>
        <w:ind w:left="567" w:hanging="357"/>
        <w:rPr>
          <w:rFonts w:asciiTheme="minorHAnsi" w:hAnsiTheme="minorHAnsi"/>
          <w:sz w:val="22"/>
          <w:lang w:eastAsia="en-US"/>
        </w:rPr>
      </w:pPr>
      <w:r w:rsidRPr="005C5824">
        <w:rPr>
          <w:rFonts w:asciiTheme="minorHAnsi" w:hAnsiTheme="minorHAnsi"/>
          <w:sz w:val="22"/>
          <w:lang w:eastAsia="en-US"/>
        </w:rPr>
        <w:t>identify the skills and knowledge that can best contribute to strengthening development outcomes; and</w:t>
      </w:r>
    </w:p>
    <w:p w14:paraId="59B4A306" w14:textId="77777777" w:rsidR="00EC0AF2" w:rsidRPr="005C5824" w:rsidRDefault="00EC0AF2" w:rsidP="00EC0AF2">
      <w:pPr>
        <w:pStyle w:val="ListBullet"/>
        <w:numPr>
          <w:ilvl w:val="0"/>
          <w:numId w:val="14"/>
        </w:numPr>
        <w:tabs>
          <w:tab w:val="clear" w:pos="284"/>
          <w:tab w:val="left" w:pos="567"/>
        </w:tabs>
        <w:spacing w:line="240" w:lineRule="auto"/>
        <w:ind w:left="567" w:hanging="357"/>
        <w:rPr>
          <w:rFonts w:asciiTheme="minorHAnsi" w:hAnsiTheme="minorHAnsi"/>
          <w:sz w:val="22"/>
          <w:lang w:eastAsia="en-US"/>
        </w:rPr>
      </w:pPr>
      <w:r w:rsidRPr="005C5824">
        <w:rPr>
          <w:rFonts w:asciiTheme="minorHAnsi" w:hAnsiTheme="minorHAnsi"/>
          <w:sz w:val="22"/>
          <w:lang w:eastAsia="en-US"/>
        </w:rPr>
        <w:t>promote mutual accountability for results, including by requiring employers to support reintegration of alumni to apply their new skills, knowledge and networks.</w:t>
      </w:r>
    </w:p>
    <w:p w14:paraId="64BC89B3" w14:textId="77777777" w:rsidR="00EC0AF2" w:rsidRPr="005C5824" w:rsidRDefault="00EC0AF2" w:rsidP="006B7C69">
      <w:pPr>
        <w:spacing w:after="120" w:line="240" w:lineRule="auto"/>
        <w:rPr>
          <w:rFonts w:asciiTheme="majorHAnsi" w:hAnsiTheme="majorHAnsi"/>
          <w:b/>
        </w:rPr>
      </w:pPr>
      <w:r w:rsidRPr="005C5824">
        <w:rPr>
          <w:rFonts w:asciiTheme="majorHAnsi" w:hAnsiTheme="majorHAnsi"/>
          <w:b/>
        </w:rPr>
        <w:t>Monitoring and Evaluation (M&amp;E)</w:t>
      </w:r>
    </w:p>
    <w:p w14:paraId="2FFB7564" w14:textId="11F70749" w:rsidR="00EC0AF2" w:rsidRPr="005C5824" w:rsidRDefault="00EC0AF2" w:rsidP="00EC0AF2">
      <w:r w:rsidRPr="005C5824">
        <w:t xml:space="preserve">An M&amp;E Plan that aligns with the Australia Awards Global M&amp;E Framework is at </w:t>
      </w:r>
      <w:r w:rsidRPr="005C5824">
        <w:rPr>
          <w:u w:val="single"/>
        </w:rPr>
        <w:t xml:space="preserve">Annex </w:t>
      </w:r>
      <w:r w:rsidR="00D53F5E" w:rsidRPr="005C5824">
        <w:rPr>
          <w:u w:val="single"/>
        </w:rPr>
        <w:t>C</w:t>
      </w:r>
      <w:r w:rsidRPr="005C5824">
        <w:t xml:space="preserve">. MC will review this plan and prepare a </w:t>
      </w:r>
      <w:r w:rsidR="00A44C31" w:rsidRPr="005C5824">
        <w:t>revised</w:t>
      </w:r>
      <w:r w:rsidRPr="005C5824">
        <w:t xml:space="preserve"> plan by </w:t>
      </w:r>
      <w:r w:rsidR="00A44C31" w:rsidRPr="005C5824">
        <w:t>February</w:t>
      </w:r>
      <w:r w:rsidRPr="005C5824">
        <w:t xml:space="preserve"> 201</w:t>
      </w:r>
      <w:r w:rsidR="00A44C31" w:rsidRPr="005C5824">
        <w:t>9</w:t>
      </w:r>
      <w:r w:rsidRPr="005C5824">
        <w:t xml:space="preserve"> to be used for implementation of the program. The MC will ensure that adequate resources are allocated and that reporting meets DFAT’s M&amp;E Standards.</w:t>
      </w:r>
    </w:p>
    <w:p w14:paraId="5CD3543E" w14:textId="77777777" w:rsidR="00EC0AF2" w:rsidRPr="005C5824" w:rsidRDefault="00EC0AF2" w:rsidP="00EC0AF2">
      <w:pPr>
        <w:spacing w:after="0"/>
      </w:pPr>
      <w:r w:rsidRPr="005C5824">
        <w:t>MC reports will be informed by the following M&amp;E activities:</w:t>
      </w:r>
    </w:p>
    <w:p w14:paraId="3253C356" w14:textId="77777777" w:rsidR="00EC0AF2" w:rsidRPr="005C5824" w:rsidRDefault="00EC0AF2" w:rsidP="00EC0AF2">
      <w:pPr>
        <w:pStyle w:val="ListBullet"/>
        <w:numPr>
          <w:ilvl w:val="0"/>
          <w:numId w:val="14"/>
        </w:numPr>
        <w:tabs>
          <w:tab w:val="clear" w:pos="284"/>
          <w:tab w:val="left" w:pos="567"/>
        </w:tabs>
        <w:spacing w:after="0" w:line="240" w:lineRule="auto"/>
        <w:ind w:left="567" w:hanging="357"/>
        <w:rPr>
          <w:rFonts w:asciiTheme="minorHAnsi" w:hAnsiTheme="minorHAnsi"/>
          <w:sz w:val="22"/>
          <w:lang w:eastAsia="en-US"/>
        </w:rPr>
      </w:pPr>
      <w:r w:rsidRPr="005C5824">
        <w:rPr>
          <w:rFonts w:asciiTheme="minorHAnsi" w:hAnsiTheme="minorHAnsi"/>
          <w:sz w:val="22"/>
          <w:lang w:eastAsia="en-US"/>
        </w:rPr>
        <w:t>Selection panel feedback (to inform selection process in future years).</w:t>
      </w:r>
    </w:p>
    <w:p w14:paraId="52799AE6" w14:textId="2107B8E9" w:rsidR="00EC0AF2" w:rsidRPr="005C5824" w:rsidRDefault="00EC0AF2" w:rsidP="00EC0AF2">
      <w:pPr>
        <w:pStyle w:val="ListBullet"/>
        <w:numPr>
          <w:ilvl w:val="0"/>
          <w:numId w:val="14"/>
        </w:numPr>
        <w:tabs>
          <w:tab w:val="clear" w:pos="284"/>
          <w:tab w:val="left" w:pos="567"/>
        </w:tabs>
        <w:spacing w:after="0" w:line="240" w:lineRule="auto"/>
        <w:ind w:left="567" w:hanging="357"/>
        <w:rPr>
          <w:rFonts w:asciiTheme="minorHAnsi" w:hAnsiTheme="minorHAnsi"/>
          <w:sz w:val="22"/>
          <w:lang w:eastAsia="en-US"/>
        </w:rPr>
      </w:pPr>
      <w:r w:rsidRPr="005C5824">
        <w:rPr>
          <w:rFonts w:asciiTheme="minorHAnsi" w:hAnsiTheme="minorHAnsi"/>
          <w:sz w:val="22"/>
          <w:lang w:eastAsia="en-US"/>
        </w:rPr>
        <w:t xml:space="preserve">Global Australia Award surveys managed by </w:t>
      </w:r>
      <w:r w:rsidR="005C5824">
        <w:rPr>
          <w:rFonts w:asciiTheme="minorHAnsi" w:hAnsiTheme="minorHAnsi"/>
          <w:sz w:val="22"/>
          <w:lang w:eastAsia="en-US"/>
        </w:rPr>
        <w:t>SC</w:t>
      </w:r>
      <w:r w:rsidRPr="005C5824">
        <w:rPr>
          <w:rFonts w:asciiTheme="minorHAnsi" w:hAnsiTheme="minorHAnsi"/>
          <w:sz w:val="22"/>
          <w:lang w:eastAsia="en-US"/>
        </w:rPr>
        <w:t>B (which assess the quality of selection, placement, mobilisation, etc.).</w:t>
      </w:r>
    </w:p>
    <w:p w14:paraId="1E384F89" w14:textId="77777777" w:rsidR="00EC0AF2" w:rsidRPr="005C5824" w:rsidRDefault="00EC0AF2" w:rsidP="00EC0AF2">
      <w:pPr>
        <w:pStyle w:val="ListBullet"/>
        <w:numPr>
          <w:ilvl w:val="0"/>
          <w:numId w:val="14"/>
        </w:numPr>
        <w:tabs>
          <w:tab w:val="clear" w:pos="284"/>
          <w:tab w:val="left" w:pos="567"/>
        </w:tabs>
        <w:spacing w:after="0" w:line="240" w:lineRule="auto"/>
        <w:ind w:left="567" w:hanging="357"/>
        <w:rPr>
          <w:rFonts w:asciiTheme="minorHAnsi" w:hAnsiTheme="minorHAnsi"/>
          <w:sz w:val="22"/>
          <w:lang w:eastAsia="en-US"/>
        </w:rPr>
      </w:pPr>
      <w:r w:rsidRPr="005C5824">
        <w:rPr>
          <w:rFonts w:asciiTheme="minorHAnsi" w:hAnsiTheme="minorHAnsi"/>
          <w:sz w:val="22"/>
          <w:lang w:eastAsia="en-US"/>
        </w:rPr>
        <w:t>Graduation / reintegration survey (for alumni within 3 months of graduation to better understand issues on award and on return to Vanuatu, and after 12 months to assess the achievement of the reintegration plan).</w:t>
      </w:r>
    </w:p>
    <w:p w14:paraId="714FF669" w14:textId="77777777" w:rsidR="00EC0AF2" w:rsidRPr="005C5824" w:rsidRDefault="00EC0AF2" w:rsidP="00EC0AF2">
      <w:pPr>
        <w:pStyle w:val="ListBullet"/>
        <w:numPr>
          <w:ilvl w:val="0"/>
          <w:numId w:val="14"/>
        </w:numPr>
        <w:tabs>
          <w:tab w:val="clear" w:pos="284"/>
          <w:tab w:val="left" w:pos="567"/>
        </w:tabs>
        <w:spacing w:after="0" w:line="240" w:lineRule="auto"/>
        <w:ind w:left="567" w:hanging="357"/>
        <w:rPr>
          <w:rFonts w:asciiTheme="minorHAnsi" w:hAnsiTheme="minorHAnsi"/>
          <w:sz w:val="22"/>
          <w:lang w:eastAsia="en-US"/>
        </w:rPr>
      </w:pPr>
      <w:r w:rsidRPr="005C5824">
        <w:rPr>
          <w:rFonts w:asciiTheme="minorHAnsi" w:hAnsiTheme="minorHAnsi"/>
          <w:sz w:val="22"/>
          <w:lang w:eastAsia="en-US"/>
        </w:rPr>
        <w:t>Feedback surveys on alumni activities.</w:t>
      </w:r>
    </w:p>
    <w:p w14:paraId="23AD0A77" w14:textId="77777777" w:rsidR="00EC0AF2" w:rsidRPr="005C5824" w:rsidRDefault="00EC0AF2" w:rsidP="00EC0AF2">
      <w:pPr>
        <w:pStyle w:val="ListBullet"/>
        <w:numPr>
          <w:ilvl w:val="0"/>
          <w:numId w:val="14"/>
        </w:numPr>
        <w:tabs>
          <w:tab w:val="clear" w:pos="284"/>
          <w:tab w:val="left" w:pos="567"/>
        </w:tabs>
        <w:spacing w:after="0" w:line="240" w:lineRule="auto"/>
        <w:ind w:left="567" w:hanging="357"/>
        <w:rPr>
          <w:rFonts w:asciiTheme="minorHAnsi" w:hAnsiTheme="minorHAnsi"/>
          <w:sz w:val="22"/>
          <w:lang w:eastAsia="en-US"/>
        </w:rPr>
      </w:pPr>
      <w:r w:rsidRPr="005C5824">
        <w:rPr>
          <w:rFonts w:asciiTheme="minorHAnsi" w:hAnsiTheme="minorHAnsi"/>
          <w:sz w:val="22"/>
          <w:lang w:eastAsia="en-US"/>
        </w:rPr>
        <w:t>Annual reflection workshop to consider the efficiency and effectiveness of activities, relevance of priority sectors, and the degree to which gender equality and disability inclusion have been integrated into activities.</w:t>
      </w:r>
    </w:p>
    <w:p w14:paraId="4077357F" w14:textId="77777777" w:rsidR="00EC0AF2" w:rsidRPr="005C5824" w:rsidRDefault="00EC0AF2" w:rsidP="00EC0AF2">
      <w:pPr>
        <w:pStyle w:val="ListBullet"/>
        <w:numPr>
          <w:ilvl w:val="0"/>
          <w:numId w:val="14"/>
        </w:numPr>
        <w:tabs>
          <w:tab w:val="clear" w:pos="284"/>
          <w:tab w:val="left" w:pos="567"/>
        </w:tabs>
        <w:spacing w:after="0" w:line="240" w:lineRule="auto"/>
        <w:ind w:left="567" w:hanging="357"/>
        <w:rPr>
          <w:rFonts w:asciiTheme="minorHAnsi" w:hAnsiTheme="minorHAnsi"/>
          <w:sz w:val="22"/>
          <w:lang w:eastAsia="en-US"/>
        </w:rPr>
      </w:pPr>
      <w:r w:rsidRPr="005C5824">
        <w:rPr>
          <w:rFonts w:asciiTheme="minorHAnsi" w:hAnsiTheme="minorHAnsi"/>
          <w:sz w:val="22"/>
          <w:lang w:eastAsia="en-US"/>
        </w:rPr>
        <w:t>Case studies and/or a review of alumni contributions to systems level changes driven by alumni in Vanuatu.</w:t>
      </w:r>
    </w:p>
    <w:p w14:paraId="4D552030" w14:textId="23245D18" w:rsidR="00EC0AF2" w:rsidRPr="005C5824" w:rsidRDefault="00EC0AF2" w:rsidP="00F6098A">
      <w:pPr>
        <w:pStyle w:val="ListBullet"/>
        <w:numPr>
          <w:ilvl w:val="0"/>
          <w:numId w:val="14"/>
        </w:numPr>
        <w:tabs>
          <w:tab w:val="clear" w:pos="284"/>
          <w:tab w:val="left" w:pos="567"/>
        </w:tabs>
        <w:spacing w:line="240" w:lineRule="auto"/>
        <w:ind w:left="567" w:hanging="357"/>
        <w:rPr>
          <w:rFonts w:asciiTheme="minorHAnsi" w:hAnsiTheme="minorHAnsi"/>
          <w:sz w:val="22"/>
          <w:lang w:eastAsia="en-US"/>
        </w:rPr>
      </w:pPr>
      <w:r w:rsidRPr="005C5824">
        <w:rPr>
          <w:rFonts w:asciiTheme="minorHAnsi" w:hAnsiTheme="minorHAnsi"/>
          <w:sz w:val="22"/>
          <w:lang w:eastAsia="en-US"/>
        </w:rPr>
        <w:t xml:space="preserve">Global tracer studies (managed by </w:t>
      </w:r>
      <w:r w:rsidR="005C5824">
        <w:rPr>
          <w:rFonts w:asciiTheme="minorHAnsi" w:hAnsiTheme="minorHAnsi"/>
          <w:sz w:val="22"/>
          <w:lang w:eastAsia="en-US"/>
        </w:rPr>
        <w:t>SC</w:t>
      </w:r>
      <w:r w:rsidRPr="005C5824">
        <w:rPr>
          <w:rFonts w:asciiTheme="minorHAnsi" w:hAnsiTheme="minorHAnsi"/>
          <w:sz w:val="22"/>
          <w:lang w:eastAsia="en-US"/>
        </w:rPr>
        <w:t>B).</w:t>
      </w:r>
      <w:r w:rsidR="00B71D37" w:rsidRPr="005C5824">
        <w:rPr>
          <w:rFonts w:asciiTheme="majorHAnsi" w:hAnsiTheme="majorHAnsi"/>
          <w:b/>
          <w:sz w:val="28"/>
          <w:szCs w:val="28"/>
        </w:rPr>
        <w:br w:type="page"/>
      </w:r>
    </w:p>
    <w:p w14:paraId="40FFCA6B" w14:textId="77777777" w:rsidR="00EC0AF2" w:rsidRPr="005C5824" w:rsidRDefault="00EC0AF2" w:rsidP="00EC0AF2">
      <w:pPr>
        <w:suppressAutoHyphens w:val="0"/>
        <w:spacing w:before="0" w:after="120" w:line="440" w:lineRule="atLeast"/>
        <w:rPr>
          <w:rFonts w:asciiTheme="majorHAnsi" w:hAnsiTheme="majorHAnsi"/>
          <w:b/>
          <w:sz w:val="28"/>
          <w:szCs w:val="28"/>
        </w:rPr>
        <w:sectPr w:rsidR="00EC0AF2" w:rsidRPr="005C5824" w:rsidSect="005D5E2B">
          <w:headerReference w:type="even" r:id="rId9"/>
          <w:headerReference w:type="default" r:id="rId10"/>
          <w:footerReference w:type="even" r:id="rId11"/>
          <w:footerReference w:type="default" r:id="rId12"/>
          <w:headerReference w:type="first" r:id="rId13"/>
          <w:footerReference w:type="first" r:id="rId14"/>
          <w:pgSz w:w="11906" w:h="16838" w:code="9"/>
          <w:pgMar w:top="709" w:right="849" w:bottom="567" w:left="851" w:header="425" w:footer="203" w:gutter="0"/>
          <w:cols w:space="397"/>
          <w:titlePg/>
          <w:docGrid w:linePitch="360"/>
        </w:sectPr>
      </w:pPr>
    </w:p>
    <w:tbl>
      <w:tblPr>
        <w:tblStyle w:val="TableGrid"/>
        <w:tblW w:w="0" w:type="auto"/>
        <w:shd w:val="clear" w:color="auto" w:fill="C1E7E0" w:themeFill="accent1" w:themeFillTint="66"/>
        <w:tblLook w:val="04A0" w:firstRow="1" w:lastRow="0" w:firstColumn="1" w:lastColumn="0" w:noHBand="0" w:noVBand="1"/>
      </w:tblPr>
      <w:tblGrid>
        <w:gridCol w:w="10196"/>
      </w:tblGrid>
      <w:tr w:rsidR="005C5824" w:rsidRPr="005C5824" w14:paraId="0B8F44CE" w14:textId="77777777" w:rsidTr="00542BAE">
        <w:tc>
          <w:tcPr>
            <w:tcW w:w="10196" w:type="dxa"/>
            <w:shd w:val="clear" w:color="auto" w:fill="C1E7E0" w:themeFill="accent1" w:themeFillTint="66"/>
          </w:tcPr>
          <w:p w14:paraId="44EB224A" w14:textId="4B60DE9A" w:rsidR="00125ABF" w:rsidRPr="005C5824" w:rsidRDefault="00125ABF" w:rsidP="00141707">
            <w:pPr>
              <w:spacing w:after="120" w:line="240" w:lineRule="auto"/>
              <w:rPr>
                <w:rFonts w:asciiTheme="majorHAnsi" w:hAnsiTheme="majorHAnsi"/>
                <w:b/>
                <w:sz w:val="28"/>
                <w:szCs w:val="28"/>
              </w:rPr>
            </w:pPr>
            <w:r w:rsidRPr="005C5824">
              <w:rPr>
                <w:rFonts w:asciiTheme="majorHAnsi" w:hAnsiTheme="majorHAnsi"/>
                <w:b/>
                <w:sz w:val="28"/>
                <w:szCs w:val="28"/>
              </w:rPr>
              <w:lastRenderedPageBreak/>
              <w:t xml:space="preserve">ANNEX </w:t>
            </w:r>
            <w:r w:rsidR="00242FEA" w:rsidRPr="005C5824">
              <w:rPr>
                <w:rFonts w:asciiTheme="majorHAnsi" w:hAnsiTheme="majorHAnsi"/>
                <w:b/>
                <w:sz w:val="28"/>
                <w:szCs w:val="28"/>
              </w:rPr>
              <w:t>B</w:t>
            </w:r>
            <w:r w:rsidRPr="005C5824">
              <w:rPr>
                <w:rFonts w:asciiTheme="majorHAnsi" w:hAnsiTheme="majorHAnsi"/>
                <w:b/>
                <w:sz w:val="28"/>
                <w:szCs w:val="28"/>
              </w:rPr>
              <w:t>: Respective Responsibilities</w:t>
            </w:r>
          </w:p>
        </w:tc>
      </w:tr>
    </w:tbl>
    <w:p w14:paraId="124F5719" w14:textId="77777777" w:rsidR="00125ABF" w:rsidRPr="005C5824" w:rsidRDefault="00125ABF" w:rsidP="00125ABF">
      <w:pPr>
        <w:pStyle w:val="ListBullet"/>
        <w:numPr>
          <w:ilvl w:val="0"/>
          <w:numId w:val="0"/>
        </w:numPr>
        <w:spacing w:before="120" w:line="240" w:lineRule="auto"/>
        <w:rPr>
          <w:rFonts w:asciiTheme="minorHAnsi" w:hAnsiTheme="minorHAnsi"/>
          <w:sz w:val="2"/>
          <w:szCs w:val="21"/>
          <w:lang w:eastAsia="en-US"/>
        </w:rPr>
      </w:pPr>
    </w:p>
    <w:tbl>
      <w:tblPr>
        <w:tblStyle w:val="TableGrid"/>
        <w:tblW w:w="10206" w:type="dxa"/>
        <w:tblInd w:w="-5" w:type="dxa"/>
        <w:tblLook w:val="04A0" w:firstRow="1" w:lastRow="0" w:firstColumn="1" w:lastColumn="0" w:noHBand="0" w:noVBand="1"/>
      </w:tblPr>
      <w:tblGrid>
        <w:gridCol w:w="1297"/>
        <w:gridCol w:w="4232"/>
        <w:gridCol w:w="4677"/>
      </w:tblGrid>
      <w:tr w:rsidR="005C5824" w:rsidRPr="005C5824" w14:paraId="371358AB" w14:textId="77777777" w:rsidTr="00D85223">
        <w:tc>
          <w:tcPr>
            <w:tcW w:w="1297" w:type="dxa"/>
            <w:shd w:val="clear" w:color="auto" w:fill="E0F3EF" w:themeFill="accent1" w:themeFillTint="33"/>
          </w:tcPr>
          <w:p w14:paraId="08CD1FC5" w14:textId="77777777" w:rsidR="00125ABF" w:rsidRPr="005C5824" w:rsidRDefault="00125ABF" w:rsidP="00542BAE">
            <w:pPr>
              <w:jc w:val="center"/>
              <w:rPr>
                <w:b/>
              </w:rPr>
            </w:pPr>
            <w:r w:rsidRPr="005C5824">
              <w:rPr>
                <w:b/>
              </w:rPr>
              <w:t>ACTIVITIES</w:t>
            </w:r>
          </w:p>
        </w:tc>
        <w:tc>
          <w:tcPr>
            <w:tcW w:w="4232" w:type="dxa"/>
            <w:shd w:val="clear" w:color="auto" w:fill="E0F3EF" w:themeFill="accent1" w:themeFillTint="33"/>
          </w:tcPr>
          <w:p w14:paraId="40487932" w14:textId="77777777" w:rsidR="00125ABF" w:rsidRPr="005C5824" w:rsidRDefault="00125ABF" w:rsidP="00542BAE">
            <w:pPr>
              <w:jc w:val="center"/>
              <w:rPr>
                <w:b/>
              </w:rPr>
            </w:pPr>
            <w:r w:rsidRPr="005C5824">
              <w:rPr>
                <w:b/>
              </w:rPr>
              <w:t>DFAT</w:t>
            </w:r>
          </w:p>
        </w:tc>
        <w:tc>
          <w:tcPr>
            <w:tcW w:w="4677" w:type="dxa"/>
            <w:shd w:val="clear" w:color="auto" w:fill="E0F3EF" w:themeFill="accent1" w:themeFillTint="33"/>
          </w:tcPr>
          <w:p w14:paraId="375E4895" w14:textId="77777777" w:rsidR="00125ABF" w:rsidRPr="005C5824" w:rsidRDefault="00125ABF" w:rsidP="00542BAE">
            <w:pPr>
              <w:jc w:val="center"/>
              <w:rPr>
                <w:b/>
              </w:rPr>
            </w:pPr>
            <w:r w:rsidRPr="005C5824">
              <w:rPr>
                <w:b/>
              </w:rPr>
              <w:t>MANAGING CONTRACTOR</w:t>
            </w:r>
          </w:p>
        </w:tc>
      </w:tr>
      <w:tr w:rsidR="005C5824" w:rsidRPr="005C5824" w14:paraId="109C7E20" w14:textId="77777777" w:rsidTr="00D85223">
        <w:tc>
          <w:tcPr>
            <w:tcW w:w="1297" w:type="dxa"/>
          </w:tcPr>
          <w:p w14:paraId="7C3D581B" w14:textId="77777777" w:rsidR="00125ABF" w:rsidRPr="005C5824" w:rsidRDefault="00125ABF" w:rsidP="00542BAE">
            <w:pPr>
              <w:pStyle w:val="BodyText"/>
              <w:spacing w:before="0" w:after="0" w:line="240" w:lineRule="auto"/>
              <w:rPr>
                <w:sz w:val="20"/>
                <w:szCs w:val="20"/>
              </w:rPr>
            </w:pPr>
            <w:r w:rsidRPr="005C5824">
              <w:rPr>
                <w:sz w:val="20"/>
                <w:szCs w:val="20"/>
              </w:rPr>
              <w:t>Promotion</w:t>
            </w:r>
          </w:p>
        </w:tc>
        <w:tc>
          <w:tcPr>
            <w:tcW w:w="4232" w:type="dxa"/>
          </w:tcPr>
          <w:p w14:paraId="586A08A8" w14:textId="6AEF034A" w:rsidR="00125ABF" w:rsidRPr="005C5824" w:rsidRDefault="00125ABF" w:rsidP="00DD090A">
            <w:pPr>
              <w:pStyle w:val="BodyText"/>
              <w:numPr>
                <w:ilvl w:val="0"/>
                <w:numId w:val="16"/>
              </w:numPr>
              <w:spacing w:after="120" w:line="240" w:lineRule="auto"/>
              <w:ind w:left="170" w:hanging="215"/>
              <w:contextualSpacing/>
              <w:rPr>
                <w:sz w:val="20"/>
                <w:szCs w:val="20"/>
              </w:rPr>
            </w:pPr>
            <w:r w:rsidRPr="005C5824">
              <w:rPr>
                <w:sz w:val="20"/>
                <w:szCs w:val="20"/>
              </w:rPr>
              <w:t>Approve all promotional material</w:t>
            </w:r>
          </w:p>
        </w:tc>
        <w:tc>
          <w:tcPr>
            <w:tcW w:w="4677" w:type="dxa"/>
          </w:tcPr>
          <w:p w14:paraId="76DAF0D1"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Develop promotional material (in line with Australia Awards branding guidelines)</w:t>
            </w:r>
          </w:p>
          <w:p w14:paraId="48556F52" w14:textId="26A571BF" w:rsidR="00125ABF" w:rsidRPr="005C5824" w:rsidRDefault="00125ABF" w:rsidP="00DD090A">
            <w:pPr>
              <w:pStyle w:val="BodyText"/>
              <w:numPr>
                <w:ilvl w:val="0"/>
                <w:numId w:val="16"/>
              </w:numPr>
              <w:spacing w:after="120" w:line="240" w:lineRule="auto"/>
              <w:ind w:left="170" w:hanging="215"/>
              <w:contextualSpacing/>
              <w:rPr>
                <w:sz w:val="20"/>
                <w:szCs w:val="20"/>
              </w:rPr>
            </w:pPr>
            <w:r w:rsidRPr="005C5824">
              <w:rPr>
                <w:sz w:val="20"/>
                <w:szCs w:val="20"/>
              </w:rPr>
              <w:t>Disseminate promotional material as required</w:t>
            </w:r>
            <w:r w:rsidR="00DD090A">
              <w:rPr>
                <w:sz w:val="20"/>
                <w:szCs w:val="20"/>
              </w:rPr>
              <w:t xml:space="preserve"> (including to ensure equitable access across all Provinces)</w:t>
            </w:r>
          </w:p>
        </w:tc>
      </w:tr>
      <w:tr w:rsidR="005C5824" w:rsidRPr="005C5824" w14:paraId="1FFCA021" w14:textId="77777777" w:rsidTr="00D85223">
        <w:tc>
          <w:tcPr>
            <w:tcW w:w="1297" w:type="dxa"/>
          </w:tcPr>
          <w:p w14:paraId="5E9F433A" w14:textId="77777777" w:rsidR="00125ABF" w:rsidRPr="005C5824" w:rsidRDefault="00125ABF" w:rsidP="00542BAE">
            <w:pPr>
              <w:pStyle w:val="BodyText"/>
              <w:spacing w:before="0" w:after="0" w:line="240" w:lineRule="auto"/>
              <w:rPr>
                <w:sz w:val="20"/>
                <w:szCs w:val="20"/>
              </w:rPr>
            </w:pPr>
            <w:r w:rsidRPr="005C5824">
              <w:rPr>
                <w:sz w:val="20"/>
                <w:szCs w:val="20"/>
              </w:rPr>
              <w:t>Selection</w:t>
            </w:r>
          </w:p>
        </w:tc>
        <w:tc>
          <w:tcPr>
            <w:tcW w:w="4232" w:type="dxa"/>
          </w:tcPr>
          <w:p w14:paraId="1EE2EB5A"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Confirm priority fields of study and eligibility / selection criteria</w:t>
            </w:r>
          </w:p>
          <w:p w14:paraId="026BA907"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Approve online application form</w:t>
            </w:r>
          </w:p>
          <w:p w14:paraId="77401009"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Approve process for shortlisting</w:t>
            </w:r>
          </w:p>
          <w:p w14:paraId="6FB426B3" w14:textId="3E129DAC"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Assess aspects of merit (Senior Program Managers)</w:t>
            </w:r>
          </w:p>
          <w:p w14:paraId="6D3D947D"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Spot-check shortlist against raw data for accuracy and fairness</w:t>
            </w:r>
          </w:p>
          <w:p w14:paraId="6E767C2A"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Approve shortlist for interview</w:t>
            </w:r>
          </w:p>
          <w:p w14:paraId="528641BB"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Approve interview process</w:t>
            </w:r>
          </w:p>
          <w:p w14:paraId="0394811F"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Chair and participate in group and individual interviews</w:t>
            </w:r>
          </w:p>
          <w:p w14:paraId="732A4219"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Confirm budget and endorse merit list</w:t>
            </w:r>
          </w:p>
        </w:tc>
        <w:tc>
          <w:tcPr>
            <w:tcW w:w="4677" w:type="dxa"/>
          </w:tcPr>
          <w:p w14:paraId="3736AFFE"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Develop online application form and process (to ensure equitable access)</w:t>
            </w:r>
          </w:p>
          <w:p w14:paraId="480A874D" w14:textId="2BFE4002"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Administer online application process</w:t>
            </w:r>
            <w:r w:rsidR="00DD090A">
              <w:rPr>
                <w:sz w:val="20"/>
                <w:szCs w:val="20"/>
              </w:rPr>
              <w:t xml:space="preserve"> and provide all applications to DFAT</w:t>
            </w:r>
          </w:p>
          <w:p w14:paraId="56F5819E" w14:textId="2B6DD8C6" w:rsidR="00125ABF" w:rsidRPr="005C5824" w:rsidRDefault="00DD090A" w:rsidP="00542BAE">
            <w:pPr>
              <w:pStyle w:val="BodyText"/>
              <w:numPr>
                <w:ilvl w:val="0"/>
                <w:numId w:val="16"/>
              </w:numPr>
              <w:spacing w:after="120" w:line="240" w:lineRule="auto"/>
              <w:ind w:left="170" w:hanging="215"/>
              <w:contextualSpacing/>
              <w:rPr>
                <w:sz w:val="20"/>
                <w:szCs w:val="20"/>
              </w:rPr>
            </w:pPr>
            <w:r>
              <w:rPr>
                <w:sz w:val="20"/>
                <w:szCs w:val="20"/>
              </w:rPr>
              <w:t>Provide a long</w:t>
            </w:r>
            <w:r w:rsidR="00125ABF" w:rsidRPr="005C5824">
              <w:rPr>
                <w:sz w:val="20"/>
                <w:szCs w:val="20"/>
              </w:rPr>
              <w:t xml:space="preserve">list </w:t>
            </w:r>
            <w:r>
              <w:rPr>
                <w:sz w:val="20"/>
                <w:szCs w:val="20"/>
              </w:rPr>
              <w:t xml:space="preserve">of </w:t>
            </w:r>
            <w:r w:rsidR="00125ABF" w:rsidRPr="005C5824">
              <w:rPr>
                <w:sz w:val="20"/>
                <w:szCs w:val="20"/>
              </w:rPr>
              <w:t>applicants based on eligibility and merit</w:t>
            </w:r>
          </w:p>
          <w:p w14:paraId="237A72C7"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Logistics and administration for group and individual interviews and written tests (involving DFAT staff and alumni)</w:t>
            </w:r>
          </w:p>
          <w:p w14:paraId="2B91F0BF"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Draft merit list for approval</w:t>
            </w:r>
          </w:p>
          <w:p w14:paraId="18CD888F"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Communication with shortlisted candidates</w:t>
            </w:r>
          </w:p>
        </w:tc>
      </w:tr>
      <w:tr w:rsidR="005C5824" w:rsidRPr="005C5824" w14:paraId="6D9C2B18" w14:textId="77777777" w:rsidTr="00D85223">
        <w:tc>
          <w:tcPr>
            <w:tcW w:w="1297" w:type="dxa"/>
          </w:tcPr>
          <w:p w14:paraId="3997E516" w14:textId="77777777" w:rsidR="00125ABF" w:rsidRPr="005C5824" w:rsidRDefault="00125ABF" w:rsidP="00542BAE">
            <w:pPr>
              <w:pStyle w:val="BodyText"/>
              <w:spacing w:before="0" w:after="0" w:line="240" w:lineRule="auto"/>
              <w:rPr>
                <w:sz w:val="20"/>
                <w:szCs w:val="20"/>
              </w:rPr>
            </w:pPr>
            <w:r w:rsidRPr="005C5824">
              <w:rPr>
                <w:sz w:val="20"/>
                <w:szCs w:val="20"/>
              </w:rPr>
              <w:t>Placements</w:t>
            </w:r>
          </w:p>
        </w:tc>
        <w:tc>
          <w:tcPr>
            <w:tcW w:w="4232" w:type="dxa"/>
          </w:tcPr>
          <w:p w14:paraId="133C4154"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Update website on progress of selection process</w:t>
            </w:r>
          </w:p>
          <w:p w14:paraId="09A3002C"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Sign letters of offer for each awardee</w:t>
            </w:r>
          </w:p>
        </w:tc>
        <w:tc>
          <w:tcPr>
            <w:tcW w:w="4677" w:type="dxa"/>
          </w:tcPr>
          <w:p w14:paraId="4D4A447E"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Arrange English language proficiency test (IELTS) and practice sessions</w:t>
            </w:r>
          </w:p>
          <w:p w14:paraId="35326B91"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Complete information for each successful candidate in OASIS</w:t>
            </w:r>
          </w:p>
          <w:p w14:paraId="6A5572B0"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Provide advice to candidates on course preferences</w:t>
            </w:r>
          </w:p>
          <w:p w14:paraId="6B1DC20C"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Liaise with institutions to seek placement of candidates</w:t>
            </w:r>
          </w:p>
          <w:p w14:paraId="6FAA26B7"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Communications with candidates</w:t>
            </w:r>
          </w:p>
        </w:tc>
      </w:tr>
      <w:tr w:rsidR="005C5824" w:rsidRPr="005C5824" w14:paraId="41500B9D" w14:textId="77777777" w:rsidTr="00D85223">
        <w:tc>
          <w:tcPr>
            <w:tcW w:w="1297" w:type="dxa"/>
          </w:tcPr>
          <w:p w14:paraId="1B2E3839" w14:textId="77777777" w:rsidR="00125ABF" w:rsidRPr="005C5824" w:rsidRDefault="00125ABF" w:rsidP="00542BAE">
            <w:pPr>
              <w:pStyle w:val="BodyText"/>
              <w:spacing w:before="0" w:after="0" w:line="240" w:lineRule="auto"/>
              <w:rPr>
                <w:sz w:val="20"/>
                <w:szCs w:val="20"/>
              </w:rPr>
            </w:pPr>
            <w:r w:rsidRPr="005C5824">
              <w:rPr>
                <w:sz w:val="20"/>
                <w:szCs w:val="20"/>
              </w:rPr>
              <w:t>Mobilisation</w:t>
            </w:r>
          </w:p>
        </w:tc>
        <w:tc>
          <w:tcPr>
            <w:tcW w:w="4232" w:type="dxa"/>
          </w:tcPr>
          <w:p w14:paraId="572FA9F6" w14:textId="51F6E764" w:rsidR="00125ABF" w:rsidRPr="005C5824" w:rsidRDefault="00DD090A" w:rsidP="00542BAE">
            <w:pPr>
              <w:pStyle w:val="BodyText"/>
              <w:numPr>
                <w:ilvl w:val="0"/>
                <w:numId w:val="16"/>
              </w:numPr>
              <w:spacing w:after="120" w:line="240" w:lineRule="auto"/>
              <w:ind w:left="170" w:hanging="215"/>
              <w:contextualSpacing/>
              <w:rPr>
                <w:sz w:val="20"/>
                <w:szCs w:val="20"/>
              </w:rPr>
            </w:pPr>
            <w:r>
              <w:rPr>
                <w:sz w:val="20"/>
                <w:szCs w:val="20"/>
              </w:rPr>
              <w:t xml:space="preserve">Participate in </w:t>
            </w:r>
            <w:r w:rsidR="00125ABF" w:rsidRPr="005C5824">
              <w:rPr>
                <w:sz w:val="20"/>
                <w:szCs w:val="20"/>
              </w:rPr>
              <w:t>pre-departure briefing</w:t>
            </w:r>
          </w:p>
        </w:tc>
        <w:tc>
          <w:tcPr>
            <w:tcW w:w="4677" w:type="dxa"/>
          </w:tcPr>
          <w:p w14:paraId="3AD73F14" w14:textId="0B714B00" w:rsidR="00DD090A" w:rsidRDefault="00DD090A" w:rsidP="00542BAE">
            <w:pPr>
              <w:pStyle w:val="BodyText"/>
              <w:numPr>
                <w:ilvl w:val="0"/>
                <w:numId w:val="16"/>
              </w:numPr>
              <w:spacing w:after="120" w:line="240" w:lineRule="auto"/>
              <w:ind w:left="170" w:hanging="215"/>
              <w:contextualSpacing/>
              <w:rPr>
                <w:sz w:val="20"/>
                <w:szCs w:val="20"/>
              </w:rPr>
            </w:pPr>
            <w:r>
              <w:rPr>
                <w:sz w:val="20"/>
                <w:szCs w:val="20"/>
              </w:rPr>
              <w:t>Deliver pre-departure briefing</w:t>
            </w:r>
          </w:p>
          <w:p w14:paraId="5A98389A" w14:textId="41A6E620"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Support awardees to obtain student visa (including medical checks)</w:t>
            </w:r>
          </w:p>
          <w:p w14:paraId="1CC05DEA"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Book flights and other transport required</w:t>
            </w:r>
          </w:p>
          <w:p w14:paraId="1ADF980D"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Administrative support for pre-departure briefing</w:t>
            </w:r>
          </w:p>
          <w:p w14:paraId="0ED8ED7D"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Communications with candidates</w:t>
            </w:r>
          </w:p>
          <w:p w14:paraId="331B81D1"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Develop a reintegration plan for awardees (with employers where possible)</w:t>
            </w:r>
          </w:p>
        </w:tc>
      </w:tr>
      <w:tr w:rsidR="005C5824" w:rsidRPr="005C5824" w14:paraId="588246AD" w14:textId="77777777" w:rsidTr="00D85223">
        <w:tc>
          <w:tcPr>
            <w:tcW w:w="1297" w:type="dxa"/>
          </w:tcPr>
          <w:p w14:paraId="36DA53F6" w14:textId="77777777" w:rsidR="00125ABF" w:rsidRPr="005C5824" w:rsidRDefault="00125ABF" w:rsidP="00542BAE">
            <w:pPr>
              <w:pStyle w:val="BodyText"/>
              <w:spacing w:before="0" w:after="0" w:line="240" w:lineRule="auto"/>
              <w:rPr>
                <w:sz w:val="20"/>
                <w:szCs w:val="20"/>
              </w:rPr>
            </w:pPr>
            <w:r w:rsidRPr="005C5824">
              <w:rPr>
                <w:sz w:val="20"/>
                <w:szCs w:val="20"/>
              </w:rPr>
              <w:t>Management of students on award</w:t>
            </w:r>
          </w:p>
        </w:tc>
        <w:tc>
          <w:tcPr>
            <w:tcW w:w="4232" w:type="dxa"/>
          </w:tcPr>
          <w:p w14:paraId="70D3DA9B" w14:textId="09C29F11" w:rsidR="00125ABF" w:rsidRPr="005C5824" w:rsidRDefault="00125ABF" w:rsidP="00BB6D8F">
            <w:pPr>
              <w:pStyle w:val="BodyText"/>
              <w:numPr>
                <w:ilvl w:val="0"/>
                <w:numId w:val="16"/>
              </w:numPr>
              <w:spacing w:after="120" w:line="240" w:lineRule="auto"/>
              <w:ind w:left="170" w:hanging="215"/>
              <w:contextualSpacing/>
              <w:rPr>
                <w:sz w:val="20"/>
                <w:szCs w:val="20"/>
              </w:rPr>
            </w:pPr>
            <w:r w:rsidRPr="005C5824">
              <w:rPr>
                <w:sz w:val="20"/>
                <w:szCs w:val="20"/>
              </w:rPr>
              <w:t>Consider / approve variation requests</w:t>
            </w:r>
          </w:p>
        </w:tc>
        <w:tc>
          <w:tcPr>
            <w:tcW w:w="4677" w:type="dxa"/>
          </w:tcPr>
          <w:p w14:paraId="0A766F23"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Monitor student progress</w:t>
            </w:r>
          </w:p>
          <w:p w14:paraId="7C924AE2"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Facilitate internships for undergraduate awardees during university holidays</w:t>
            </w:r>
          </w:p>
          <w:p w14:paraId="134FB0A6"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Liaise with institutions</w:t>
            </w:r>
          </w:p>
          <w:p w14:paraId="59276CB5" w14:textId="6B2FD07B" w:rsidR="00125ABF" w:rsidRPr="00DD090A" w:rsidRDefault="008C4AF0" w:rsidP="00DD090A">
            <w:pPr>
              <w:pStyle w:val="BodyText"/>
              <w:numPr>
                <w:ilvl w:val="0"/>
                <w:numId w:val="16"/>
              </w:numPr>
              <w:spacing w:after="120" w:line="240" w:lineRule="auto"/>
              <w:ind w:left="170" w:hanging="215"/>
              <w:contextualSpacing/>
              <w:rPr>
                <w:sz w:val="20"/>
                <w:szCs w:val="20"/>
              </w:rPr>
            </w:pPr>
            <w:r w:rsidRPr="005C5824">
              <w:rPr>
                <w:sz w:val="20"/>
                <w:szCs w:val="20"/>
              </w:rPr>
              <w:t xml:space="preserve">Submit </w:t>
            </w:r>
            <w:r w:rsidR="00125ABF" w:rsidRPr="005C5824">
              <w:rPr>
                <w:sz w:val="20"/>
                <w:szCs w:val="20"/>
              </w:rPr>
              <w:t>variation requests</w:t>
            </w:r>
            <w:r w:rsidR="00DD090A">
              <w:rPr>
                <w:sz w:val="20"/>
                <w:szCs w:val="20"/>
              </w:rPr>
              <w:t xml:space="preserve"> to DFAT, with clear reference to </w:t>
            </w:r>
            <w:r w:rsidR="00125ABF" w:rsidRPr="005C5824">
              <w:rPr>
                <w:sz w:val="20"/>
                <w:szCs w:val="20"/>
              </w:rPr>
              <w:t>Policy Handbook</w:t>
            </w:r>
          </w:p>
        </w:tc>
      </w:tr>
      <w:tr w:rsidR="005C5824" w:rsidRPr="005C5824" w14:paraId="3773D286" w14:textId="77777777" w:rsidTr="00D85223">
        <w:tc>
          <w:tcPr>
            <w:tcW w:w="1297" w:type="dxa"/>
          </w:tcPr>
          <w:p w14:paraId="18DE3C68" w14:textId="77777777" w:rsidR="00125ABF" w:rsidRPr="005C5824" w:rsidRDefault="00125ABF" w:rsidP="00542BAE">
            <w:pPr>
              <w:pStyle w:val="BodyText"/>
              <w:spacing w:before="0" w:after="0" w:line="240" w:lineRule="auto"/>
              <w:rPr>
                <w:sz w:val="20"/>
                <w:szCs w:val="20"/>
              </w:rPr>
            </w:pPr>
            <w:r w:rsidRPr="005C5824">
              <w:rPr>
                <w:sz w:val="20"/>
                <w:szCs w:val="20"/>
              </w:rPr>
              <w:t>Alumni engagement</w:t>
            </w:r>
          </w:p>
        </w:tc>
        <w:tc>
          <w:tcPr>
            <w:tcW w:w="4232" w:type="dxa"/>
          </w:tcPr>
          <w:p w14:paraId="6CABA110" w14:textId="77777777" w:rsidR="00D96096" w:rsidRPr="005C5824" w:rsidRDefault="00D96096" w:rsidP="00542BAE">
            <w:pPr>
              <w:pStyle w:val="BodyText"/>
              <w:numPr>
                <w:ilvl w:val="0"/>
                <w:numId w:val="16"/>
              </w:numPr>
              <w:spacing w:after="120" w:line="240" w:lineRule="auto"/>
              <w:ind w:left="170" w:hanging="215"/>
              <w:contextualSpacing/>
              <w:rPr>
                <w:sz w:val="20"/>
                <w:szCs w:val="20"/>
              </w:rPr>
            </w:pPr>
            <w:r w:rsidRPr="005C5824">
              <w:rPr>
                <w:sz w:val="20"/>
                <w:szCs w:val="20"/>
              </w:rPr>
              <w:t>Develop an Alumni Engagement Strategy</w:t>
            </w:r>
          </w:p>
          <w:p w14:paraId="06D675CE" w14:textId="182C1FD0" w:rsidR="00125ABF" w:rsidRPr="005C5824" w:rsidRDefault="00517E56" w:rsidP="00542BAE">
            <w:pPr>
              <w:pStyle w:val="BodyText"/>
              <w:numPr>
                <w:ilvl w:val="0"/>
                <w:numId w:val="16"/>
              </w:numPr>
              <w:spacing w:after="120" w:line="240" w:lineRule="auto"/>
              <w:ind w:left="170" w:hanging="215"/>
              <w:contextualSpacing/>
              <w:rPr>
                <w:sz w:val="20"/>
                <w:szCs w:val="20"/>
              </w:rPr>
            </w:pPr>
            <w:r>
              <w:rPr>
                <w:sz w:val="20"/>
                <w:szCs w:val="20"/>
              </w:rPr>
              <w:t>Participate in alumni events</w:t>
            </w:r>
          </w:p>
          <w:p w14:paraId="6C7207EC"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Approve public diplomacy material</w:t>
            </w:r>
          </w:p>
        </w:tc>
        <w:tc>
          <w:tcPr>
            <w:tcW w:w="4677" w:type="dxa"/>
          </w:tcPr>
          <w:p w14:paraId="22E9FA96" w14:textId="2FEF416A" w:rsidR="00517E56" w:rsidRPr="005C5824" w:rsidRDefault="00517E56" w:rsidP="00517E56">
            <w:pPr>
              <w:pStyle w:val="BodyText"/>
              <w:numPr>
                <w:ilvl w:val="0"/>
                <w:numId w:val="16"/>
              </w:numPr>
              <w:spacing w:after="120" w:line="240" w:lineRule="auto"/>
              <w:ind w:left="170" w:hanging="215"/>
              <w:contextualSpacing/>
              <w:rPr>
                <w:sz w:val="20"/>
                <w:szCs w:val="20"/>
              </w:rPr>
            </w:pPr>
            <w:r w:rsidRPr="005C5824">
              <w:rPr>
                <w:sz w:val="20"/>
                <w:szCs w:val="20"/>
              </w:rPr>
              <w:t xml:space="preserve">Liaise with alumni to develop </w:t>
            </w:r>
            <w:r>
              <w:rPr>
                <w:sz w:val="20"/>
                <w:szCs w:val="20"/>
              </w:rPr>
              <w:t xml:space="preserve">six monthly </w:t>
            </w:r>
            <w:r w:rsidRPr="005C5824">
              <w:rPr>
                <w:sz w:val="20"/>
                <w:szCs w:val="20"/>
              </w:rPr>
              <w:t>plan of alumni events</w:t>
            </w:r>
          </w:p>
          <w:p w14:paraId="6DA6C964"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Event management support (predominantly administrative support and logistics)</w:t>
            </w:r>
          </w:p>
          <w:p w14:paraId="3288E775" w14:textId="2ECC3C3D"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 xml:space="preserve">Deliver (or procure services to deliver) </w:t>
            </w:r>
            <w:r w:rsidR="00DD090A">
              <w:rPr>
                <w:sz w:val="20"/>
                <w:szCs w:val="20"/>
              </w:rPr>
              <w:t xml:space="preserve">at least ten </w:t>
            </w:r>
            <w:r w:rsidRPr="005C5824">
              <w:rPr>
                <w:sz w:val="20"/>
                <w:szCs w:val="20"/>
              </w:rPr>
              <w:t xml:space="preserve">professional development workshops </w:t>
            </w:r>
            <w:r w:rsidR="00DD090A">
              <w:rPr>
                <w:sz w:val="20"/>
                <w:szCs w:val="20"/>
              </w:rPr>
              <w:t>per year</w:t>
            </w:r>
          </w:p>
          <w:p w14:paraId="49243D28"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Work with newly graduated alumni to develop a reintegration plan for each</w:t>
            </w:r>
          </w:p>
          <w:p w14:paraId="0E4B1694" w14:textId="00CA5BF3"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 xml:space="preserve">Communication with alumni as required to update alumni database (Global Alumni </w:t>
            </w:r>
            <w:r w:rsidR="00181DA5" w:rsidRPr="005C5824">
              <w:rPr>
                <w:sz w:val="20"/>
                <w:szCs w:val="20"/>
              </w:rPr>
              <w:t>website</w:t>
            </w:r>
            <w:r w:rsidRPr="005C5824">
              <w:rPr>
                <w:sz w:val="20"/>
                <w:szCs w:val="20"/>
              </w:rPr>
              <w:t>)</w:t>
            </w:r>
          </w:p>
          <w:p w14:paraId="71ADE695"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Develop and disseminate public diplomacy material</w:t>
            </w:r>
          </w:p>
        </w:tc>
      </w:tr>
    </w:tbl>
    <w:p w14:paraId="0A6DF65C" w14:textId="77777777" w:rsidR="00D85223" w:rsidRPr="005C5824" w:rsidRDefault="00D85223">
      <w:r w:rsidRPr="005C5824">
        <w:br w:type="page"/>
      </w:r>
    </w:p>
    <w:tbl>
      <w:tblPr>
        <w:tblStyle w:val="TableGrid"/>
        <w:tblW w:w="10206" w:type="dxa"/>
        <w:tblInd w:w="-5" w:type="dxa"/>
        <w:tblLook w:val="04A0" w:firstRow="1" w:lastRow="0" w:firstColumn="1" w:lastColumn="0" w:noHBand="0" w:noVBand="1"/>
      </w:tblPr>
      <w:tblGrid>
        <w:gridCol w:w="1297"/>
        <w:gridCol w:w="4232"/>
        <w:gridCol w:w="4677"/>
      </w:tblGrid>
      <w:tr w:rsidR="005C5824" w:rsidRPr="005C5824" w14:paraId="79F25C3D" w14:textId="77777777" w:rsidTr="00D85223">
        <w:tc>
          <w:tcPr>
            <w:tcW w:w="1297" w:type="dxa"/>
          </w:tcPr>
          <w:p w14:paraId="716023D6" w14:textId="2A794C39" w:rsidR="00125ABF" w:rsidRPr="005C5824" w:rsidRDefault="00125ABF" w:rsidP="00542BAE">
            <w:pPr>
              <w:pStyle w:val="BodyText"/>
              <w:spacing w:before="0" w:after="0" w:line="240" w:lineRule="auto"/>
              <w:rPr>
                <w:sz w:val="20"/>
                <w:szCs w:val="20"/>
              </w:rPr>
            </w:pPr>
            <w:r w:rsidRPr="005C5824">
              <w:rPr>
                <w:sz w:val="20"/>
                <w:szCs w:val="20"/>
              </w:rPr>
              <w:lastRenderedPageBreak/>
              <w:t>Stakeholder engagement</w:t>
            </w:r>
          </w:p>
        </w:tc>
        <w:tc>
          <w:tcPr>
            <w:tcW w:w="4232" w:type="dxa"/>
          </w:tcPr>
          <w:p w14:paraId="69926EDD" w14:textId="77777777" w:rsidR="00125ABF" w:rsidRDefault="00125ABF" w:rsidP="00DD090A">
            <w:pPr>
              <w:pStyle w:val="BodyText"/>
              <w:numPr>
                <w:ilvl w:val="0"/>
                <w:numId w:val="16"/>
              </w:numPr>
              <w:spacing w:after="120" w:line="240" w:lineRule="auto"/>
              <w:ind w:left="170" w:hanging="215"/>
              <w:contextualSpacing/>
              <w:rPr>
                <w:sz w:val="20"/>
                <w:szCs w:val="20"/>
              </w:rPr>
            </w:pPr>
            <w:r w:rsidRPr="005C5824">
              <w:rPr>
                <w:sz w:val="20"/>
                <w:szCs w:val="20"/>
              </w:rPr>
              <w:t>Liaise with other DFAT staff (at Pacific Posts and in Canberra, including through a Pacific Scholarships Community of Practice)</w:t>
            </w:r>
          </w:p>
          <w:p w14:paraId="7C9485F9" w14:textId="25D1B6F2" w:rsidR="00DD090A" w:rsidRPr="00DD090A" w:rsidRDefault="00DD090A" w:rsidP="00DD090A">
            <w:pPr>
              <w:pStyle w:val="BodyText"/>
              <w:numPr>
                <w:ilvl w:val="0"/>
                <w:numId w:val="16"/>
              </w:numPr>
              <w:spacing w:after="120" w:line="240" w:lineRule="auto"/>
              <w:ind w:left="170" w:hanging="215"/>
              <w:contextualSpacing/>
              <w:rPr>
                <w:sz w:val="20"/>
                <w:szCs w:val="20"/>
              </w:rPr>
            </w:pPr>
            <w:r>
              <w:rPr>
                <w:sz w:val="20"/>
                <w:szCs w:val="20"/>
              </w:rPr>
              <w:t>Liaise with GoV and industry groups</w:t>
            </w:r>
          </w:p>
        </w:tc>
        <w:tc>
          <w:tcPr>
            <w:tcW w:w="4677" w:type="dxa"/>
          </w:tcPr>
          <w:p w14:paraId="68E49837" w14:textId="7CBF3418" w:rsidR="00125ABF"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Liaise with Vanuatu Chamber of Commerce and Industry and relevant Industry Associations or businesses to identify options to increase private sector engagement at all stages.</w:t>
            </w:r>
          </w:p>
          <w:p w14:paraId="773C05FB" w14:textId="77777777" w:rsidR="00DD090A" w:rsidRPr="005C5824" w:rsidRDefault="00DD090A" w:rsidP="00DD090A">
            <w:pPr>
              <w:pStyle w:val="BodyText"/>
              <w:numPr>
                <w:ilvl w:val="0"/>
                <w:numId w:val="16"/>
              </w:numPr>
              <w:spacing w:after="120" w:line="240" w:lineRule="auto"/>
              <w:ind w:left="170" w:hanging="215"/>
              <w:contextualSpacing/>
              <w:rPr>
                <w:sz w:val="20"/>
                <w:szCs w:val="20"/>
              </w:rPr>
            </w:pPr>
            <w:r w:rsidRPr="005C5824">
              <w:rPr>
                <w:sz w:val="20"/>
                <w:szCs w:val="20"/>
              </w:rPr>
              <w:t>Liaise with the Training and Scholarships Coordination Unit (TSCU) at the Ministry of Education and Training and the Public Service Commission on scholarship and alumni matters</w:t>
            </w:r>
          </w:p>
          <w:p w14:paraId="24B07270"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Support businesses to develop reintegration plans for alumni.</w:t>
            </w:r>
          </w:p>
          <w:p w14:paraId="20230137"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Invite alumni, MoET and PSC participation at interviews (as directed by DFAT) and alumni events.</w:t>
            </w:r>
          </w:p>
        </w:tc>
      </w:tr>
      <w:tr w:rsidR="005C5824" w:rsidRPr="005C5824" w14:paraId="18AA8745" w14:textId="77777777" w:rsidTr="00D85223">
        <w:tc>
          <w:tcPr>
            <w:tcW w:w="1297" w:type="dxa"/>
          </w:tcPr>
          <w:p w14:paraId="61C99861" w14:textId="77777777" w:rsidR="00125ABF" w:rsidRPr="005C5824" w:rsidRDefault="00125ABF" w:rsidP="00542BAE">
            <w:pPr>
              <w:pStyle w:val="BodyText"/>
              <w:spacing w:before="0" w:after="0" w:line="240" w:lineRule="auto"/>
              <w:rPr>
                <w:sz w:val="20"/>
                <w:szCs w:val="20"/>
              </w:rPr>
            </w:pPr>
            <w:r w:rsidRPr="005C5824">
              <w:rPr>
                <w:sz w:val="20"/>
                <w:szCs w:val="20"/>
              </w:rPr>
              <w:t>M&amp;E</w:t>
            </w:r>
          </w:p>
        </w:tc>
        <w:tc>
          <w:tcPr>
            <w:tcW w:w="4232" w:type="dxa"/>
          </w:tcPr>
          <w:p w14:paraId="0DE7A3C6"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Participate in annual lessons learned exercise with the MC</w:t>
            </w:r>
          </w:p>
          <w:p w14:paraId="0A8290F0"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Tracer Studies</w:t>
            </w:r>
          </w:p>
          <w:p w14:paraId="4DFF0EE5" w14:textId="321AA15F"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Manage independent review</w:t>
            </w:r>
            <w:r w:rsidR="00DD090A">
              <w:rPr>
                <w:sz w:val="20"/>
                <w:szCs w:val="20"/>
              </w:rPr>
              <w:t>s as required</w:t>
            </w:r>
          </w:p>
          <w:p w14:paraId="4CEB3A83"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Approve case studies and other material for publication</w:t>
            </w:r>
          </w:p>
          <w:p w14:paraId="77308CD4" w14:textId="6296C7F3" w:rsidR="00125ABF" w:rsidRPr="005C5824" w:rsidRDefault="00125ABF" w:rsidP="005C5824">
            <w:pPr>
              <w:pStyle w:val="BodyText"/>
              <w:numPr>
                <w:ilvl w:val="0"/>
                <w:numId w:val="16"/>
              </w:numPr>
              <w:spacing w:after="120" w:line="240" w:lineRule="auto"/>
              <w:ind w:left="170" w:hanging="215"/>
              <w:contextualSpacing/>
              <w:rPr>
                <w:sz w:val="20"/>
                <w:szCs w:val="20"/>
              </w:rPr>
            </w:pPr>
            <w:r w:rsidRPr="005C5824">
              <w:rPr>
                <w:sz w:val="20"/>
                <w:szCs w:val="20"/>
              </w:rPr>
              <w:t xml:space="preserve">Share knowledge with </w:t>
            </w:r>
            <w:r w:rsidR="005C5824">
              <w:rPr>
                <w:sz w:val="20"/>
                <w:szCs w:val="20"/>
              </w:rPr>
              <w:t>SC</w:t>
            </w:r>
            <w:r w:rsidRPr="005C5824">
              <w:rPr>
                <w:sz w:val="20"/>
                <w:szCs w:val="20"/>
              </w:rPr>
              <w:t>B and other Posts</w:t>
            </w:r>
          </w:p>
        </w:tc>
        <w:tc>
          <w:tcPr>
            <w:tcW w:w="4677" w:type="dxa"/>
          </w:tcPr>
          <w:p w14:paraId="1C9787AB"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Data analysis of applications to inform future application process (eg. proportion of male and female applications, place of residence, disability, etc.)</w:t>
            </w:r>
          </w:p>
          <w:p w14:paraId="7C3C7F43"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Draw on information from Global Australia Award surveys for reporting</w:t>
            </w:r>
          </w:p>
          <w:p w14:paraId="37EB2CDE"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Develop and administer a survey for alumni within 3 months of graduating (seeking feedback on their experiences while on award, and early reintegration)</w:t>
            </w:r>
          </w:p>
          <w:p w14:paraId="5425207B"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Participate in annual lessons learned exercise (with DFAT)</w:t>
            </w:r>
          </w:p>
          <w:p w14:paraId="2F5BF4BD" w14:textId="6E36208A"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 xml:space="preserve">Maintain Global Alumni database for </w:t>
            </w:r>
            <w:r w:rsidR="00D96096" w:rsidRPr="005C5824">
              <w:rPr>
                <w:sz w:val="20"/>
                <w:szCs w:val="20"/>
              </w:rPr>
              <w:t xml:space="preserve">ni-Vanuatu Australian </w:t>
            </w:r>
            <w:r w:rsidRPr="005C5824">
              <w:rPr>
                <w:sz w:val="20"/>
                <w:szCs w:val="20"/>
              </w:rPr>
              <w:t>alumni</w:t>
            </w:r>
          </w:p>
          <w:p w14:paraId="75C8B945"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Work through the Global Tracer Facility to develop case studies for new awardees and alumni (ensuring consent is provided)</w:t>
            </w:r>
          </w:p>
          <w:p w14:paraId="30787844" w14:textId="77777777" w:rsidR="00125ABF" w:rsidRPr="005C5824" w:rsidRDefault="00125ABF" w:rsidP="00542BAE">
            <w:pPr>
              <w:pStyle w:val="BodyText"/>
              <w:numPr>
                <w:ilvl w:val="0"/>
                <w:numId w:val="16"/>
              </w:numPr>
              <w:spacing w:after="120" w:line="240" w:lineRule="auto"/>
              <w:ind w:left="170" w:hanging="215"/>
              <w:contextualSpacing/>
              <w:rPr>
                <w:sz w:val="20"/>
                <w:szCs w:val="20"/>
              </w:rPr>
            </w:pPr>
            <w:r w:rsidRPr="005C5824">
              <w:rPr>
                <w:sz w:val="20"/>
                <w:szCs w:val="20"/>
              </w:rPr>
              <w:t>Update M&amp;E plan as required (with DFAT’s endorsement)</w:t>
            </w:r>
          </w:p>
        </w:tc>
      </w:tr>
    </w:tbl>
    <w:p w14:paraId="5F930CA6" w14:textId="77777777" w:rsidR="001876A9" w:rsidRPr="005C5824" w:rsidRDefault="001876A9" w:rsidP="007C58DD">
      <w:pPr>
        <w:spacing w:after="120" w:line="240" w:lineRule="auto"/>
        <w:rPr>
          <w:rFonts w:asciiTheme="majorHAnsi" w:hAnsiTheme="majorHAnsi"/>
          <w:b/>
          <w:sz w:val="28"/>
          <w:szCs w:val="28"/>
        </w:rPr>
        <w:sectPr w:rsidR="001876A9" w:rsidRPr="005C5824" w:rsidSect="007A48C0">
          <w:pgSz w:w="11906" w:h="16838" w:code="9"/>
          <w:pgMar w:top="426" w:right="849" w:bottom="851" w:left="851" w:header="425" w:footer="203" w:gutter="0"/>
          <w:cols w:space="397"/>
          <w:titlePg/>
          <w:docGrid w:linePitch="360"/>
        </w:sectPr>
      </w:pPr>
    </w:p>
    <w:tbl>
      <w:tblPr>
        <w:tblStyle w:val="TableGrid"/>
        <w:tblW w:w="15168" w:type="dxa"/>
        <w:tblInd w:w="-572" w:type="dxa"/>
        <w:shd w:val="clear" w:color="auto" w:fill="C1E7E0" w:themeFill="accent1" w:themeFillTint="66"/>
        <w:tblLook w:val="04A0" w:firstRow="1" w:lastRow="0" w:firstColumn="1" w:lastColumn="0" w:noHBand="0" w:noVBand="1"/>
      </w:tblPr>
      <w:tblGrid>
        <w:gridCol w:w="15168"/>
      </w:tblGrid>
      <w:tr w:rsidR="005C5824" w:rsidRPr="005C5824" w14:paraId="24D22025" w14:textId="77777777" w:rsidTr="00D35B3B">
        <w:tc>
          <w:tcPr>
            <w:tcW w:w="15168" w:type="dxa"/>
            <w:shd w:val="clear" w:color="auto" w:fill="C1E7E0" w:themeFill="accent1" w:themeFillTint="66"/>
          </w:tcPr>
          <w:p w14:paraId="27593850" w14:textId="2ACCCAC8" w:rsidR="00656B5D" w:rsidRPr="005C5824" w:rsidRDefault="00EB554B" w:rsidP="00B71D37">
            <w:pPr>
              <w:spacing w:after="120" w:line="240" w:lineRule="auto"/>
              <w:rPr>
                <w:rFonts w:asciiTheme="majorHAnsi" w:hAnsiTheme="majorHAnsi"/>
                <w:b/>
                <w:sz w:val="28"/>
                <w:szCs w:val="28"/>
              </w:rPr>
            </w:pPr>
            <w:r w:rsidRPr="005C5824">
              <w:rPr>
                <w:rFonts w:asciiTheme="majorHAnsi" w:hAnsiTheme="majorHAnsi"/>
                <w:b/>
                <w:sz w:val="28"/>
                <w:szCs w:val="28"/>
              </w:rPr>
              <w:lastRenderedPageBreak/>
              <w:t xml:space="preserve">ANNEX </w:t>
            </w:r>
            <w:r w:rsidR="00D53F5E" w:rsidRPr="005C5824">
              <w:rPr>
                <w:rFonts w:asciiTheme="majorHAnsi" w:hAnsiTheme="majorHAnsi"/>
                <w:b/>
                <w:sz w:val="28"/>
                <w:szCs w:val="28"/>
              </w:rPr>
              <w:t>C</w:t>
            </w:r>
            <w:r w:rsidR="00656B5D" w:rsidRPr="005C5824">
              <w:rPr>
                <w:rFonts w:asciiTheme="majorHAnsi" w:hAnsiTheme="majorHAnsi"/>
                <w:b/>
                <w:sz w:val="28"/>
                <w:szCs w:val="28"/>
              </w:rPr>
              <w:t>: M&amp;E Plan</w:t>
            </w:r>
            <w:r w:rsidR="00E92440" w:rsidRPr="005C5824">
              <w:rPr>
                <w:rFonts w:asciiTheme="majorHAnsi" w:hAnsiTheme="majorHAnsi"/>
                <w:b/>
                <w:sz w:val="28"/>
                <w:szCs w:val="28"/>
              </w:rPr>
              <w:t xml:space="preserve"> </w:t>
            </w:r>
            <w:r w:rsidR="00E92440" w:rsidRPr="005C5824">
              <w:rPr>
                <w:rFonts w:asciiTheme="majorHAnsi" w:hAnsiTheme="majorHAnsi"/>
                <w:i/>
                <w:sz w:val="28"/>
                <w:szCs w:val="28"/>
              </w:rPr>
              <w:t>(indicative only – to be updated and agreed between DFAT and MC)</w:t>
            </w:r>
          </w:p>
        </w:tc>
      </w:tr>
    </w:tbl>
    <w:p w14:paraId="2C27DF12" w14:textId="77777777" w:rsidR="00656B5D" w:rsidRPr="005C5824" w:rsidRDefault="00656B5D" w:rsidP="00F51D7F">
      <w:pPr>
        <w:pStyle w:val="ListBullet"/>
        <w:numPr>
          <w:ilvl w:val="0"/>
          <w:numId w:val="0"/>
        </w:numPr>
        <w:spacing w:before="120" w:line="240" w:lineRule="auto"/>
        <w:rPr>
          <w:rFonts w:asciiTheme="minorHAnsi" w:hAnsiTheme="minorHAnsi"/>
          <w:sz w:val="2"/>
          <w:szCs w:val="21"/>
          <w:lang w:eastAsia="en-US"/>
        </w:rPr>
      </w:pPr>
    </w:p>
    <w:tbl>
      <w:tblPr>
        <w:tblStyle w:val="TableGrid"/>
        <w:tblW w:w="15168" w:type="dxa"/>
        <w:tblInd w:w="-572" w:type="dxa"/>
        <w:tblLook w:val="04A0" w:firstRow="1" w:lastRow="0" w:firstColumn="1" w:lastColumn="0" w:noHBand="0" w:noVBand="1"/>
      </w:tblPr>
      <w:tblGrid>
        <w:gridCol w:w="1985"/>
        <w:gridCol w:w="5528"/>
        <w:gridCol w:w="5814"/>
        <w:gridCol w:w="1841"/>
      </w:tblGrid>
      <w:tr w:rsidR="005C5824" w:rsidRPr="005C5824" w14:paraId="45806E60" w14:textId="77777777" w:rsidTr="00157158">
        <w:tc>
          <w:tcPr>
            <w:tcW w:w="1985" w:type="dxa"/>
            <w:shd w:val="clear" w:color="auto" w:fill="E0F3EF" w:themeFill="accent1" w:themeFillTint="33"/>
            <w:vAlign w:val="center"/>
          </w:tcPr>
          <w:p w14:paraId="10A56ECA" w14:textId="77777777" w:rsidR="00D35B3B" w:rsidRPr="005C5824" w:rsidRDefault="001D1813" w:rsidP="001D1813">
            <w:pPr>
              <w:jc w:val="center"/>
              <w:rPr>
                <w:b/>
              </w:rPr>
            </w:pPr>
            <w:r w:rsidRPr="005C5824">
              <w:rPr>
                <w:b/>
              </w:rPr>
              <w:t>DATA COLLECTION LEVEL</w:t>
            </w:r>
          </w:p>
        </w:tc>
        <w:tc>
          <w:tcPr>
            <w:tcW w:w="5528" w:type="dxa"/>
            <w:shd w:val="clear" w:color="auto" w:fill="E0F3EF" w:themeFill="accent1" w:themeFillTint="33"/>
            <w:vAlign w:val="center"/>
          </w:tcPr>
          <w:p w14:paraId="3597E62B" w14:textId="009545E5" w:rsidR="00D35B3B" w:rsidRPr="005C5824" w:rsidRDefault="00D35B3B" w:rsidP="001D1813">
            <w:pPr>
              <w:jc w:val="center"/>
              <w:rPr>
                <w:b/>
              </w:rPr>
            </w:pPr>
            <w:r w:rsidRPr="005C5824">
              <w:rPr>
                <w:b/>
              </w:rPr>
              <w:t>DATA TO BE COLLECTED</w:t>
            </w:r>
          </w:p>
        </w:tc>
        <w:tc>
          <w:tcPr>
            <w:tcW w:w="5814" w:type="dxa"/>
            <w:shd w:val="clear" w:color="auto" w:fill="E0F3EF" w:themeFill="accent1" w:themeFillTint="33"/>
            <w:vAlign w:val="center"/>
          </w:tcPr>
          <w:p w14:paraId="1F65CE99" w14:textId="77777777" w:rsidR="00D35B3B" w:rsidRPr="005C5824" w:rsidRDefault="00D35B3B" w:rsidP="001D1813">
            <w:pPr>
              <w:jc w:val="center"/>
              <w:rPr>
                <w:b/>
              </w:rPr>
            </w:pPr>
            <w:r w:rsidRPr="005C5824">
              <w:rPr>
                <w:b/>
              </w:rPr>
              <w:t>ANALYSIS TO BE UNDERTAKEN</w:t>
            </w:r>
          </w:p>
        </w:tc>
        <w:tc>
          <w:tcPr>
            <w:tcW w:w="1841" w:type="dxa"/>
            <w:shd w:val="clear" w:color="auto" w:fill="E0F3EF" w:themeFill="accent1" w:themeFillTint="33"/>
            <w:vAlign w:val="center"/>
          </w:tcPr>
          <w:p w14:paraId="1FB3884B" w14:textId="3EB7843C" w:rsidR="00D35B3B" w:rsidRPr="005C5824" w:rsidRDefault="00D35B3B" w:rsidP="001D1813">
            <w:pPr>
              <w:jc w:val="center"/>
              <w:rPr>
                <w:b/>
              </w:rPr>
            </w:pPr>
            <w:r w:rsidRPr="005C5824">
              <w:rPr>
                <w:b/>
              </w:rPr>
              <w:t>DATA SOURCE</w:t>
            </w:r>
          </w:p>
        </w:tc>
      </w:tr>
      <w:tr w:rsidR="005C5824" w:rsidRPr="005C5824" w14:paraId="759F5587" w14:textId="77777777" w:rsidTr="008B2468">
        <w:tc>
          <w:tcPr>
            <w:tcW w:w="15168" w:type="dxa"/>
            <w:gridSpan w:val="4"/>
            <w:shd w:val="clear" w:color="auto" w:fill="F2F2F2" w:themeFill="background1" w:themeFillShade="F2"/>
          </w:tcPr>
          <w:p w14:paraId="6B173D80" w14:textId="77777777" w:rsidR="001D1813" w:rsidRPr="005C5824" w:rsidRDefault="001D1813" w:rsidP="008B2468">
            <w:pPr>
              <w:spacing w:before="0"/>
              <w:rPr>
                <w:sz w:val="20"/>
                <w:szCs w:val="20"/>
              </w:rPr>
            </w:pPr>
            <w:r w:rsidRPr="005C5824">
              <w:rPr>
                <w:sz w:val="20"/>
                <w:szCs w:val="20"/>
              </w:rPr>
              <w:t>Activities</w:t>
            </w:r>
          </w:p>
        </w:tc>
      </w:tr>
      <w:tr w:rsidR="005C5824" w:rsidRPr="005C5824" w14:paraId="77CB411E" w14:textId="77777777" w:rsidTr="00157158">
        <w:tc>
          <w:tcPr>
            <w:tcW w:w="1985" w:type="dxa"/>
          </w:tcPr>
          <w:p w14:paraId="190EA7A7" w14:textId="77777777" w:rsidR="009A7E1A" w:rsidRPr="005C5824" w:rsidRDefault="001D1813" w:rsidP="008B2468">
            <w:pPr>
              <w:spacing w:before="0" w:after="0"/>
              <w:rPr>
                <w:b/>
                <w:sz w:val="20"/>
                <w:szCs w:val="18"/>
              </w:rPr>
            </w:pPr>
            <w:r w:rsidRPr="005C5824">
              <w:rPr>
                <w:b/>
                <w:sz w:val="20"/>
                <w:szCs w:val="18"/>
              </w:rPr>
              <w:t>Promotion</w:t>
            </w:r>
            <w:r w:rsidR="009A7E1A" w:rsidRPr="005C5824">
              <w:rPr>
                <w:b/>
                <w:sz w:val="20"/>
                <w:szCs w:val="18"/>
              </w:rPr>
              <w:t>:</w:t>
            </w:r>
          </w:p>
          <w:p w14:paraId="045E99E9" w14:textId="77777777" w:rsidR="009A7E1A" w:rsidRPr="005C5824" w:rsidRDefault="009A7E1A" w:rsidP="008B2468">
            <w:pPr>
              <w:spacing w:before="0" w:after="0"/>
              <w:rPr>
                <w:sz w:val="20"/>
                <w:szCs w:val="18"/>
              </w:rPr>
            </w:pPr>
            <w:r w:rsidRPr="005C5824">
              <w:rPr>
                <w:sz w:val="20"/>
                <w:szCs w:val="18"/>
              </w:rPr>
              <w:t>Promotion of Australia Awards</w:t>
            </w:r>
          </w:p>
          <w:p w14:paraId="7CA109F6" w14:textId="2FF9C55B" w:rsidR="009A7E1A" w:rsidRPr="005C5824" w:rsidRDefault="009A7E1A" w:rsidP="008B2468">
            <w:pPr>
              <w:spacing w:before="0" w:after="0"/>
              <w:rPr>
                <w:sz w:val="20"/>
                <w:szCs w:val="18"/>
              </w:rPr>
            </w:pPr>
            <w:r w:rsidRPr="005C5824">
              <w:rPr>
                <w:sz w:val="20"/>
                <w:szCs w:val="18"/>
              </w:rPr>
              <w:t>An appropriate number of high quality applications are received</w:t>
            </w:r>
          </w:p>
        </w:tc>
        <w:tc>
          <w:tcPr>
            <w:tcW w:w="5528" w:type="dxa"/>
          </w:tcPr>
          <w:p w14:paraId="49080E30" w14:textId="77777777" w:rsidR="005837FA" w:rsidRPr="005C5824" w:rsidRDefault="005837FA" w:rsidP="00C46226">
            <w:pPr>
              <w:pStyle w:val="ListParagraph"/>
              <w:numPr>
                <w:ilvl w:val="0"/>
                <w:numId w:val="38"/>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of applications received</w:t>
            </w:r>
          </w:p>
          <w:p w14:paraId="55152FF6" w14:textId="77777777" w:rsidR="005C1FF8" w:rsidRPr="005C5824" w:rsidRDefault="005C1FF8" w:rsidP="00C46226">
            <w:pPr>
              <w:pStyle w:val="ListParagraph"/>
              <w:numPr>
                <w:ilvl w:val="0"/>
                <w:numId w:val="38"/>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Proportion of applications received:</w:t>
            </w:r>
          </w:p>
          <w:p w14:paraId="28DDD91E" w14:textId="77777777" w:rsidR="005C1FF8" w:rsidRPr="005C5824" w:rsidRDefault="005C1FF8" w:rsidP="00C46226">
            <w:pPr>
              <w:pStyle w:val="ListParagraph"/>
              <w:numPr>
                <w:ilvl w:val="0"/>
                <w:numId w:val="37"/>
              </w:numPr>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Eligible: ineligible</w:t>
            </w:r>
          </w:p>
          <w:p w14:paraId="61DF2B30" w14:textId="49238006" w:rsidR="001B1755"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Male: female</w:t>
            </w:r>
            <w:r w:rsidR="00842744" w:rsidRPr="005C5824">
              <w:rPr>
                <w:rFonts w:asciiTheme="minorHAnsi" w:hAnsiTheme="minorHAnsi"/>
                <w:color w:val="495965" w:themeColor="text2"/>
                <w:sz w:val="19"/>
                <w:szCs w:val="19"/>
              </w:rPr>
              <w:t>: X (indeterminate / intersex / unspecified)</w:t>
            </w:r>
          </w:p>
          <w:p w14:paraId="4988C1BB" w14:textId="77777777" w:rsidR="001B1755"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People with a disability</w:t>
            </w:r>
          </w:p>
          <w:p w14:paraId="1E7CEEFD" w14:textId="77777777" w:rsidR="001B1755"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Various age groups</w:t>
            </w:r>
          </w:p>
          <w:p w14:paraId="39E92166" w14:textId="77777777" w:rsidR="001B1755"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People living in regional / remote areas (results per province)</w:t>
            </w:r>
          </w:p>
          <w:p w14:paraId="3FB31674" w14:textId="77777777" w:rsidR="001B1755"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People with / without professional experience</w:t>
            </w:r>
          </w:p>
          <w:p w14:paraId="54713628" w14:textId="77777777" w:rsidR="001B1755"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Undergraduate: postgraduate; AAS: AAPS</w:t>
            </w:r>
          </w:p>
          <w:p w14:paraId="16378A74" w14:textId="77777777" w:rsidR="001D1813"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Priority sectors and public : private : community sectors</w:t>
            </w:r>
          </w:p>
        </w:tc>
        <w:tc>
          <w:tcPr>
            <w:tcW w:w="5814" w:type="dxa"/>
          </w:tcPr>
          <w:p w14:paraId="6BC74986" w14:textId="77777777" w:rsidR="005837FA" w:rsidRPr="005C5824" w:rsidRDefault="005837FA" w:rsidP="005837F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Did promotion methods result in the desired number and quality of applicants?</w:t>
            </w:r>
          </w:p>
          <w:p w14:paraId="575C7B29" w14:textId="241904C5" w:rsidR="00F25A39" w:rsidRPr="005C5824" w:rsidRDefault="005837FA" w:rsidP="004E0AB9">
            <w:pPr>
              <w:pStyle w:val="ListParagraph"/>
              <w:numPr>
                <w:ilvl w:val="0"/>
                <w:numId w:val="14"/>
              </w:numPr>
              <w:ind w:left="239" w:hanging="284"/>
              <w:rPr>
                <w:color w:val="495965" w:themeColor="text2"/>
                <w:sz w:val="19"/>
                <w:szCs w:val="19"/>
              </w:rPr>
            </w:pPr>
            <w:r w:rsidRPr="005C5824">
              <w:rPr>
                <w:rFonts w:asciiTheme="minorHAnsi" w:hAnsiTheme="minorHAnsi"/>
                <w:color w:val="495965" w:themeColor="text2"/>
                <w:sz w:val="19"/>
                <w:szCs w:val="19"/>
              </w:rPr>
              <w:t xml:space="preserve">Do different groups listed appear to have equal access to apply? Do there appear to be barriers to apply? If so, what </w:t>
            </w:r>
            <w:r w:rsidR="004E0AB9" w:rsidRPr="005C5824">
              <w:rPr>
                <w:rFonts w:asciiTheme="minorHAnsi" w:hAnsiTheme="minorHAnsi"/>
                <w:color w:val="495965" w:themeColor="text2"/>
                <w:sz w:val="19"/>
                <w:szCs w:val="19"/>
              </w:rPr>
              <w:t xml:space="preserve">are </w:t>
            </w:r>
            <w:r w:rsidRPr="005C5824">
              <w:rPr>
                <w:rFonts w:asciiTheme="minorHAnsi" w:hAnsiTheme="minorHAnsi"/>
                <w:color w:val="495965" w:themeColor="text2"/>
                <w:sz w:val="19"/>
                <w:szCs w:val="19"/>
              </w:rPr>
              <w:t xml:space="preserve">those barriers and how </w:t>
            </w:r>
            <w:r w:rsidR="004E0AB9" w:rsidRPr="005C5824">
              <w:rPr>
                <w:rFonts w:asciiTheme="minorHAnsi" w:hAnsiTheme="minorHAnsi"/>
                <w:color w:val="495965" w:themeColor="text2"/>
                <w:sz w:val="19"/>
                <w:szCs w:val="19"/>
              </w:rPr>
              <w:t xml:space="preserve">could </w:t>
            </w:r>
            <w:r w:rsidRPr="005C5824">
              <w:rPr>
                <w:rFonts w:asciiTheme="minorHAnsi" w:hAnsiTheme="minorHAnsi"/>
                <w:color w:val="495965" w:themeColor="text2"/>
                <w:sz w:val="19"/>
                <w:szCs w:val="19"/>
              </w:rPr>
              <w:t>they be overcome?</w:t>
            </w:r>
          </w:p>
        </w:tc>
        <w:tc>
          <w:tcPr>
            <w:tcW w:w="1841" w:type="dxa"/>
          </w:tcPr>
          <w:p w14:paraId="11EDB9E0" w14:textId="4A7C1C94" w:rsidR="005837FA" w:rsidRPr="005C5824" w:rsidRDefault="005837FA" w:rsidP="00B7748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Promotion</w:t>
            </w:r>
            <w:r w:rsidR="004E0AB9" w:rsidRPr="005C5824">
              <w:rPr>
                <w:rFonts w:asciiTheme="minorHAnsi" w:hAnsiTheme="minorHAnsi"/>
                <w:color w:val="495965" w:themeColor="text2"/>
                <w:sz w:val="19"/>
                <w:szCs w:val="19"/>
              </w:rPr>
              <w:t>al materials</w:t>
            </w:r>
          </w:p>
          <w:p w14:paraId="68008204" w14:textId="77777777" w:rsidR="001D1813" w:rsidRPr="005C5824" w:rsidRDefault="001D1813" w:rsidP="00B7748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Application form </w:t>
            </w:r>
          </w:p>
          <w:p w14:paraId="7688C3C5" w14:textId="77777777" w:rsidR="00D35B3B" w:rsidRPr="005C5824" w:rsidRDefault="005837FA" w:rsidP="00B7748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Applications</w:t>
            </w:r>
          </w:p>
        </w:tc>
      </w:tr>
      <w:tr w:rsidR="005C5824" w:rsidRPr="005C5824" w14:paraId="7454AE05" w14:textId="77777777" w:rsidTr="00157158">
        <w:tc>
          <w:tcPr>
            <w:tcW w:w="1985" w:type="dxa"/>
          </w:tcPr>
          <w:p w14:paraId="40467C50" w14:textId="77777777" w:rsidR="00D35B3B" w:rsidRPr="005C5824" w:rsidRDefault="001D1813" w:rsidP="008B2468">
            <w:pPr>
              <w:spacing w:before="0" w:after="0"/>
              <w:rPr>
                <w:b/>
                <w:sz w:val="20"/>
                <w:szCs w:val="18"/>
              </w:rPr>
            </w:pPr>
            <w:r w:rsidRPr="005C5824">
              <w:rPr>
                <w:b/>
                <w:sz w:val="20"/>
                <w:szCs w:val="18"/>
              </w:rPr>
              <w:t>Selection</w:t>
            </w:r>
            <w:r w:rsidR="009A7E1A" w:rsidRPr="005C5824">
              <w:rPr>
                <w:b/>
                <w:sz w:val="20"/>
                <w:szCs w:val="18"/>
              </w:rPr>
              <w:t>, Placement &amp; Mobilisation:</w:t>
            </w:r>
          </w:p>
          <w:p w14:paraId="4B8E131C" w14:textId="0137E7F4" w:rsidR="009A7E1A" w:rsidRPr="005C5824" w:rsidRDefault="009A7E1A" w:rsidP="008B2468">
            <w:pPr>
              <w:spacing w:before="0" w:after="0"/>
              <w:rPr>
                <w:sz w:val="20"/>
                <w:szCs w:val="18"/>
              </w:rPr>
            </w:pPr>
            <w:r w:rsidRPr="005C5824">
              <w:rPr>
                <w:sz w:val="20"/>
                <w:szCs w:val="18"/>
              </w:rPr>
              <w:t>High performing, well-prepared female and male ni</w:t>
            </w:r>
            <w:r w:rsidRPr="005C5824">
              <w:rPr>
                <w:sz w:val="20"/>
                <w:szCs w:val="18"/>
              </w:rPr>
              <w:noBreakHyphen/>
              <w:t>Vanuatu are selected for scholarship and mobilised to preferred institution</w:t>
            </w:r>
          </w:p>
        </w:tc>
        <w:tc>
          <w:tcPr>
            <w:tcW w:w="5528" w:type="dxa"/>
          </w:tcPr>
          <w:p w14:paraId="247FF2B7" w14:textId="77777777" w:rsidR="005837FA" w:rsidRPr="005C5824" w:rsidRDefault="001B1755" w:rsidP="00C46226">
            <w:pPr>
              <w:pStyle w:val="ListParagraph"/>
              <w:numPr>
                <w:ilvl w:val="0"/>
                <w:numId w:val="39"/>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Proportion of shortlisted / suitable candidates:</w:t>
            </w:r>
          </w:p>
          <w:p w14:paraId="5B8F0C47" w14:textId="60EE62BB" w:rsidR="001B1755" w:rsidRPr="005C5824" w:rsidRDefault="004E0AB9"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m</w:t>
            </w:r>
            <w:r w:rsidR="001B1755" w:rsidRPr="005C5824">
              <w:rPr>
                <w:rFonts w:asciiTheme="minorHAnsi" w:hAnsiTheme="minorHAnsi"/>
                <w:color w:val="495965" w:themeColor="text2"/>
                <w:sz w:val="19"/>
                <w:szCs w:val="19"/>
              </w:rPr>
              <w:t>ale: female</w:t>
            </w:r>
            <w:r w:rsidR="00842744" w:rsidRPr="005C5824">
              <w:rPr>
                <w:rFonts w:asciiTheme="minorHAnsi" w:hAnsiTheme="minorHAnsi"/>
                <w:color w:val="495965" w:themeColor="text2"/>
                <w:sz w:val="19"/>
                <w:szCs w:val="19"/>
              </w:rPr>
              <w:t>: X (indeterminate / intersex / unspecified)</w:t>
            </w:r>
          </w:p>
          <w:p w14:paraId="19D6E9AB" w14:textId="0FBD2605" w:rsidR="001B1755"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with a disability</w:t>
            </w:r>
            <w:r w:rsidR="004823C4" w:rsidRPr="005C5824">
              <w:rPr>
                <w:rFonts w:asciiTheme="minorHAnsi" w:hAnsiTheme="minorHAnsi"/>
                <w:color w:val="495965" w:themeColor="text2"/>
                <w:sz w:val="19"/>
                <w:szCs w:val="19"/>
              </w:rPr>
              <w:t xml:space="preserve"> (as per Washington Group questions)</w:t>
            </w:r>
          </w:p>
          <w:p w14:paraId="64CF11D9" w14:textId="4BF1913B" w:rsidR="001B1755"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age groups</w:t>
            </w:r>
          </w:p>
          <w:p w14:paraId="76EC8BAB" w14:textId="06449666" w:rsidR="001B1755" w:rsidRPr="005C5824" w:rsidRDefault="001B1755"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living in </w:t>
            </w:r>
            <w:r w:rsidR="004E0AB9" w:rsidRPr="005C5824">
              <w:rPr>
                <w:rFonts w:asciiTheme="minorHAnsi" w:hAnsiTheme="minorHAnsi"/>
                <w:color w:val="495965" w:themeColor="text2"/>
                <w:sz w:val="19"/>
                <w:szCs w:val="19"/>
              </w:rPr>
              <w:t xml:space="preserve">urban: </w:t>
            </w:r>
            <w:r w:rsidRPr="005C5824">
              <w:rPr>
                <w:rFonts w:asciiTheme="minorHAnsi" w:hAnsiTheme="minorHAnsi"/>
                <w:color w:val="495965" w:themeColor="text2"/>
                <w:sz w:val="19"/>
                <w:szCs w:val="19"/>
              </w:rPr>
              <w:t xml:space="preserve">regional </w:t>
            </w:r>
            <w:r w:rsidR="004E0AB9" w:rsidRPr="005C5824">
              <w:rPr>
                <w:rFonts w:asciiTheme="minorHAnsi" w:hAnsiTheme="minorHAnsi"/>
                <w:color w:val="495965" w:themeColor="text2"/>
                <w:sz w:val="19"/>
                <w:szCs w:val="19"/>
              </w:rPr>
              <w:t xml:space="preserve">: </w:t>
            </w:r>
            <w:r w:rsidRPr="005C5824">
              <w:rPr>
                <w:rFonts w:asciiTheme="minorHAnsi" w:hAnsiTheme="minorHAnsi"/>
                <w:color w:val="495965" w:themeColor="text2"/>
                <w:sz w:val="19"/>
                <w:szCs w:val="19"/>
              </w:rPr>
              <w:t>remote areas (results per province)</w:t>
            </w:r>
          </w:p>
          <w:p w14:paraId="6BB71727" w14:textId="45C8F726" w:rsidR="001B1755" w:rsidRPr="005C5824" w:rsidRDefault="004E0AB9"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with professional experience :</w:t>
            </w:r>
            <w:r w:rsidR="001B1755" w:rsidRPr="005C5824">
              <w:rPr>
                <w:rFonts w:asciiTheme="minorHAnsi" w:hAnsiTheme="minorHAnsi"/>
                <w:color w:val="495965" w:themeColor="text2"/>
                <w:sz w:val="19"/>
                <w:szCs w:val="19"/>
              </w:rPr>
              <w:t xml:space="preserve"> without professional experience</w:t>
            </w:r>
          </w:p>
          <w:p w14:paraId="6A003311" w14:textId="406C0A9D" w:rsidR="001B1755" w:rsidRPr="005C5824" w:rsidRDefault="004E0AB9"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u</w:t>
            </w:r>
            <w:r w:rsidR="001B1755" w:rsidRPr="005C5824">
              <w:rPr>
                <w:rFonts w:asciiTheme="minorHAnsi" w:hAnsiTheme="minorHAnsi"/>
                <w:color w:val="495965" w:themeColor="text2"/>
                <w:sz w:val="19"/>
                <w:szCs w:val="19"/>
              </w:rPr>
              <w:t>ndergraduate: postgraduate; AAS: AAPS</w:t>
            </w:r>
          </w:p>
          <w:p w14:paraId="24B415C7" w14:textId="018E2C8A" w:rsidR="001B1755" w:rsidRPr="005C5824" w:rsidRDefault="004E0AB9" w:rsidP="00C46226">
            <w:pPr>
              <w:pStyle w:val="ListParagraph"/>
              <w:numPr>
                <w:ilvl w:val="0"/>
                <w:numId w:val="37"/>
              </w:numPr>
              <w:rPr>
                <w:rFonts w:asciiTheme="minorHAnsi" w:hAnsiTheme="minorHAnsi"/>
                <w:color w:val="495965" w:themeColor="text2"/>
                <w:sz w:val="19"/>
                <w:szCs w:val="19"/>
              </w:rPr>
            </w:pPr>
            <w:r w:rsidRPr="005C5824">
              <w:rPr>
                <w:rFonts w:asciiTheme="minorHAnsi" w:hAnsiTheme="minorHAnsi"/>
                <w:color w:val="495965" w:themeColor="text2"/>
                <w:sz w:val="19"/>
                <w:szCs w:val="19"/>
              </w:rPr>
              <w:t>p</w:t>
            </w:r>
            <w:r w:rsidR="001B1755" w:rsidRPr="005C5824">
              <w:rPr>
                <w:rFonts w:asciiTheme="minorHAnsi" w:hAnsiTheme="minorHAnsi"/>
                <w:color w:val="495965" w:themeColor="text2"/>
                <w:sz w:val="19"/>
                <w:szCs w:val="19"/>
              </w:rPr>
              <w:t>riority sectors</w:t>
            </w:r>
            <w:r w:rsidRPr="005C5824">
              <w:rPr>
                <w:rFonts w:asciiTheme="minorHAnsi" w:hAnsiTheme="minorHAnsi"/>
                <w:color w:val="495965" w:themeColor="text2"/>
                <w:sz w:val="19"/>
                <w:szCs w:val="19"/>
              </w:rPr>
              <w:t>;</w:t>
            </w:r>
            <w:r w:rsidR="001B1755" w:rsidRPr="005C5824">
              <w:rPr>
                <w:rFonts w:asciiTheme="minorHAnsi" w:hAnsiTheme="minorHAnsi"/>
                <w:color w:val="495965" w:themeColor="text2"/>
                <w:sz w:val="19"/>
                <w:szCs w:val="19"/>
              </w:rPr>
              <w:t xml:space="preserve"> public : private : community sectors</w:t>
            </w:r>
          </w:p>
          <w:p w14:paraId="2BB43DC6" w14:textId="77777777" w:rsidR="005837FA" w:rsidRPr="005C5824" w:rsidRDefault="001B1755" w:rsidP="00C46226">
            <w:pPr>
              <w:pStyle w:val="ListParagraph"/>
              <w:numPr>
                <w:ilvl w:val="0"/>
                <w:numId w:val="39"/>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Assessments of shortlisted candidates</w:t>
            </w:r>
          </w:p>
          <w:p w14:paraId="18A2F6A3" w14:textId="77777777" w:rsidR="004333A4" w:rsidRPr="005C5824" w:rsidRDefault="004333A4" w:rsidP="00C46226">
            <w:pPr>
              <w:pStyle w:val="ListParagraph"/>
              <w:numPr>
                <w:ilvl w:val="0"/>
                <w:numId w:val="39"/>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Information on shortlisted candidates under 18 years of age</w:t>
            </w:r>
          </w:p>
          <w:p w14:paraId="609F4179" w14:textId="77777777" w:rsidR="009A7E1A" w:rsidRPr="005C5824" w:rsidRDefault="009A7E1A" w:rsidP="009A7E1A">
            <w:pPr>
              <w:pStyle w:val="ListParagraph"/>
              <w:numPr>
                <w:ilvl w:val="0"/>
                <w:numId w:val="39"/>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Proportion of suitable candidates who attain adequate IELTS score</w:t>
            </w:r>
          </w:p>
          <w:p w14:paraId="20CFD7BD" w14:textId="77777777" w:rsidR="009A7E1A" w:rsidRPr="005C5824" w:rsidRDefault="009A7E1A" w:rsidP="009A7E1A">
            <w:pPr>
              <w:pStyle w:val="ListParagraph"/>
              <w:numPr>
                <w:ilvl w:val="0"/>
                <w:numId w:val="39"/>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Proportion of suitable candidates who are accepted by their preferred institution for their preferred course</w:t>
            </w:r>
          </w:p>
          <w:p w14:paraId="5E47F471" w14:textId="77777777" w:rsidR="009A7E1A" w:rsidRPr="005C5824" w:rsidRDefault="009A7E1A" w:rsidP="009A7E1A">
            <w:pPr>
              <w:pStyle w:val="ListParagraph"/>
              <w:numPr>
                <w:ilvl w:val="0"/>
                <w:numId w:val="39"/>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Perceptions of awardees on pre-departure process</w:t>
            </w:r>
          </w:p>
          <w:p w14:paraId="0979755C" w14:textId="77777777" w:rsidR="009A7E1A" w:rsidRPr="005C5824" w:rsidRDefault="009A7E1A" w:rsidP="009A7E1A">
            <w:pPr>
              <w:pStyle w:val="ListParagraph"/>
              <w:numPr>
                <w:ilvl w:val="0"/>
                <w:numId w:val="39"/>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Proportion of suitable candidates who respond and provide required information on time</w:t>
            </w:r>
          </w:p>
          <w:p w14:paraId="3CB29D89" w14:textId="139809E4" w:rsidR="009A7E1A" w:rsidRPr="005C5824" w:rsidRDefault="009A7E1A" w:rsidP="009A7E1A">
            <w:pPr>
              <w:pStyle w:val="ListParagraph"/>
              <w:numPr>
                <w:ilvl w:val="0"/>
                <w:numId w:val="39"/>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Proportion of suitable candidates mobilised on time</w:t>
            </w:r>
          </w:p>
        </w:tc>
        <w:tc>
          <w:tcPr>
            <w:tcW w:w="5814" w:type="dxa"/>
          </w:tcPr>
          <w:p w14:paraId="2B526AFC" w14:textId="77777777" w:rsidR="00D35B3B" w:rsidRPr="005C5824" w:rsidRDefault="001B1755" w:rsidP="001B1755">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How do</w:t>
            </w:r>
            <w:r w:rsidR="00296C4E" w:rsidRPr="005C5824">
              <w:rPr>
                <w:rFonts w:asciiTheme="minorHAnsi" w:hAnsiTheme="minorHAnsi"/>
                <w:color w:val="495965" w:themeColor="text2"/>
                <w:sz w:val="19"/>
                <w:szCs w:val="19"/>
              </w:rPr>
              <w:t>es data on</w:t>
            </w:r>
            <w:r w:rsidRPr="005C5824">
              <w:rPr>
                <w:rFonts w:asciiTheme="minorHAnsi" w:hAnsiTheme="minorHAnsi"/>
                <w:color w:val="495965" w:themeColor="text2"/>
                <w:sz w:val="19"/>
                <w:szCs w:val="19"/>
              </w:rPr>
              <w:t xml:space="preserve"> shortlisted / suitable candidates compare to </w:t>
            </w:r>
            <w:r w:rsidR="00296C4E" w:rsidRPr="005C5824">
              <w:rPr>
                <w:rFonts w:asciiTheme="minorHAnsi" w:hAnsiTheme="minorHAnsi"/>
                <w:color w:val="495965" w:themeColor="text2"/>
                <w:sz w:val="19"/>
                <w:szCs w:val="19"/>
              </w:rPr>
              <w:t xml:space="preserve">data on </w:t>
            </w:r>
            <w:r w:rsidRPr="005C5824">
              <w:rPr>
                <w:rFonts w:asciiTheme="minorHAnsi" w:hAnsiTheme="minorHAnsi"/>
                <w:color w:val="495965" w:themeColor="text2"/>
                <w:sz w:val="19"/>
                <w:szCs w:val="19"/>
              </w:rPr>
              <w:t>applications</w:t>
            </w:r>
            <w:r w:rsidR="00296C4E" w:rsidRPr="005C5824">
              <w:rPr>
                <w:rFonts w:asciiTheme="minorHAnsi" w:hAnsiTheme="minorHAnsi"/>
                <w:color w:val="495965" w:themeColor="text2"/>
                <w:sz w:val="19"/>
                <w:szCs w:val="19"/>
              </w:rPr>
              <w:t xml:space="preserve"> received</w:t>
            </w:r>
            <w:r w:rsidRPr="005C5824">
              <w:rPr>
                <w:rFonts w:asciiTheme="minorHAnsi" w:hAnsiTheme="minorHAnsi"/>
                <w:color w:val="495965" w:themeColor="text2"/>
                <w:sz w:val="19"/>
                <w:szCs w:val="19"/>
              </w:rPr>
              <w:t>?</w:t>
            </w:r>
          </w:p>
          <w:p w14:paraId="13DF13B3" w14:textId="45A34C9E" w:rsidR="001B1755" w:rsidRPr="005C5824" w:rsidRDefault="001B1755" w:rsidP="001B1755">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What proportion of shortlisted candidates were found suitable?</w:t>
            </w:r>
          </w:p>
          <w:p w14:paraId="24BF3213" w14:textId="46BC0DDC" w:rsidR="008C16C4" w:rsidRPr="005C5824" w:rsidRDefault="008C16C4" w:rsidP="001B1755">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Is the proportion of undergraduate and postgraduate candidates selected appropriate?</w:t>
            </w:r>
          </w:p>
          <w:p w14:paraId="70037ECF" w14:textId="77777777" w:rsidR="001B1755" w:rsidRPr="005C5824" w:rsidRDefault="001B1755" w:rsidP="001B1755">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Was the shortlisting and interview process appropriate?</w:t>
            </w:r>
          </w:p>
          <w:p w14:paraId="5124C1A9" w14:textId="77777777" w:rsidR="00F25A39" w:rsidRPr="005C5824" w:rsidRDefault="00F25A39" w:rsidP="00F25A39">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To what extent are interviewees able to present themselves in the most positive manner? How could the interview process be improved (without compromising efficiency)?</w:t>
            </w:r>
          </w:p>
          <w:p w14:paraId="4DC76B82" w14:textId="77777777" w:rsidR="004333A4" w:rsidRPr="005C5824" w:rsidRDefault="004333A4" w:rsidP="00F25A39">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Have child protection measures been implemented effectively to ensure candidates under 18 are not put at risk? If not, why not and what measures can be put in place to address this risk as a priority?</w:t>
            </w:r>
          </w:p>
          <w:p w14:paraId="326538D9" w14:textId="77777777" w:rsidR="009A7E1A" w:rsidRPr="005C5824" w:rsidRDefault="009A7E1A" w:rsidP="00F25A39">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To what extent is English language ability a barrier for ni-Vanuatu people seeking tertiary education?</w:t>
            </w:r>
          </w:p>
          <w:p w14:paraId="1008BB35" w14:textId="77777777" w:rsidR="009A7E1A" w:rsidRPr="005C5824" w:rsidRDefault="009A7E1A" w:rsidP="00F25A39">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Is the quality of candidates found suitable at interview considered suitable by institutions?</w:t>
            </w:r>
          </w:p>
          <w:p w14:paraId="366947EC" w14:textId="77777777" w:rsidR="009A7E1A" w:rsidRPr="005C5824" w:rsidRDefault="009A7E1A" w:rsidP="009A7E1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Did awardees feel well-prepared for study and life abroad? Was this the case for all groups, or were some (ie. men / women; undergrad / postgrad) better prepared?</w:t>
            </w:r>
          </w:p>
          <w:p w14:paraId="7FF9014C" w14:textId="77777777" w:rsidR="009A7E1A" w:rsidRPr="005C5824" w:rsidRDefault="009A7E1A" w:rsidP="009A7E1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How could the pre-departure briefing be improved? Is there a need to provide more pre-departure support for particular groups?</w:t>
            </w:r>
          </w:p>
          <w:p w14:paraId="0EB3B547" w14:textId="77777777" w:rsidR="009A7E1A" w:rsidRPr="005C5824" w:rsidRDefault="009A7E1A" w:rsidP="009A7E1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Do awardees value and use information on gender equality?</w:t>
            </w:r>
          </w:p>
          <w:p w14:paraId="0A2650FB" w14:textId="1F3E113A" w:rsidR="009A7E1A" w:rsidRPr="005C5824" w:rsidRDefault="009A7E1A" w:rsidP="009A7E1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To what extent does pre-departure briefing establish an enduring relationship between the High Commission and awardees?</w:t>
            </w:r>
          </w:p>
        </w:tc>
        <w:tc>
          <w:tcPr>
            <w:tcW w:w="1841" w:type="dxa"/>
          </w:tcPr>
          <w:p w14:paraId="7AFD65D3" w14:textId="77777777" w:rsidR="001B1755" w:rsidRPr="005C5824" w:rsidRDefault="001B1755" w:rsidP="001B1755">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Shortlisting process</w:t>
            </w:r>
          </w:p>
          <w:p w14:paraId="66385C24" w14:textId="77777777" w:rsidR="00D35B3B" w:rsidRPr="005C5824" w:rsidRDefault="005837FA" w:rsidP="001B1755">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Selection interview</w:t>
            </w:r>
            <w:r w:rsidR="001B1755" w:rsidRPr="005C5824">
              <w:rPr>
                <w:rFonts w:asciiTheme="minorHAnsi" w:hAnsiTheme="minorHAnsi"/>
                <w:color w:val="495965" w:themeColor="text2"/>
                <w:sz w:val="19"/>
                <w:szCs w:val="19"/>
              </w:rPr>
              <w:t xml:space="preserve"> activities / questions</w:t>
            </w:r>
          </w:p>
          <w:p w14:paraId="1B33C119" w14:textId="77777777" w:rsidR="001B1755" w:rsidRPr="005C5824" w:rsidRDefault="001B1755" w:rsidP="001B1755">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Selection scoresheets</w:t>
            </w:r>
          </w:p>
          <w:p w14:paraId="3FC9A5EA" w14:textId="736A8FA1" w:rsidR="004E0AB9" w:rsidRPr="005C5824" w:rsidRDefault="004E0AB9" w:rsidP="001B1755">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Merit list</w:t>
            </w:r>
          </w:p>
          <w:p w14:paraId="5B208A77" w14:textId="77777777" w:rsidR="001B1755" w:rsidRPr="005C5824" w:rsidRDefault="001B1755" w:rsidP="001B1755">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Selection panel feedback</w:t>
            </w:r>
          </w:p>
          <w:p w14:paraId="535A1FBB" w14:textId="77777777" w:rsidR="009A7E1A" w:rsidRPr="005C5824" w:rsidRDefault="009A7E1A" w:rsidP="009A7E1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IELTS test scores</w:t>
            </w:r>
          </w:p>
          <w:p w14:paraId="69D426E8" w14:textId="77777777" w:rsidR="009A7E1A" w:rsidRPr="005C5824" w:rsidRDefault="009A7E1A" w:rsidP="009A7E1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OASIS data</w:t>
            </w:r>
          </w:p>
          <w:p w14:paraId="5DAF10DD" w14:textId="77777777" w:rsidR="009A7E1A" w:rsidRPr="005C5824" w:rsidRDefault="009A7E1A" w:rsidP="009A7E1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On award surveys</w:t>
            </w:r>
          </w:p>
          <w:p w14:paraId="2B83A4C4" w14:textId="2026D1B8" w:rsidR="009A7E1A" w:rsidRPr="005C5824" w:rsidRDefault="009A7E1A" w:rsidP="009A7E1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Mobilisation data</w:t>
            </w:r>
          </w:p>
        </w:tc>
      </w:tr>
      <w:tr w:rsidR="005C5824" w:rsidRPr="005C5824" w14:paraId="4E85A5AA" w14:textId="77777777" w:rsidTr="00157158">
        <w:tc>
          <w:tcPr>
            <w:tcW w:w="1985" w:type="dxa"/>
          </w:tcPr>
          <w:p w14:paraId="410B68EB" w14:textId="20F27F32" w:rsidR="009A7E1A" w:rsidRPr="005C5824" w:rsidRDefault="00157158" w:rsidP="008B2468">
            <w:pPr>
              <w:spacing w:before="0" w:after="0"/>
              <w:rPr>
                <w:b/>
                <w:sz w:val="20"/>
                <w:szCs w:val="18"/>
              </w:rPr>
            </w:pPr>
            <w:r w:rsidRPr="005C5824">
              <w:lastRenderedPageBreak/>
              <w:br w:type="page"/>
            </w:r>
            <w:r w:rsidR="008B2468" w:rsidRPr="005C5824">
              <w:br w:type="page"/>
            </w:r>
            <w:r w:rsidR="009A7E1A" w:rsidRPr="005C5824">
              <w:rPr>
                <w:b/>
                <w:sz w:val="20"/>
                <w:szCs w:val="18"/>
              </w:rPr>
              <w:t>On award support:</w:t>
            </w:r>
          </w:p>
          <w:p w14:paraId="5B2A82B7" w14:textId="65D5402A" w:rsidR="001D1813" w:rsidRPr="005C5824" w:rsidRDefault="009A7E1A" w:rsidP="008B2468">
            <w:pPr>
              <w:spacing w:before="0" w:after="0"/>
              <w:rPr>
                <w:sz w:val="20"/>
                <w:szCs w:val="18"/>
              </w:rPr>
            </w:pPr>
            <w:r w:rsidRPr="005C5824">
              <w:rPr>
                <w:sz w:val="20"/>
                <w:szCs w:val="18"/>
              </w:rPr>
              <w:t>Institutions provide good quality, relevant education and appropriate support for awardees</w:t>
            </w:r>
          </w:p>
        </w:tc>
        <w:tc>
          <w:tcPr>
            <w:tcW w:w="5528" w:type="dxa"/>
          </w:tcPr>
          <w:p w14:paraId="08E5942E" w14:textId="77777777" w:rsidR="00296C4E" w:rsidRPr="005C5824" w:rsidRDefault="00DC3A80" w:rsidP="007A7DFE">
            <w:pPr>
              <w:pStyle w:val="ListParagraph"/>
              <w:numPr>
                <w:ilvl w:val="0"/>
                <w:numId w:val="40"/>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students attaining good grades on award</w:t>
            </w:r>
          </w:p>
          <w:p w14:paraId="6A725930" w14:textId="6F52E9A5" w:rsidR="00DC3A80" w:rsidRPr="005C5824" w:rsidRDefault="00DC3A80" w:rsidP="007A7DFE">
            <w:pPr>
              <w:pStyle w:val="ListParagraph"/>
              <w:numPr>
                <w:ilvl w:val="0"/>
                <w:numId w:val="40"/>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variations (particularly terminations and extensions) and reasons for variations</w:t>
            </w:r>
          </w:p>
          <w:p w14:paraId="3FD47448" w14:textId="031421BD" w:rsidR="00DC3A80" w:rsidRPr="005C5824" w:rsidRDefault="00DC3A80" w:rsidP="007A7DFE">
            <w:pPr>
              <w:pStyle w:val="ListParagraph"/>
              <w:numPr>
                <w:ilvl w:val="0"/>
                <w:numId w:val="40"/>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Timeliness and </w:t>
            </w:r>
            <w:r w:rsidR="004E0AB9" w:rsidRPr="005C5824">
              <w:rPr>
                <w:rFonts w:asciiTheme="minorHAnsi" w:hAnsiTheme="minorHAnsi"/>
                <w:color w:val="495965" w:themeColor="text2"/>
                <w:sz w:val="19"/>
                <w:szCs w:val="19"/>
              </w:rPr>
              <w:t xml:space="preserve">validity </w:t>
            </w:r>
            <w:r w:rsidRPr="005C5824">
              <w:rPr>
                <w:rFonts w:asciiTheme="minorHAnsi" w:hAnsiTheme="minorHAnsi"/>
                <w:color w:val="495965" w:themeColor="text2"/>
                <w:sz w:val="19"/>
                <w:szCs w:val="19"/>
              </w:rPr>
              <w:t>of justifications provided by institutions for variations</w:t>
            </w:r>
          </w:p>
          <w:p w14:paraId="224B331E" w14:textId="77777777" w:rsidR="001D1813" w:rsidRPr="005C5824" w:rsidRDefault="00DC3A80" w:rsidP="007A7DFE">
            <w:pPr>
              <w:pStyle w:val="ListParagraph"/>
              <w:numPr>
                <w:ilvl w:val="0"/>
                <w:numId w:val="40"/>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Adequacy of student support from institutions (including to avoid the need for variations)</w:t>
            </w:r>
          </w:p>
          <w:p w14:paraId="547DD2EF" w14:textId="0691A1A4" w:rsidR="008C16C4" w:rsidRPr="005C5824" w:rsidRDefault="008C16C4" w:rsidP="007A7DFE">
            <w:pPr>
              <w:pStyle w:val="ListParagraph"/>
              <w:numPr>
                <w:ilvl w:val="0"/>
                <w:numId w:val="40"/>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of awardees who graduate with a qualification from an Australian or regional institution</w:t>
            </w:r>
          </w:p>
        </w:tc>
        <w:tc>
          <w:tcPr>
            <w:tcW w:w="5814" w:type="dxa"/>
          </w:tcPr>
          <w:p w14:paraId="43AAD047" w14:textId="77777777" w:rsidR="004E0AB9" w:rsidRPr="005C5824" w:rsidRDefault="004E0AB9" w:rsidP="004E0AB9">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What were the key factors that made awardees’ experiences valuable / not valuable?</w:t>
            </w:r>
          </w:p>
          <w:p w14:paraId="7A12006C" w14:textId="77777777" w:rsidR="00DC3A80" w:rsidRPr="005C5824" w:rsidRDefault="00DC3A80" w:rsidP="00DC3A80">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awardees performing well? Does this reflect a robust, competitive selection process?</w:t>
            </w:r>
          </w:p>
          <w:p w14:paraId="1FA73B21" w14:textId="77777777" w:rsidR="00DC3A80" w:rsidRPr="005C5824" w:rsidRDefault="00DC3A80" w:rsidP="00DC3A80">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awardees adequately supported by institutions?</w:t>
            </w:r>
          </w:p>
          <w:p w14:paraId="6D941942" w14:textId="77777777" w:rsidR="00F25A39" w:rsidRPr="005C5824" w:rsidRDefault="00DC3A80" w:rsidP="00F25A39">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institutions conforming with requirements of the program?</w:t>
            </w:r>
            <w:r w:rsidR="00F25A39" w:rsidRPr="005C5824">
              <w:rPr>
                <w:rFonts w:asciiTheme="minorHAnsi" w:hAnsiTheme="minorHAnsi"/>
                <w:color w:val="495965" w:themeColor="text2"/>
                <w:sz w:val="19"/>
                <w:szCs w:val="19"/>
              </w:rPr>
              <w:t xml:space="preserve"> Are variations managed efficiently and with regard to individual needs and program goals?</w:t>
            </w:r>
          </w:p>
          <w:p w14:paraId="6599E2A0" w14:textId="77777777" w:rsidR="00174147" w:rsidRPr="005C5824" w:rsidRDefault="00174147" w:rsidP="00174147">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issues unique to female awardees adequately addressed?</w:t>
            </w:r>
          </w:p>
        </w:tc>
        <w:tc>
          <w:tcPr>
            <w:tcW w:w="1841" w:type="dxa"/>
          </w:tcPr>
          <w:p w14:paraId="5B97F275" w14:textId="77777777" w:rsidR="00DC3A80" w:rsidRPr="005C5824" w:rsidRDefault="00DC3A80" w:rsidP="00DC3A80">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Awardee academic results</w:t>
            </w:r>
          </w:p>
          <w:p w14:paraId="6F3D66A4" w14:textId="77777777" w:rsidR="001D1813" w:rsidRPr="005C5824" w:rsidRDefault="00DC3A80" w:rsidP="00DC3A80">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OASIS data on variations</w:t>
            </w:r>
          </w:p>
          <w:p w14:paraId="21979040" w14:textId="77777777" w:rsidR="00DC3A80" w:rsidRPr="005C5824" w:rsidRDefault="00DC3A80" w:rsidP="00DC3A80">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On award surveys</w:t>
            </w:r>
          </w:p>
        </w:tc>
      </w:tr>
      <w:tr w:rsidR="005C5824" w:rsidRPr="005C5824" w14:paraId="309BE1FC" w14:textId="77777777" w:rsidTr="00157158">
        <w:tc>
          <w:tcPr>
            <w:tcW w:w="1985" w:type="dxa"/>
          </w:tcPr>
          <w:p w14:paraId="35F35691" w14:textId="77777777" w:rsidR="009A7E1A" w:rsidRPr="005C5824" w:rsidRDefault="009A7E1A" w:rsidP="008B2468">
            <w:pPr>
              <w:spacing w:before="0" w:after="0"/>
              <w:rPr>
                <w:b/>
                <w:sz w:val="20"/>
                <w:szCs w:val="18"/>
              </w:rPr>
            </w:pPr>
            <w:r w:rsidRPr="005C5824">
              <w:rPr>
                <w:b/>
                <w:sz w:val="20"/>
                <w:szCs w:val="18"/>
              </w:rPr>
              <w:t>Alumni Engagement:</w:t>
            </w:r>
          </w:p>
          <w:p w14:paraId="7831505C" w14:textId="6BE11BC5" w:rsidR="001D1813" w:rsidRPr="005C5824" w:rsidRDefault="009A7E1A" w:rsidP="008B2468">
            <w:pPr>
              <w:spacing w:before="0" w:after="0"/>
              <w:rPr>
                <w:sz w:val="20"/>
                <w:szCs w:val="18"/>
              </w:rPr>
            </w:pPr>
            <w:r w:rsidRPr="005C5824">
              <w:rPr>
                <w:sz w:val="20"/>
                <w:szCs w:val="18"/>
              </w:rPr>
              <w:t>Delivery of Alumni Network activities that reflect alumni needs, provide support for alumni professional / career development and opportunities to build relationships with the Australia High Commission and broader links to Australia</w:t>
            </w:r>
          </w:p>
        </w:tc>
        <w:tc>
          <w:tcPr>
            <w:tcW w:w="5528" w:type="dxa"/>
          </w:tcPr>
          <w:p w14:paraId="16E4BEF4" w14:textId="77777777" w:rsidR="00DC3A80" w:rsidRPr="005C5824" w:rsidRDefault="00DC3A80"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awardees who did not return to Vanuatu</w:t>
            </w:r>
          </w:p>
          <w:p w14:paraId="607E4EE9" w14:textId="77777777" w:rsidR="00DC3A80" w:rsidRPr="005C5824" w:rsidRDefault="00DC3A80"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awardees who returned to their previous job / organisation</w:t>
            </w:r>
          </w:p>
          <w:p w14:paraId="68A62A4B" w14:textId="412E4D51" w:rsidR="00DC3A80" w:rsidRPr="005C5824" w:rsidRDefault="00DC3A80"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Reinte</w:t>
            </w:r>
            <w:r w:rsidR="004E0AB9" w:rsidRPr="005C5824">
              <w:rPr>
                <w:rFonts w:asciiTheme="minorHAnsi" w:hAnsiTheme="minorHAnsi"/>
                <w:color w:val="495965" w:themeColor="text2"/>
                <w:sz w:val="19"/>
                <w:szCs w:val="19"/>
              </w:rPr>
              <w:t>gration Plans reviewed within 2 </w:t>
            </w:r>
            <w:r w:rsidRPr="005C5824">
              <w:rPr>
                <w:rFonts w:asciiTheme="minorHAnsi" w:hAnsiTheme="minorHAnsi"/>
                <w:color w:val="495965" w:themeColor="text2"/>
                <w:sz w:val="19"/>
                <w:szCs w:val="19"/>
              </w:rPr>
              <w:t>months of return</w:t>
            </w:r>
          </w:p>
          <w:p w14:paraId="49B15D6E" w14:textId="77777777" w:rsidR="00DC3A80" w:rsidRPr="005C5824" w:rsidRDefault="00DC3A80"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returnees making satisfactory progress against their Reintegration Plan within six months, one year and three years</w:t>
            </w:r>
          </w:p>
          <w:p w14:paraId="345A2B2A" w14:textId="77777777" w:rsidR="00DC3A80" w:rsidRPr="005C5824" w:rsidRDefault="00DC3A80"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alumni who report using their skills gained on award in their current employment</w:t>
            </w:r>
          </w:p>
          <w:p w14:paraId="0236BACF" w14:textId="77777777" w:rsidR="00DC3A80" w:rsidRPr="005C5824" w:rsidRDefault="00DC3A80"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Information on how alumni are using their skills gained while on scholarship in their workplace / community</w:t>
            </w:r>
          </w:p>
          <w:p w14:paraId="08A954CB" w14:textId="77777777" w:rsidR="001D1813" w:rsidRPr="005C5824" w:rsidRDefault="00DC3A80"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Detail on key projects, reforms, policies and/or practices supported by alumni within five </w:t>
            </w:r>
            <w:r w:rsidR="00BC2D8B" w:rsidRPr="005C5824">
              <w:rPr>
                <w:rFonts w:asciiTheme="minorHAnsi" w:hAnsiTheme="minorHAnsi"/>
                <w:color w:val="495965" w:themeColor="text2"/>
                <w:sz w:val="19"/>
                <w:szCs w:val="19"/>
              </w:rPr>
              <w:t>years after completing their award</w:t>
            </w:r>
          </w:p>
          <w:p w14:paraId="6326AF10" w14:textId="77777777" w:rsidR="00BC2D8B" w:rsidRPr="005C5824" w:rsidRDefault="00BC2D8B"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of alumni participating in alumni events</w:t>
            </w:r>
          </w:p>
          <w:p w14:paraId="5A711C09" w14:textId="77777777" w:rsidR="00BC2D8B" w:rsidRPr="005C5824" w:rsidRDefault="00BC2D8B"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Feedback from alumni on alumni events</w:t>
            </w:r>
          </w:p>
          <w:p w14:paraId="5E16D5F0" w14:textId="258613A7" w:rsidR="004E0AB9" w:rsidRPr="005C5824" w:rsidRDefault="004E0AB9" w:rsidP="007A7DFE">
            <w:pPr>
              <w:pStyle w:val="ListParagraph"/>
              <w:numPr>
                <w:ilvl w:val="0"/>
                <w:numId w:val="41"/>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Feedback from spouses of awardees</w:t>
            </w:r>
          </w:p>
        </w:tc>
        <w:tc>
          <w:tcPr>
            <w:tcW w:w="5814" w:type="dxa"/>
          </w:tcPr>
          <w:p w14:paraId="2D1A40A4" w14:textId="77777777" w:rsidR="00BC2D8B" w:rsidRPr="005C5824" w:rsidRDefault="00BC2D8B"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there any problems of awardees overstaying in Australia or in another Pacific country?</w:t>
            </w:r>
          </w:p>
          <w:p w14:paraId="632E8EFF" w14:textId="348F42AE" w:rsidR="00BC2D8B" w:rsidRPr="005C5824" w:rsidRDefault="00BC2D8B"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alumni competitive in finding employment / gaining promotions soon after returning from studies?</w:t>
            </w:r>
            <w:r w:rsidR="006F2C98" w:rsidRPr="005C5824">
              <w:rPr>
                <w:rFonts w:asciiTheme="minorHAnsi" w:hAnsiTheme="minorHAnsi"/>
                <w:color w:val="495965" w:themeColor="text2"/>
                <w:sz w:val="19"/>
                <w:szCs w:val="19"/>
              </w:rPr>
              <w:t xml:space="preserve"> Do men and women have different experiences?</w:t>
            </w:r>
          </w:p>
          <w:p w14:paraId="76FDD3DE" w14:textId="07232895" w:rsidR="008C16C4" w:rsidRPr="005C5824" w:rsidRDefault="008C16C4"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What proportion of alumni attain employment appropriate to their level of qualification (undergraduate vs postgraduate)?</w:t>
            </w:r>
          </w:p>
          <w:p w14:paraId="0C30A80D" w14:textId="77777777" w:rsidR="00BC2D8B" w:rsidRPr="005C5824" w:rsidRDefault="00BC2D8B"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there any common return to employment / resettlement issues (professional and/or personal)?</w:t>
            </w:r>
          </w:p>
          <w:p w14:paraId="41ABC547" w14:textId="77777777" w:rsidR="00BC2D8B" w:rsidRPr="005C5824" w:rsidRDefault="00BC2D8B"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How have families of awardees been affected?</w:t>
            </w:r>
          </w:p>
          <w:p w14:paraId="75BC045D" w14:textId="77777777" w:rsidR="00BC2D8B" w:rsidRPr="005C5824" w:rsidRDefault="00BC2D8B"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alumni maintaining links with Australia and networking with other awardees?</w:t>
            </w:r>
          </w:p>
          <w:p w14:paraId="4900603E" w14:textId="77777777" w:rsidR="004333A4" w:rsidRPr="005C5824" w:rsidRDefault="00BC2D8B"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Do alumni value alumni events? How could alumni events be improved and/or better targeted?</w:t>
            </w:r>
          </w:p>
          <w:p w14:paraId="2E78F920" w14:textId="77777777" w:rsidR="004333A4" w:rsidRPr="005C5824" w:rsidRDefault="004333A4"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there equal numbers of male and female participants at alumni events?</w:t>
            </w:r>
          </w:p>
          <w:p w14:paraId="71FA08DA" w14:textId="77777777" w:rsidR="00F25A39" w:rsidRPr="005C5824" w:rsidRDefault="004333A4"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Are there female-specific alumni events? </w:t>
            </w:r>
          </w:p>
        </w:tc>
        <w:tc>
          <w:tcPr>
            <w:tcW w:w="1841" w:type="dxa"/>
          </w:tcPr>
          <w:p w14:paraId="2032974C" w14:textId="77777777" w:rsidR="00BC2D8B" w:rsidRPr="005C5824" w:rsidRDefault="00BC2D8B"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Reintegration Plans</w:t>
            </w:r>
          </w:p>
          <w:p w14:paraId="4FE2FB13" w14:textId="77777777" w:rsidR="00BC2D8B" w:rsidRPr="005C5824" w:rsidRDefault="00BC2D8B"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Meetings / correspondence with returnees</w:t>
            </w:r>
          </w:p>
          <w:p w14:paraId="51C6F825" w14:textId="77777777" w:rsidR="00BC2D8B" w:rsidRPr="005C5824" w:rsidRDefault="00BC2D8B"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Interviews with employers</w:t>
            </w:r>
          </w:p>
          <w:p w14:paraId="592A8107" w14:textId="77777777" w:rsidR="00BC2D8B" w:rsidRPr="005C5824" w:rsidRDefault="00535E01"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Returnee survey</w:t>
            </w:r>
          </w:p>
          <w:p w14:paraId="4EA4BE5C" w14:textId="77777777" w:rsidR="00535E01" w:rsidRPr="005C5824" w:rsidRDefault="00535E01"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Employer survey</w:t>
            </w:r>
          </w:p>
          <w:p w14:paraId="2127C0F1" w14:textId="77777777" w:rsidR="00535E01" w:rsidRPr="005C5824" w:rsidRDefault="00535E01"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Spouse survey</w:t>
            </w:r>
          </w:p>
          <w:p w14:paraId="0D219826" w14:textId="77777777" w:rsidR="001D1813" w:rsidRPr="005C5824" w:rsidRDefault="00B86BF0"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Case studies</w:t>
            </w:r>
          </w:p>
          <w:p w14:paraId="5CD69EED" w14:textId="77777777" w:rsidR="00535E01" w:rsidRPr="005C5824" w:rsidRDefault="00535E01" w:rsidP="00BC2D8B">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Alumni event feedback forms</w:t>
            </w:r>
          </w:p>
        </w:tc>
      </w:tr>
      <w:tr w:rsidR="005C5824" w:rsidRPr="005C5824" w14:paraId="611ECB80" w14:textId="77777777" w:rsidTr="00157158">
        <w:tc>
          <w:tcPr>
            <w:tcW w:w="1985" w:type="dxa"/>
          </w:tcPr>
          <w:p w14:paraId="756913ED" w14:textId="77777777" w:rsidR="00D35B3B" w:rsidRPr="005C5824" w:rsidRDefault="001D1813" w:rsidP="008B2468">
            <w:pPr>
              <w:spacing w:before="0" w:after="0"/>
              <w:rPr>
                <w:b/>
                <w:sz w:val="20"/>
                <w:szCs w:val="18"/>
              </w:rPr>
            </w:pPr>
            <w:r w:rsidRPr="005C5824">
              <w:rPr>
                <w:b/>
                <w:sz w:val="20"/>
                <w:szCs w:val="18"/>
              </w:rPr>
              <w:t>Stakeholder engagement</w:t>
            </w:r>
            <w:r w:rsidR="009A7E1A" w:rsidRPr="005C5824">
              <w:rPr>
                <w:b/>
                <w:sz w:val="20"/>
                <w:szCs w:val="18"/>
              </w:rPr>
              <w:t>:</w:t>
            </w:r>
          </w:p>
          <w:p w14:paraId="60C8AFD2" w14:textId="6FA97750" w:rsidR="009A7E1A" w:rsidRPr="005C5824" w:rsidRDefault="009A7E1A" w:rsidP="008B2468">
            <w:pPr>
              <w:spacing w:before="0" w:after="0"/>
              <w:rPr>
                <w:sz w:val="20"/>
                <w:szCs w:val="18"/>
              </w:rPr>
            </w:pPr>
            <w:r w:rsidRPr="005C5824">
              <w:rPr>
                <w:sz w:val="20"/>
                <w:szCs w:val="18"/>
              </w:rPr>
              <w:t>Engagement with GoV and private sector to establish priorities and targets for scholarships and alumni activities</w:t>
            </w:r>
          </w:p>
          <w:p w14:paraId="67394BFF" w14:textId="0AB5E3E5" w:rsidR="009A7E1A" w:rsidRPr="005C5824" w:rsidRDefault="009A7E1A" w:rsidP="008B2468">
            <w:pPr>
              <w:spacing w:before="0" w:after="0"/>
              <w:rPr>
                <w:sz w:val="20"/>
                <w:szCs w:val="18"/>
              </w:rPr>
            </w:pPr>
            <w:r w:rsidRPr="005C5824">
              <w:rPr>
                <w:sz w:val="20"/>
                <w:szCs w:val="18"/>
              </w:rPr>
              <w:t>Engagement with awardees, fellows, organisations and leaders in priority areas</w:t>
            </w:r>
          </w:p>
        </w:tc>
        <w:tc>
          <w:tcPr>
            <w:tcW w:w="5528" w:type="dxa"/>
          </w:tcPr>
          <w:p w14:paraId="1C257278" w14:textId="116F0D5F" w:rsidR="00535E01" w:rsidRPr="005C5824" w:rsidRDefault="00535E01" w:rsidP="007A7DFE">
            <w:pPr>
              <w:pStyle w:val="ListParagraph"/>
              <w:numPr>
                <w:ilvl w:val="0"/>
                <w:numId w:val="42"/>
              </w:numPr>
              <w:ind w:left="276"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Feedback from Vanuatu Government counterparts on selection pro</w:t>
            </w:r>
            <w:r w:rsidR="00CA3C6B" w:rsidRPr="005C5824">
              <w:rPr>
                <w:rFonts w:asciiTheme="minorHAnsi" w:hAnsiTheme="minorHAnsi"/>
                <w:color w:val="495965" w:themeColor="text2"/>
                <w:sz w:val="19"/>
                <w:szCs w:val="19"/>
              </w:rPr>
              <w:t>cess; reintegration of alumni</w:t>
            </w:r>
          </w:p>
          <w:p w14:paraId="63A53098" w14:textId="677B3BB7" w:rsidR="00D35B3B" w:rsidRPr="005C5824" w:rsidRDefault="00535E01" w:rsidP="007A7DFE">
            <w:pPr>
              <w:pStyle w:val="ListParagraph"/>
              <w:numPr>
                <w:ilvl w:val="0"/>
                <w:numId w:val="42"/>
              </w:numPr>
              <w:ind w:left="276"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Feedback from private sector stakeholders on selection process; appropriateness of </w:t>
            </w:r>
            <w:r w:rsidR="004E0AB9" w:rsidRPr="005C5824">
              <w:rPr>
                <w:rFonts w:asciiTheme="minorHAnsi" w:hAnsiTheme="minorHAnsi"/>
                <w:color w:val="495965" w:themeColor="text2"/>
                <w:sz w:val="19"/>
                <w:szCs w:val="19"/>
              </w:rPr>
              <w:t>Australia A</w:t>
            </w:r>
            <w:r w:rsidRPr="005C5824">
              <w:rPr>
                <w:rFonts w:asciiTheme="minorHAnsi" w:hAnsiTheme="minorHAnsi"/>
                <w:color w:val="495965" w:themeColor="text2"/>
                <w:sz w:val="19"/>
                <w:szCs w:val="19"/>
              </w:rPr>
              <w:t>wards to industry needs; rein</w:t>
            </w:r>
            <w:r w:rsidR="00CA3C6B" w:rsidRPr="005C5824">
              <w:rPr>
                <w:rFonts w:asciiTheme="minorHAnsi" w:hAnsiTheme="minorHAnsi"/>
                <w:color w:val="495965" w:themeColor="text2"/>
                <w:sz w:val="19"/>
                <w:szCs w:val="19"/>
              </w:rPr>
              <w:t>tegration of alumni</w:t>
            </w:r>
          </w:p>
        </w:tc>
        <w:tc>
          <w:tcPr>
            <w:tcW w:w="5814" w:type="dxa"/>
          </w:tcPr>
          <w:p w14:paraId="5346309A" w14:textId="0AF0768B" w:rsidR="00D35B3B" w:rsidRPr="005C5824" w:rsidRDefault="004E0AB9" w:rsidP="00535E01">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To what e</w:t>
            </w:r>
            <w:r w:rsidR="00535E01" w:rsidRPr="005C5824">
              <w:rPr>
                <w:rFonts w:asciiTheme="minorHAnsi" w:hAnsiTheme="minorHAnsi"/>
                <w:color w:val="495965" w:themeColor="text2"/>
                <w:sz w:val="19"/>
                <w:szCs w:val="19"/>
              </w:rPr>
              <w:t xml:space="preserve">xtent </w:t>
            </w:r>
            <w:r w:rsidRPr="005C5824">
              <w:rPr>
                <w:rFonts w:asciiTheme="minorHAnsi" w:hAnsiTheme="minorHAnsi"/>
                <w:color w:val="495965" w:themeColor="text2"/>
                <w:sz w:val="19"/>
                <w:szCs w:val="19"/>
              </w:rPr>
              <w:t>did Government counterparts learn</w:t>
            </w:r>
            <w:r w:rsidR="00535E01" w:rsidRPr="005C5824">
              <w:rPr>
                <w:rFonts w:asciiTheme="minorHAnsi" w:hAnsiTheme="minorHAnsi"/>
                <w:color w:val="495965" w:themeColor="text2"/>
                <w:sz w:val="19"/>
                <w:szCs w:val="19"/>
              </w:rPr>
              <w:t xml:space="preserve"> more about merit-based selection processes</w:t>
            </w:r>
            <w:r w:rsidR="009A7E1A" w:rsidRPr="005C5824">
              <w:rPr>
                <w:rFonts w:asciiTheme="minorHAnsi" w:hAnsiTheme="minorHAnsi"/>
                <w:color w:val="495965" w:themeColor="text2"/>
                <w:sz w:val="19"/>
                <w:szCs w:val="19"/>
              </w:rPr>
              <w:t>?</w:t>
            </w:r>
          </w:p>
          <w:p w14:paraId="46C367AD" w14:textId="7E9975D3" w:rsidR="00535E01" w:rsidRPr="005C5824" w:rsidRDefault="004E0AB9" w:rsidP="00535E01">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To what e</w:t>
            </w:r>
            <w:r w:rsidR="00535E01" w:rsidRPr="005C5824">
              <w:rPr>
                <w:rFonts w:asciiTheme="minorHAnsi" w:hAnsiTheme="minorHAnsi"/>
                <w:color w:val="495965" w:themeColor="text2"/>
                <w:sz w:val="19"/>
                <w:szCs w:val="19"/>
              </w:rPr>
              <w:t xml:space="preserve">xtent </w:t>
            </w:r>
            <w:r w:rsidRPr="005C5824">
              <w:rPr>
                <w:rFonts w:asciiTheme="minorHAnsi" w:hAnsiTheme="minorHAnsi"/>
                <w:color w:val="495965" w:themeColor="text2"/>
                <w:sz w:val="19"/>
                <w:szCs w:val="19"/>
              </w:rPr>
              <w:t>did stakeholders think</w:t>
            </w:r>
            <w:r w:rsidR="00535E01" w:rsidRPr="005C5824">
              <w:rPr>
                <w:rFonts w:asciiTheme="minorHAnsi" w:hAnsiTheme="minorHAnsi"/>
                <w:color w:val="495965" w:themeColor="text2"/>
                <w:sz w:val="19"/>
                <w:szCs w:val="19"/>
              </w:rPr>
              <w:t xml:space="preserve"> Australia Awards meets their needs / skills gaps</w:t>
            </w:r>
            <w:r w:rsidR="009A7E1A" w:rsidRPr="005C5824">
              <w:rPr>
                <w:rFonts w:asciiTheme="minorHAnsi" w:hAnsiTheme="minorHAnsi"/>
                <w:color w:val="495965" w:themeColor="text2"/>
                <w:sz w:val="19"/>
                <w:szCs w:val="19"/>
              </w:rPr>
              <w:t>?</w:t>
            </w:r>
          </w:p>
          <w:p w14:paraId="64E59030" w14:textId="77777777" w:rsidR="00535E01" w:rsidRPr="005C5824" w:rsidRDefault="009A7E1A" w:rsidP="009A7E1A">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To what e</w:t>
            </w:r>
            <w:r w:rsidR="00535E01" w:rsidRPr="005C5824">
              <w:rPr>
                <w:rFonts w:asciiTheme="minorHAnsi" w:hAnsiTheme="minorHAnsi"/>
                <w:color w:val="495965" w:themeColor="text2"/>
                <w:sz w:val="19"/>
                <w:szCs w:val="19"/>
              </w:rPr>
              <w:t xml:space="preserve">xtent </w:t>
            </w:r>
            <w:r w:rsidRPr="005C5824">
              <w:rPr>
                <w:rFonts w:asciiTheme="minorHAnsi" w:hAnsiTheme="minorHAnsi"/>
                <w:color w:val="495965" w:themeColor="text2"/>
                <w:sz w:val="19"/>
                <w:szCs w:val="19"/>
              </w:rPr>
              <w:t xml:space="preserve">did </w:t>
            </w:r>
            <w:r w:rsidR="00535E01" w:rsidRPr="005C5824">
              <w:rPr>
                <w:rFonts w:asciiTheme="minorHAnsi" w:hAnsiTheme="minorHAnsi"/>
                <w:color w:val="495965" w:themeColor="text2"/>
                <w:sz w:val="19"/>
                <w:szCs w:val="19"/>
              </w:rPr>
              <w:t>employers contribute / meet their responsibilities in reintegration plans</w:t>
            </w:r>
            <w:r w:rsidRPr="005C5824">
              <w:rPr>
                <w:rFonts w:asciiTheme="minorHAnsi" w:hAnsiTheme="minorHAnsi"/>
                <w:color w:val="495965" w:themeColor="text2"/>
                <w:sz w:val="19"/>
                <w:szCs w:val="19"/>
              </w:rPr>
              <w:t>?</w:t>
            </w:r>
          </w:p>
          <w:p w14:paraId="516D289F" w14:textId="7416D902" w:rsidR="002B3663" w:rsidRPr="005C5824" w:rsidRDefault="002B3663" w:rsidP="002B366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Have there been any unintended negative outcomes of the alumni’s participation in the award or alumni activities from the perspective of the employer?</w:t>
            </w:r>
          </w:p>
        </w:tc>
        <w:tc>
          <w:tcPr>
            <w:tcW w:w="1841" w:type="dxa"/>
          </w:tcPr>
          <w:p w14:paraId="63BC2E42" w14:textId="77777777" w:rsidR="00535E01" w:rsidRPr="005C5824" w:rsidRDefault="00535E01" w:rsidP="00535E01">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Surveys / feedback from stakeholders</w:t>
            </w:r>
          </w:p>
          <w:p w14:paraId="4547734B" w14:textId="77777777" w:rsidR="00535E01" w:rsidRPr="005C5824" w:rsidRDefault="00535E01" w:rsidP="00535E01">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Reintegration plans</w:t>
            </w:r>
          </w:p>
        </w:tc>
      </w:tr>
    </w:tbl>
    <w:p w14:paraId="16DAA943" w14:textId="77777777" w:rsidR="00157158" w:rsidRPr="005C5824" w:rsidRDefault="00157158">
      <w:r w:rsidRPr="005C5824">
        <w:br w:type="page"/>
      </w:r>
    </w:p>
    <w:tbl>
      <w:tblPr>
        <w:tblStyle w:val="TableGrid"/>
        <w:tblW w:w="15168" w:type="dxa"/>
        <w:tblInd w:w="-572" w:type="dxa"/>
        <w:tblLook w:val="04A0" w:firstRow="1" w:lastRow="0" w:firstColumn="1" w:lastColumn="0" w:noHBand="0" w:noVBand="1"/>
      </w:tblPr>
      <w:tblGrid>
        <w:gridCol w:w="1985"/>
        <w:gridCol w:w="5528"/>
        <w:gridCol w:w="5814"/>
        <w:gridCol w:w="1841"/>
      </w:tblGrid>
      <w:tr w:rsidR="005C5824" w:rsidRPr="005C5824" w14:paraId="2D3A9544" w14:textId="77777777" w:rsidTr="009E009D">
        <w:tc>
          <w:tcPr>
            <w:tcW w:w="15168" w:type="dxa"/>
            <w:gridSpan w:val="4"/>
            <w:shd w:val="clear" w:color="auto" w:fill="F2F2F2" w:themeFill="background1" w:themeFillShade="F2"/>
          </w:tcPr>
          <w:p w14:paraId="7571E3BC" w14:textId="3540ED41" w:rsidR="001D1813" w:rsidRPr="005C5824" w:rsidRDefault="008B2468" w:rsidP="008B2468">
            <w:pPr>
              <w:spacing w:before="0"/>
              <w:rPr>
                <w:sz w:val="20"/>
                <w:szCs w:val="20"/>
              </w:rPr>
            </w:pPr>
            <w:r w:rsidRPr="005C5824">
              <w:lastRenderedPageBreak/>
              <w:br w:type="page"/>
            </w:r>
            <w:r w:rsidR="001D1813" w:rsidRPr="005C5824">
              <w:rPr>
                <w:sz w:val="20"/>
                <w:szCs w:val="20"/>
              </w:rPr>
              <w:t>Outputs</w:t>
            </w:r>
          </w:p>
        </w:tc>
      </w:tr>
      <w:tr w:rsidR="005C5824" w:rsidRPr="005C5824" w14:paraId="1BE4A562" w14:textId="77777777" w:rsidTr="00157158">
        <w:tc>
          <w:tcPr>
            <w:tcW w:w="1985" w:type="dxa"/>
          </w:tcPr>
          <w:p w14:paraId="3B7D0FD2" w14:textId="584ECBB5" w:rsidR="00D35B3B" w:rsidRPr="005C5824" w:rsidRDefault="002B3663" w:rsidP="008B2468">
            <w:pPr>
              <w:spacing w:before="0" w:after="0"/>
              <w:rPr>
                <w:sz w:val="20"/>
                <w:szCs w:val="20"/>
              </w:rPr>
            </w:pPr>
            <w:r w:rsidRPr="005C5824">
              <w:rPr>
                <w:sz w:val="20"/>
                <w:szCs w:val="20"/>
              </w:rPr>
              <w:t>Female and male ni</w:t>
            </w:r>
            <w:r w:rsidRPr="005C5824">
              <w:rPr>
                <w:sz w:val="20"/>
                <w:szCs w:val="20"/>
              </w:rPr>
              <w:noBreakHyphen/>
              <w:t>Vanuatu awardees graduate</w:t>
            </w:r>
          </w:p>
        </w:tc>
        <w:tc>
          <w:tcPr>
            <w:tcW w:w="5528" w:type="dxa"/>
          </w:tcPr>
          <w:p w14:paraId="47D4B505" w14:textId="77777777" w:rsidR="000167A9" w:rsidRPr="005C5824" w:rsidRDefault="00CF0E57" w:rsidP="007A7DFE">
            <w:pPr>
              <w:pStyle w:val="ListParagraph"/>
              <w:numPr>
                <w:ilvl w:val="0"/>
                <w:numId w:val="43"/>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awardees who graduated each year compared to those expected to graduate</w:t>
            </w:r>
          </w:p>
        </w:tc>
        <w:tc>
          <w:tcPr>
            <w:tcW w:w="5814" w:type="dxa"/>
          </w:tcPr>
          <w:p w14:paraId="14C61256" w14:textId="77777777" w:rsidR="002B3663" w:rsidRPr="005C5824" w:rsidRDefault="002B3663"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Did all the awardees expected to graduate each year graduate?</w:t>
            </w:r>
          </w:p>
          <w:p w14:paraId="6CE8C24A" w14:textId="401C0AB5" w:rsidR="00F6216C" w:rsidRPr="005C5824" w:rsidRDefault="00F6216C" w:rsidP="002B366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awardees performing well?</w:t>
            </w:r>
            <w:r w:rsidR="004333A4" w:rsidRPr="005C5824">
              <w:rPr>
                <w:rFonts w:asciiTheme="minorHAnsi" w:hAnsiTheme="minorHAnsi"/>
                <w:color w:val="495965" w:themeColor="text2"/>
                <w:sz w:val="19"/>
                <w:szCs w:val="19"/>
              </w:rPr>
              <w:t xml:space="preserve"> Are female awardees performing as well as male awardees?</w:t>
            </w:r>
          </w:p>
        </w:tc>
        <w:tc>
          <w:tcPr>
            <w:tcW w:w="1841" w:type="dxa"/>
          </w:tcPr>
          <w:p w14:paraId="387281A7" w14:textId="77777777" w:rsidR="00D35B3B" w:rsidRPr="005C5824" w:rsidRDefault="00F6216C"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Awardee academic results</w:t>
            </w:r>
          </w:p>
        </w:tc>
      </w:tr>
      <w:tr w:rsidR="005C5824" w:rsidRPr="005C5824" w14:paraId="0168DC4C" w14:textId="77777777" w:rsidTr="00157158">
        <w:tc>
          <w:tcPr>
            <w:tcW w:w="1985" w:type="dxa"/>
          </w:tcPr>
          <w:p w14:paraId="2DA95F8B" w14:textId="25696A3B" w:rsidR="001D1813" w:rsidRPr="005C5824" w:rsidRDefault="002B3663" w:rsidP="008B2468">
            <w:pPr>
              <w:spacing w:before="0" w:after="0"/>
              <w:rPr>
                <w:sz w:val="20"/>
                <w:szCs w:val="20"/>
              </w:rPr>
            </w:pPr>
            <w:r w:rsidRPr="005C5824">
              <w:rPr>
                <w:sz w:val="20"/>
                <w:szCs w:val="20"/>
              </w:rPr>
              <w:t>Female and male graduates participate in alumni activities (incl. on social inclusion)</w:t>
            </w:r>
          </w:p>
        </w:tc>
        <w:tc>
          <w:tcPr>
            <w:tcW w:w="5528" w:type="dxa"/>
          </w:tcPr>
          <w:p w14:paraId="55C32126" w14:textId="65709B26" w:rsidR="00F6216C" w:rsidRPr="005C5824" w:rsidRDefault="00F6216C" w:rsidP="007A7DFE">
            <w:pPr>
              <w:pStyle w:val="ListParagraph"/>
              <w:numPr>
                <w:ilvl w:val="0"/>
                <w:numId w:val="44"/>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Number of alumni events held each year</w:t>
            </w:r>
            <w:r w:rsidR="002B3663" w:rsidRPr="005C5824">
              <w:rPr>
                <w:rFonts w:asciiTheme="minorHAnsi" w:hAnsiTheme="minorHAnsi"/>
                <w:color w:val="495965" w:themeColor="text2"/>
                <w:sz w:val="19"/>
                <w:szCs w:val="19"/>
              </w:rPr>
              <w:t xml:space="preserve"> (incl. number of events that incorporated social inclusion issues)</w:t>
            </w:r>
          </w:p>
          <w:p w14:paraId="39DB9DD9" w14:textId="1CC88E8B" w:rsidR="00F6216C" w:rsidRPr="005C5824" w:rsidRDefault="00F6216C" w:rsidP="007A7DFE">
            <w:pPr>
              <w:pStyle w:val="ListParagraph"/>
              <w:numPr>
                <w:ilvl w:val="0"/>
                <w:numId w:val="44"/>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Number of alumni participants at each event</w:t>
            </w:r>
            <w:r w:rsidR="00842744" w:rsidRPr="005C5824">
              <w:rPr>
                <w:rFonts w:asciiTheme="minorHAnsi" w:hAnsiTheme="minorHAnsi"/>
                <w:color w:val="495965" w:themeColor="text2"/>
                <w:sz w:val="19"/>
                <w:szCs w:val="19"/>
              </w:rPr>
              <w:t xml:space="preserve"> – male, female and X (indeterminate / intersex / unspecified)</w:t>
            </w:r>
          </w:p>
          <w:p w14:paraId="39436F04" w14:textId="77777777" w:rsidR="00B86BF0" w:rsidRPr="005C5824" w:rsidRDefault="00F6216C" w:rsidP="007A7DFE">
            <w:pPr>
              <w:pStyle w:val="ListParagraph"/>
              <w:numPr>
                <w:ilvl w:val="0"/>
                <w:numId w:val="44"/>
              </w:numPr>
              <w:ind w:left="276" w:hanging="276"/>
              <w:rPr>
                <w:rFonts w:asciiTheme="minorHAnsi" w:hAnsiTheme="minorHAnsi"/>
                <w:color w:val="495965" w:themeColor="text2"/>
                <w:sz w:val="19"/>
                <w:szCs w:val="19"/>
              </w:rPr>
            </w:pPr>
            <w:r w:rsidRPr="005C5824">
              <w:rPr>
                <w:rFonts w:asciiTheme="minorHAnsi" w:hAnsiTheme="minorHAnsi"/>
                <w:color w:val="495965" w:themeColor="text2"/>
                <w:sz w:val="19"/>
                <w:szCs w:val="19"/>
              </w:rPr>
              <w:t>Feedback from alumni on alumni engagement events</w:t>
            </w:r>
          </w:p>
        </w:tc>
        <w:tc>
          <w:tcPr>
            <w:tcW w:w="5814" w:type="dxa"/>
          </w:tcPr>
          <w:p w14:paraId="6B06B67B" w14:textId="2725FE07" w:rsidR="004333A4" w:rsidRPr="005C5824" w:rsidRDefault="00F6216C"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Was there a suitable number</w:t>
            </w:r>
            <w:r w:rsidR="002B3663" w:rsidRPr="005C5824">
              <w:rPr>
                <w:rFonts w:asciiTheme="minorHAnsi" w:hAnsiTheme="minorHAnsi"/>
                <w:color w:val="495965" w:themeColor="text2"/>
                <w:sz w:val="19"/>
                <w:szCs w:val="19"/>
              </w:rPr>
              <w:t xml:space="preserve"> and focus</w:t>
            </w:r>
            <w:r w:rsidRPr="005C5824">
              <w:rPr>
                <w:rFonts w:asciiTheme="minorHAnsi" w:hAnsiTheme="minorHAnsi"/>
                <w:color w:val="495965" w:themeColor="text2"/>
                <w:sz w:val="19"/>
                <w:szCs w:val="19"/>
              </w:rPr>
              <w:t xml:space="preserve"> of alumni events held each year?</w:t>
            </w:r>
            <w:r w:rsidR="004333A4" w:rsidRPr="005C5824">
              <w:rPr>
                <w:rFonts w:asciiTheme="minorHAnsi" w:hAnsiTheme="minorHAnsi"/>
                <w:color w:val="495965" w:themeColor="text2"/>
                <w:sz w:val="19"/>
                <w:szCs w:val="19"/>
              </w:rPr>
              <w:t xml:space="preserve"> Are there equal numbers of male and female participants?</w:t>
            </w:r>
          </w:p>
          <w:p w14:paraId="7B937834" w14:textId="77777777" w:rsidR="004333A4" w:rsidRPr="005C5824" w:rsidRDefault="004333A4"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events held in accessible locations?</w:t>
            </w:r>
          </w:p>
          <w:p w14:paraId="637755E7" w14:textId="77777777" w:rsidR="00F6216C" w:rsidRPr="005C5824" w:rsidRDefault="00F6216C"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Was there high demand, and does there continue to be high demand, for alumni events?</w:t>
            </w:r>
          </w:p>
          <w:p w14:paraId="74277839" w14:textId="77777777" w:rsidR="004333A4" w:rsidRPr="005C5824" w:rsidRDefault="00F6216C"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alumni satisfied with alumni events? Could they be improved to better meet the needs of alumni?</w:t>
            </w:r>
          </w:p>
        </w:tc>
        <w:tc>
          <w:tcPr>
            <w:tcW w:w="1841" w:type="dxa"/>
          </w:tcPr>
          <w:p w14:paraId="293C25D5" w14:textId="77777777" w:rsidR="001D1813" w:rsidRPr="005C5824" w:rsidRDefault="00F6216C"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Alumni event plan</w:t>
            </w:r>
          </w:p>
          <w:p w14:paraId="0384316D" w14:textId="77777777" w:rsidR="00F6216C" w:rsidRPr="005C5824" w:rsidRDefault="00F6216C"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Alumni participant feedback forms</w:t>
            </w:r>
          </w:p>
        </w:tc>
      </w:tr>
      <w:tr w:rsidR="005C5824" w:rsidRPr="005C5824" w14:paraId="2F31FDB8" w14:textId="77777777" w:rsidTr="001D1813">
        <w:tc>
          <w:tcPr>
            <w:tcW w:w="15168" w:type="dxa"/>
            <w:gridSpan w:val="4"/>
            <w:shd w:val="clear" w:color="auto" w:fill="F2F2F2" w:themeFill="background1" w:themeFillShade="F2"/>
          </w:tcPr>
          <w:p w14:paraId="2ED7FDD7" w14:textId="77777777" w:rsidR="001D1813" w:rsidRPr="005C5824" w:rsidRDefault="001D1813" w:rsidP="008B2468">
            <w:pPr>
              <w:spacing w:before="0"/>
              <w:rPr>
                <w:sz w:val="20"/>
                <w:szCs w:val="20"/>
              </w:rPr>
            </w:pPr>
            <w:r w:rsidRPr="005C5824">
              <w:rPr>
                <w:sz w:val="20"/>
                <w:szCs w:val="20"/>
              </w:rPr>
              <w:t>Intermediate outcomes</w:t>
            </w:r>
          </w:p>
        </w:tc>
      </w:tr>
      <w:tr w:rsidR="005C5824" w:rsidRPr="005C5824" w14:paraId="3D4BF7E8" w14:textId="77777777" w:rsidTr="00157158">
        <w:tc>
          <w:tcPr>
            <w:tcW w:w="1985" w:type="dxa"/>
          </w:tcPr>
          <w:p w14:paraId="2BDF4E4E" w14:textId="3DBCB91D" w:rsidR="00C22444" w:rsidRPr="005C5824" w:rsidRDefault="00C22444" w:rsidP="00157158">
            <w:pPr>
              <w:spacing w:before="0" w:after="0"/>
              <w:rPr>
                <w:sz w:val="20"/>
                <w:szCs w:val="20"/>
              </w:rPr>
            </w:pPr>
            <w:r w:rsidRPr="005C5824">
              <w:rPr>
                <w:sz w:val="20"/>
                <w:szCs w:val="20"/>
              </w:rPr>
              <w:t xml:space="preserve">Employers place </w:t>
            </w:r>
            <w:r w:rsidR="002B3663" w:rsidRPr="005C5824">
              <w:rPr>
                <w:sz w:val="20"/>
                <w:szCs w:val="20"/>
              </w:rPr>
              <w:t xml:space="preserve">female and male </w:t>
            </w:r>
            <w:r w:rsidRPr="005C5824">
              <w:rPr>
                <w:sz w:val="20"/>
                <w:szCs w:val="20"/>
              </w:rPr>
              <w:t>alumni in positions appropriate to their skills, knowledge and experience</w:t>
            </w:r>
            <w:r w:rsidR="002B3663" w:rsidRPr="005C5824">
              <w:rPr>
                <w:sz w:val="20"/>
                <w:szCs w:val="20"/>
              </w:rPr>
              <w:t xml:space="preserve"> (or alumni are self-employed in fields appropriate to their skills, knowledge and experience)</w:t>
            </w:r>
          </w:p>
        </w:tc>
        <w:tc>
          <w:tcPr>
            <w:tcW w:w="5528" w:type="dxa"/>
          </w:tcPr>
          <w:p w14:paraId="30CBC8FC" w14:textId="693A3E0D" w:rsidR="00C22444" w:rsidRPr="005C5824" w:rsidRDefault="00C22444" w:rsidP="007A7DFE">
            <w:pPr>
              <w:pStyle w:val="ListParagraph"/>
              <w:numPr>
                <w:ilvl w:val="0"/>
                <w:numId w:val="45"/>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alumni in employment that relates to the sector of their studies while on scholarship</w:t>
            </w:r>
            <w:r w:rsidR="008C16C4" w:rsidRPr="005C5824">
              <w:rPr>
                <w:rFonts w:asciiTheme="minorHAnsi" w:hAnsiTheme="minorHAnsi"/>
                <w:color w:val="495965" w:themeColor="text2"/>
                <w:sz w:val="19"/>
                <w:szCs w:val="19"/>
              </w:rPr>
              <w:t xml:space="preserve"> (within 3, 6 and 12 months of graduating)</w:t>
            </w:r>
          </w:p>
          <w:p w14:paraId="14EA480C" w14:textId="77777777" w:rsidR="00C22444" w:rsidRPr="005C5824" w:rsidRDefault="00C22444" w:rsidP="007A7DFE">
            <w:pPr>
              <w:pStyle w:val="ListParagraph"/>
              <w:numPr>
                <w:ilvl w:val="0"/>
                <w:numId w:val="45"/>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alumni who have transferred to jobs which make greater use of their award skills</w:t>
            </w:r>
          </w:p>
          <w:p w14:paraId="7ADAC40B" w14:textId="1DC780F1" w:rsidR="002B3663" w:rsidRPr="005C5824" w:rsidRDefault="00F6216C" w:rsidP="007A7DFE">
            <w:pPr>
              <w:pStyle w:val="ListParagraph"/>
              <w:numPr>
                <w:ilvl w:val="0"/>
                <w:numId w:val="45"/>
              </w:numPr>
              <w:ind w:left="276" w:hanging="276"/>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Feedback from alumni on how they have used their skills / knowledge in the workplace (and on any barriers faced to do so)</w:t>
            </w:r>
          </w:p>
        </w:tc>
        <w:tc>
          <w:tcPr>
            <w:tcW w:w="5814" w:type="dxa"/>
          </w:tcPr>
          <w:p w14:paraId="359FCDB9" w14:textId="77777777" w:rsidR="00F25A39" w:rsidRPr="005C5824" w:rsidRDefault="00F25A39"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To what extent are Reintegration Plans and alumni engagement activities helping alumni achieve their career goals / contribute to development outcomes for Vanuatu?</w:t>
            </w:r>
          </w:p>
          <w:p w14:paraId="06B3F6EE" w14:textId="77777777" w:rsidR="00B86BF0" w:rsidRPr="005C5824" w:rsidRDefault="00B86BF0"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Do </w:t>
            </w:r>
            <w:r w:rsidR="00F6216C" w:rsidRPr="005C5824">
              <w:rPr>
                <w:rFonts w:asciiTheme="minorHAnsi" w:hAnsiTheme="minorHAnsi"/>
                <w:color w:val="495965" w:themeColor="text2"/>
                <w:sz w:val="19"/>
                <w:szCs w:val="19"/>
              </w:rPr>
              <w:t xml:space="preserve">employers or alumni </w:t>
            </w:r>
            <w:r w:rsidRPr="005C5824">
              <w:rPr>
                <w:rFonts w:asciiTheme="minorHAnsi" w:hAnsiTheme="minorHAnsi"/>
                <w:color w:val="495965" w:themeColor="text2"/>
                <w:sz w:val="19"/>
                <w:szCs w:val="19"/>
              </w:rPr>
              <w:t>perceive any constraints to the alumni’s application of skills in the workplace?</w:t>
            </w:r>
          </w:p>
          <w:p w14:paraId="4114CBAC" w14:textId="282A8B82" w:rsidR="001D1813" w:rsidRPr="005C5824" w:rsidRDefault="00B86BF0"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Do employers </w:t>
            </w:r>
            <w:r w:rsidR="00F6216C" w:rsidRPr="005C5824">
              <w:rPr>
                <w:rFonts w:asciiTheme="minorHAnsi" w:hAnsiTheme="minorHAnsi"/>
                <w:color w:val="495965" w:themeColor="text2"/>
                <w:sz w:val="19"/>
                <w:szCs w:val="19"/>
              </w:rPr>
              <w:t xml:space="preserve">or alumni </w:t>
            </w:r>
            <w:r w:rsidRPr="005C5824">
              <w:rPr>
                <w:rFonts w:asciiTheme="minorHAnsi" w:hAnsiTheme="minorHAnsi"/>
                <w:color w:val="495965" w:themeColor="text2"/>
                <w:sz w:val="19"/>
                <w:szCs w:val="19"/>
              </w:rPr>
              <w:t xml:space="preserve">identify / associate the benefits of participation in </w:t>
            </w:r>
            <w:r w:rsidR="002B3663" w:rsidRPr="005C5824">
              <w:rPr>
                <w:rFonts w:asciiTheme="minorHAnsi" w:hAnsiTheme="minorHAnsi"/>
                <w:color w:val="495965" w:themeColor="text2"/>
                <w:sz w:val="19"/>
                <w:szCs w:val="19"/>
              </w:rPr>
              <w:t>Australia A</w:t>
            </w:r>
            <w:r w:rsidRPr="005C5824">
              <w:rPr>
                <w:rFonts w:asciiTheme="minorHAnsi" w:hAnsiTheme="minorHAnsi"/>
                <w:color w:val="495965" w:themeColor="text2"/>
                <w:sz w:val="19"/>
                <w:szCs w:val="19"/>
              </w:rPr>
              <w:t>ward</w:t>
            </w:r>
            <w:r w:rsidR="002B3663" w:rsidRPr="005C5824">
              <w:rPr>
                <w:rFonts w:asciiTheme="minorHAnsi" w:hAnsiTheme="minorHAnsi"/>
                <w:color w:val="495965" w:themeColor="text2"/>
                <w:sz w:val="19"/>
                <w:szCs w:val="19"/>
              </w:rPr>
              <w:t>s to their achievements</w:t>
            </w:r>
            <w:r w:rsidRPr="005C5824">
              <w:rPr>
                <w:rFonts w:asciiTheme="minorHAnsi" w:hAnsiTheme="minorHAnsi"/>
                <w:color w:val="495965" w:themeColor="text2"/>
                <w:sz w:val="19"/>
                <w:szCs w:val="19"/>
              </w:rPr>
              <w:t>?</w:t>
            </w:r>
          </w:p>
          <w:p w14:paraId="55D65CB3" w14:textId="5F714C5E" w:rsidR="00833551" w:rsidRPr="005C5824" w:rsidRDefault="00833551"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Are there differences between the perceptions of employers and alumni in increased level </w:t>
            </w:r>
            <w:r w:rsidR="002B3663" w:rsidRPr="005C5824">
              <w:rPr>
                <w:rFonts w:asciiTheme="minorHAnsi" w:hAnsiTheme="minorHAnsi"/>
                <w:color w:val="495965" w:themeColor="text2"/>
                <w:sz w:val="19"/>
                <w:szCs w:val="19"/>
              </w:rPr>
              <w:t xml:space="preserve">and application </w:t>
            </w:r>
            <w:r w:rsidRPr="005C5824">
              <w:rPr>
                <w:rFonts w:asciiTheme="minorHAnsi" w:hAnsiTheme="minorHAnsi"/>
                <w:color w:val="495965" w:themeColor="text2"/>
                <w:sz w:val="19"/>
                <w:szCs w:val="19"/>
              </w:rPr>
              <w:t>of skill</w:t>
            </w:r>
            <w:r w:rsidR="002B3663" w:rsidRPr="005C5824">
              <w:rPr>
                <w:rFonts w:asciiTheme="minorHAnsi" w:hAnsiTheme="minorHAnsi"/>
                <w:color w:val="495965" w:themeColor="text2"/>
                <w:sz w:val="19"/>
                <w:szCs w:val="19"/>
              </w:rPr>
              <w:t>s</w:t>
            </w:r>
            <w:r w:rsidRPr="005C5824">
              <w:rPr>
                <w:rFonts w:asciiTheme="minorHAnsi" w:hAnsiTheme="minorHAnsi"/>
                <w:color w:val="495965" w:themeColor="text2"/>
                <w:sz w:val="19"/>
                <w:szCs w:val="19"/>
              </w:rPr>
              <w:t xml:space="preserve"> </w:t>
            </w:r>
            <w:r w:rsidR="002B3663" w:rsidRPr="005C5824">
              <w:rPr>
                <w:rFonts w:asciiTheme="minorHAnsi" w:hAnsiTheme="minorHAnsi"/>
                <w:color w:val="495965" w:themeColor="text2"/>
                <w:sz w:val="19"/>
                <w:szCs w:val="19"/>
              </w:rPr>
              <w:t xml:space="preserve">and knowledge </w:t>
            </w:r>
            <w:r w:rsidRPr="005C5824">
              <w:rPr>
                <w:rFonts w:asciiTheme="minorHAnsi" w:hAnsiTheme="minorHAnsi"/>
                <w:color w:val="495965" w:themeColor="text2"/>
                <w:sz w:val="19"/>
                <w:szCs w:val="19"/>
              </w:rPr>
              <w:t>of the alumni? If so, what could account for these differences?</w:t>
            </w:r>
          </w:p>
          <w:p w14:paraId="29D231DF" w14:textId="77777777" w:rsidR="004333A4" w:rsidRPr="005C5824" w:rsidRDefault="004333A4" w:rsidP="00833551">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there differences in experiences for male and female alumni? Do alumni engagement activities address this?</w:t>
            </w:r>
          </w:p>
          <w:p w14:paraId="7FCFF91F" w14:textId="77777777" w:rsidR="004333A4" w:rsidRPr="005C5824" w:rsidRDefault="00C22444"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What are the factors in the workplace that enable or limit alumni ability to apply their skills</w:t>
            </w:r>
            <w:r w:rsidR="004333A4" w:rsidRPr="005C5824">
              <w:rPr>
                <w:rFonts w:asciiTheme="minorHAnsi" w:hAnsiTheme="minorHAnsi"/>
                <w:color w:val="495965" w:themeColor="text2"/>
                <w:sz w:val="19"/>
                <w:szCs w:val="19"/>
              </w:rPr>
              <w:t xml:space="preserve"> and knowledge in the workplace</w:t>
            </w:r>
            <w:r w:rsidRPr="005C5824">
              <w:rPr>
                <w:rFonts w:asciiTheme="minorHAnsi" w:hAnsiTheme="minorHAnsi"/>
                <w:color w:val="495965" w:themeColor="text2"/>
                <w:sz w:val="19"/>
                <w:szCs w:val="19"/>
              </w:rPr>
              <w:t>?</w:t>
            </w:r>
          </w:p>
        </w:tc>
        <w:tc>
          <w:tcPr>
            <w:tcW w:w="1841" w:type="dxa"/>
          </w:tcPr>
          <w:p w14:paraId="6895148B" w14:textId="77777777" w:rsidR="00B86BF0" w:rsidRPr="005C5824" w:rsidRDefault="00B86BF0"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Interviews, surveys or focus groups with employers (including manager and other employees)</w:t>
            </w:r>
          </w:p>
          <w:p w14:paraId="3A42031F" w14:textId="77777777" w:rsidR="004333A4" w:rsidRPr="005C5824" w:rsidRDefault="004333A4"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Review of alumni contributions</w:t>
            </w:r>
          </w:p>
          <w:p w14:paraId="117E81F3" w14:textId="77777777" w:rsidR="00F6216C" w:rsidRPr="005C5824" w:rsidRDefault="00B86BF0"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Case studies</w:t>
            </w:r>
          </w:p>
        </w:tc>
      </w:tr>
      <w:tr w:rsidR="005C5824" w:rsidRPr="005C5824" w14:paraId="707E3DED" w14:textId="77777777" w:rsidTr="00157158">
        <w:tc>
          <w:tcPr>
            <w:tcW w:w="1985" w:type="dxa"/>
          </w:tcPr>
          <w:p w14:paraId="327E5E5C" w14:textId="6A945F9C" w:rsidR="002B3663" w:rsidRPr="005C5824" w:rsidRDefault="002B3663" w:rsidP="00157158">
            <w:pPr>
              <w:spacing w:before="0" w:after="0"/>
              <w:rPr>
                <w:sz w:val="20"/>
                <w:szCs w:val="20"/>
              </w:rPr>
            </w:pPr>
            <w:r w:rsidRPr="005C5824">
              <w:rPr>
                <w:sz w:val="20"/>
                <w:szCs w:val="20"/>
              </w:rPr>
              <w:t>Employers remain engaged with awardees</w:t>
            </w:r>
          </w:p>
        </w:tc>
        <w:tc>
          <w:tcPr>
            <w:tcW w:w="5528" w:type="dxa"/>
          </w:tcPr>
          <w:p w14:paraId="34F6C7C3" w14:textId="5CAF044A" w:rsidR="002B3663" w:rsidRPr="005C5824" w:rsidRDefault="002B3663" w:rsidP="007A7DFE">
            <w:pPr>
              <w:pStyle w:val="ListParagraph"/>
              <w:numPr>
                <w:ilvl w:val="0"/>
                <w:numId w:val="50"/>
              </w:numPr>
              <w:ind w:left="287" w:hanging="284"/>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of awardees who are on leave from their job who report ongoing communication with their employer while on award</w:t>
            </w:r>
          </w:p>
        </w:tc>
        <w:tc>
          <w:tcPr>
            <w:tcW w:w="5814" w:type="dxa"/>
          </w:tcPr>
          <w:p w14:paraId="7A5A6398" w14:textId="0AF295DB" w:rsidR="002B3663" w:rsidRPr="005C5824" w:rsidRDefault="002B3663"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To what extent are employers engaged with, and supporting, awardees?</w:t>
            </w:r>
          </w:p>
        </w:tc>
        <w:tc>
          <w:tcPr>
            <w:tcW w:w="1841" w:type="dxa"/>
          </w:tcPr>
          <w:p w14:paraId="78ABC3AA" w14:textId="3A0D9B49" w:rsidR="002B3663" w:rsidRPr="005C5824" w:rsidRDefault="002B3663" w:rsidP="00F6216C">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On award surveys</w:t>
            </w:r>
          </w:p>
        </w:tc>
      </w:tr>
      <w:tr w:rsidR="005C5824" w:rsidRPr="005C5824" w14:paraId="204F01AB" w14:textId="77777777" w:rsidTr="009E009D">
        <w:tc>
          <w:tcPr>
            <w:tcW w:w="15168" w:type="dxa"/>
            <w:gridSpan w:val="4"/>
            <w:shd w:val="clear" w:color="auto" w:fill="F2F2F2" w:themeFill="background1" w:themeFillShade="F2"/>
          </w:tcPr>
          <w:p w14:paraId="0B283391" w14:textId="1118C0AF" w:rsidR="001D1813" w:rsidRPr="005C5824" w:rsidRDefault="00E51323" w:rsidP="008B2468">
            <w:pPr>
              <w:spacing w:before="0"/>
              <w:rPr>
                <w:sz w:val="20"/>
                <w:szCs w:val="20"/>
              </w:rPr>
            </w:pPr>
            <w:r w:rsidRPr="005C5824">
              <w:rPr>
                <w:sz w:val="20"/>
                <w:szCs w:val="20"/>
              </w:rPr>
              <w:br w:type="page"/>
            </w:r>
            <w:r w:rsidR="001D1813" w:rsidRPr="005C5824">
              <w:rPr>
                <w:sz w:val="20"/>
                <w:szCs w:val="20"/>
              </w:rPr>
              <w:t>End-of-program outcomes</w:t>
            </w:r>
          </w:p>
        </w:tc>
      </w:tr>
      <w:tr w:rsidR="005C5824" w:rsidRPr="005C5824" w14:paraId="6F3300E0" w14:textId="77777777" w:rsidTr="00157158">
        <w:tc>
          <w:tcPr>
            <w:tcW w:w="1985" w:type="dxa"/>
          </w:tcPr>
          <w:p w14:paraId="11FFB53F" w14:textId="6B3E169B" w:rsidR="001D1813" w:rsidRPr="005C5824" w:rsidRDefault="002B3663" w:rsidP="008B2468">
            <w:pPr>
              <w:spacing w:before="0" w:after="0"/>
              <w:rPr>
                <w:b/>
                <w:sz w:val="20"/>
                <w:szCs w:val="20"/>
              </w:rPr>
            </w:pPr>
            <w:r w:rsidRPr="005C5824">
              <w:rPr>
                <w:sz w:val="20"/>
                <w:szCs w:val="20"/>
              </w:rPr>
              <w:t>Female and male a</w:t>
            </w:r>
            <w:r w:rsidR="00C22444" w:rsidRPr="005C5824">
              <w:rPr>
                <w:sz w:val="20"/>
                <w:szCs w:val="20"/>
              </w:rPr>
              <w:t>lumni are gain</w:t>
            </w:r>
            <w:r w:rsidRPr="005C5824">
              <w:rPr>
                <w:sz w:val="20"/>
                <w:szCs w:val="20"/>
              </w:rPr>
              <w:t>fully employed (or self-employed)</w:t>
            </w:r>
            <w:r w:rsidR="00C22444" w:rsidRPr="005C5824">
              <w:rPr>
                <w:sz w:val="20"/>
                <w:szCs w:val="20"/>
              </w:rPr>
              <w:t xml:space="preserve"> in </w:t>
            </w:r>
            <w:r w:rsidRPr="005C5824">
              <w:rPr>
                <w:sz w:val="20"/>
                <w:szCs w:val="20"/>
              </w:rPr>
              <w:t>their field of expertise and applying their new knowledge and skills and using their networks</w:t>
            </w:r>
          </w:p>
        </w:tc>
        <w:tc>
          <w:tcPr>
            <w:tcW w:w="5528" w:type="dxa"/>
          </w:tcPr>
          <w:p w14:paraId="19D8E73D" w14:textId="77777777" w:rsidR="00C22444" w:rsidRPr="005C5824" w:rsidRDefault="00C22444" w:rsidP="007A7DFE">
            <w:pPr>
              <w:pStyle w:val="ListParagraph"/>
              <w:numPr>
                <w:ilvl w:val="0"/>
                <w:numId w:val="46"/>
              </w:numPr>
              <w:ind w:left="284" w:hanging="284"/>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Feedback from employers on the contribution alumni make in the workplace</w:t>
            </w:r>
          </w:p>
          <w:p w14:paraId="312BCF3A" w14:textId="77777777" w:rsidR="000167A9" w:rsidRPr="005C5824" w:rsidRDefault="00C22444" w:rsidP="007A7DFE">
            <w:pPr>
              <w:pStyle w:val="ListParagraph"/>
              <w:numPr>
                <w:ilvl w:val="0"/>
                <w:numId w:val="46"/>
              </w:numPr>
              <w:ind w:left="284" w:hanging="284"/>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Number and proportion of alumni demonstrating their use of skills, knowledge and networks to contribute to sustainable development outcomes for Vanuatu</w:t>
            </w:r>
          </w:p>
        </w:tc>
        <w:tc>
          <w:tcPr>
            <w:tcW w:w="5814" w:type="dxa"/>
          </w:tcPr>
          <w:p w14:paraId="78B9A328" w14:textId="77777777" w:rsidR="004333A4" w:rsidRPr="005C5824" w:rsidRDefault="004333A4"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Have alumni helped to strengthen capacity of their organisations from employers’ perspectives? What are the demonstrated tangible outcomes / benefits?</w:t>
            </w:r>
          </w:p>
          <w:p w14:paraId="04B5337D" w14:textId="77777777" w:rsidR="00F25A39" w:rsidRPr="005C5824" w:rsidRDefault="00F25A39" w:rsidP="00F25A39">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How are alumni contributing to the development of Vanuatu?</w:t>
            </w:r>
          </w:p>
          <w:p w14:paraId="368502ED" w14:textId="77777777" w:rsidR="00F25A39" w:rsidRPr="005C5824" w:rsidRDefault="00F25A39" w:rsidP="00F25A39">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Have alumni helped to strengthen capacity of their organisations to contribute to the development of Vanuatu?</w:t>
            </w:r>
          </w:p>
          <w:p w14:paraId="27CE00A3" w14:textId="77777777" w:rsidR="004333A4" w:rsidRPr="005C5824" w:rsidRDefault="004333A4"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To what extent do the acquired skills and knowledge contribute directly to Vanuatu’s development priorities?</w:t>
            </w:r>
          </w:p>
          <w:p w14:paraId="216F75A4" w14:textId="77777777" w:rsidR="004333A4" w:rsidRPr="005C5824" w:rsidRDefault="004333A4"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Do male and female alumni (and their employers) report similar levels of achievement and career progression?</w:t>
            </w:r>
          </w:p>
          <w:p w14:paraId="24FB2C15" w14:textId="4EEBBF25" w:rsidR="005239B7" w:rsidRPr="005C5824" w:rsidRDefault="005239B7" w:rsidP="005239B7">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Have male and female alumni developed their perceived or actual leadership behaviours or roles?</w:t>
            </w:r>
          </w:p>
        </w:tc>
        <w:tc>
          <w:tcPr>
            <w:tcW w:w="1841" w:type="dxa"/>
          </w:tcPr>
          <w:p w14:paraId="52D6E450" w14:textId="77777777" w:rsidR="00F705D3" w:rsidRPr="005C5824" w:rsidRDefault="00F705D3"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Alumni Surveys</w:t>
            </w:r>
          </w:p>
          <w:p w14:paraId="1901C43B" w14:textId="77777777" w:rsidR="00F705D3" w:rsidRPr="005C5824" w:rsidRDefault="00F705D3"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Employer surveys</w:t>
            </w:r>
          </w:p>
          <w:p w14:paraId="73D1C5E0" w14:textId="77777777" w:rsidR="000167A9" w:rsidRPr="005C5824" w:rsidRDefault="000167A9"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Tracer Studies</w:t>
            </w:r>
          </w:p>
          <w:p w14:paraId="51A1164A" w14:textId="77777777" w:rsidR="004333A4" w:rsidRPr="005C5824" w:rsidRDefault="004333A4"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Review of alumni contributions</w:t>
            </w:r>
          </w:p>
          <w:p w14:paraId="2BE0EEB9" w14:textId="77777777" w:rsidR="000167A9" w:rsidRPr="005C5824" w:rsidRDefault="000167A9"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Program Evaluations</w:t>
            </w:r>
          </w:p>
        </w:tc>
      </w:tr>
      <w:tr w:rsidR="005C5824" w:rsidRPr="005C5824" w14:paraId="721C9228" w14:textId="77777777" w:rsidTr="00157158">
        <w:tc>
          <w:tcPr>
            <w:tcW w:w="1985" w:type="dxa"/>
          </w:tcPr>
          <w:p w14:paraId="12B59121" w14:textId="394B3117" w:rsidR="00C22444" w:rsidRPr="005C5824" w:rsidRDefault="002B3663" w:rsidP="00105392">
            <w:pPr>
              <w:spacing w:before="0" w:after="0"/>
              <w:rPr>
                <w:sz w:val="20"/>
                <w:szCs w:val="20"/>
              </w:rPr>
            </w:pPr>
            <w:r w:rsidRPr="005C5824">
              <w:rPr>
                <w:sz w:val="20"/>
                <w:szCs w:val="20"/>
              </w:rPr>
              <w:lastRenderedPageBreak/>
              <w:t>Female and male a</w:t>
            </w:r>
            <w:r w:rsidR="008B2468" w:rsidRPr="005C5824">
              <w:rPr>
                <w:sz w:val="20"/>
                <w:szCs w:val="20"/>
              </w:rPr>
              <w:t>lumni maintain links with Australia (and hold positive views of Australia, Australians and Australian expertise)</w:t>
            </w:r>
          </w:p>
        </w:tc>
        <w:tc>
          <w:tcPr>
            <w:tcW w:w="5528" w:type="dxa"/>
          </w:tcPr>
          <w:p w14:paraId="5A8D6D49" w14:textId="77777777" w:rsidR="00F705D3" w:rsidRPr="005C5824" w:rsidRDefault="00F705D3" w:rsidP="007A7DFE">
            <w:pPr>
              <w:pStyle w:val="ListParagraph"/>
              <w:numPr>
                <w:ilvl w:val="0"/>
                <w:numId w:val="47"/>
              </w:numPr>
              <w:ind w:left="284" w:hanging="284"/>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Information regarding alumni perceptions of the extent to which they are positive about the award and the professional and personal benefits they have gained from studying in Australia (and their reasons for this) including:</w:t>
            </w:r>
          </w:p>
          <w:p w14:paraId="7EA6829A" w14:textId="77777777" w:rsidR="00F705D3" w:rsidRPr="005C5824" w:rsidRDefault="00F705D3" w:rsidP="00C46226">
            <w:pPr>
              <w:pStyle w:val="ListParagraph"/>
              <w:numPr>
                <w:ilvl w:val="0"/>
                <w:numId w:val="37"/>
              </w:numPr>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level of satisfaction of different components of the award</w:t>
            </w:r>
          </w:p>
          <w:p w14:paraId="54ED3C2A" w14:textId="77777777" w:rsidR="00F705D3" w:rsidRPr="005C5824" w:rsidRDefault="00F705D3" w:rsidP="00C46226">
            <w:pPr>
              <w:pStyle w:val="ListParagraph"/>
              <w:numPr>
                <w:ilvl w:val="0"/>
                <w:numId w:val="37"/>
              </w:numPr>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personal and professional benefits of their participation</w:t>
            </w:r>
          </w:p>
          <w:p w14:paraId="2C29F897" w14:textId="6CE0BE61" w:rsidR="00F705D3" w:rsidRPr="005C5824" w:rsidRDefault="00FC333C" w:rsidP="00C46226">
            <w:pPr>
              <w:pStyle w:val="ListParagraph"/>
              <w:numPr>
                <w:ilvl w:val="0"/>
                <w:numId w:val="37"/>
              </w:numPr>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any unintended </w:t>
            </w:r>
            <w:r w:rsidR="00F705D3" w:rsidRPr="005C5824">
              <w:rPr>
                <w:rFonts w:asciiTheme="minorHAnsi" w:hAnsiTheme="minorHAnsi"/>
                <w:color w:val="495965" w:themeColor="text2"/>
                <w:sz w:val="19"/>
                <w:szCs w:val="19"/>
              </w:rPr>
              <w:t xml:space="preserve">negative </w:t>
            </w:r>
            <w:r w:rsidRPr="005C5824">
              <w:rPr>
                <w:rFonts w:asciiTheme="minorHAnsi" w:hAnsiTheme="minorHAnsi"/>
                <w:color w:val="495965" w:themeColor="text2"/>
                <w:sz w:val="19"/>
                <w:szCs w:val="19"/>
              </w:rPr>
              <w:t xml:space="preserve">impacts from </w:t>
            </w:r>
            <w:r w:rsidR="00F705D3" w:rsidRPr="005C5824">
              <w:rPr>
                <w:rFonts w:asciiTheme="minorHAnsi" w:hAnsiTheme="minorHAnsi"/>
                <w:color w:val="495965" w:themeColor="text2"/>
                <w:sz w:val="19"/>
                <w:szCs w:val="19"/>
              </w:rPr>
              <w:t>their participation</w:t>
            </w:r>
          </w:p>
          <w:p w14:paraId="613290D2" w14:textId="77777777" w:rsidR="00F705D3" w:rsidRPr="005C5824" w:rsidRDefault="00F705D3" w:rsidP="00C46226">
            <w:pPr>
              <w:pStyle w:val="ListParagraph"/>
              <w:numPr>
                <w:ilvl w:val="0"/>
                <w:numId w:val="37"/>
              </w:numPr>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level of increase in their skill / knowledge</w:t>
            </w:r>
          </w:p>
          <w:p w14:paraId="6BEAAB91" w14:textId="77777777" w:rsidR="00F705D3" w:rsidRPr="005C5824" w:rsidRDefault="00F705D3" w:rsidP="00C46226">
            <w:pPr>
              <w:pStyle w:val="ListParagraph"/>
              <w:numPr>
                <w:ilvl w:val="0"/>
                <w:numId w:val="37"/>
              </w:numPr>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relevance of the new skills / knowledge acquired</w:t>
            </w:r>
          </w:p>
          <w:p w14:paraId="24C4CD5E" w14:textId="77777777" w:rsidR="00F705D3" w:rsidRPr="005C5824" w:rsidRDefault="00F705D3" w:rsidP="00C46226">
            <w:pPr>
              <w:pStyle w:val="ListParagraph"/>
              <w:numPr>
                <w:ilvl w:val="0"/>
                <w:numId w:val="37"/>
              </w:numPr>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ability to apply their skills effectively and identified contribution to their workplace</w:t>
            </w:r>
          </w:p>
          <w:p w14:paraId="2D075402" w14:textId="77777777" w:rsidR="00F705D3" w:rsidRPr="005C5824" w:rsidRDefault="00F705D3" w:rsidP="00C46226">
            <w:pPr>
              <w:pStyle w:val="ListParagraph"/>
              <w:numPr>
                <w:ilvl w:val="0"/>
                <w:numId w:val="37"/>
              </w:numPr>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relevance of their skills to their workplace</w:t>
            </w:r>
          </w:p>
          <w:p w14:paraId="0D2EA7CC" w14:textId="77777777" w:rsidR="00F705D3" w:rsidRPr="005C5824" w:rsidRDefault="00F705D3" w:rsidP="00C46226">
            <w:pPr>
              <w:pStyle w:val="ListParagraph"/>
              <w:numPr>
                <w:ilvl w:val="0"/>
                <w:numId w:val="37"/>
              </w:numPr>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quality of process (including alumni engagement)</w:t>
            </w:r>
          </w:p>
          <w:p w14:paraId="03D671C5" w14:textId="59D98E10" w:rsidR="00FC333C" w:rsidRPr="005C5824" w:rsidRDefault="00FC333C" w:rsidP="007A7DFE">
            <w:pPr>
              <w:pStyle w:val="ListParagraph"/>
              <w:numPr>
                <w:ilvl w:val="0"/>
                <w:numId w:val="47"/>
              </w:numPr>
              <w:ind w:left="284" w:hanging="284"/>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Alumni views of Australia, Australians and Australian expertise</w:t>
            </w:r>
          </w:p>
          <w:p w14:paraId="51E7F322" w14:textId="3115A699" w:rsidR="00C22444" w:rsidRPr="005C5824" w:rsidRDefault="00C22444" w:rsidP="007A7DFE">
            <w:pPr>
              <w:pStyle w:val="ListParagraph"/>
              <w:numPr>
                <w:ilvl w:val="0"/>
                <w:numId w:val="47"/>
              </w:numPr>
              <w:ind w:left="284" w:hanging="284"/>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Information </w:t>
            </w:r>
            <w:r w:rsidR="00FC333C" w:rsidRPr="005C5824">
              <w:rPr>
                <w:rFonts w:asciiTheme="minorHAnsi" w:hAnsiTheme="minorHAnsi"/>
                <w:color w:val="495965" w:themeColor="text2"/>
                <w:sz w:val="19"/>
                <w:szCs w:val="19"/>
              </w:rPr>
              <w:t xml:space="preserve">about </w:t>
            </w:r>
            <w:r w:rsidRPr="005C5824">
              <w:rPr>
                <w:rFonts w:asciiTheme="minorHAnsi" w:hAnsiTheme="minorHAnsi"/>
                <w:color w:val="495965" w:themeColor="text2"/>
                <w:sz w:val="19"/>
                <w:szCs w:val="19"/>
              </w:rPr>
              <w:t xml:space="preserve">the extent to which awardees have shared their experiences and promoted </w:t>
            </w:r>
            <w:r w:rsidR="00F705D3" w:rsidRPr="005C5824">
              <w:rPr>
                <w:rFonts w:asciiTheme="minorHAnsi" w:hAnsiTheme="minorHAnsi"/>
                <w:color w:val="495965" w:themeColor="text2"/>
                <w:sz w:val="19"/>
                <w:szCs w:val="19"/>
              </w:rPr>
              <w:t>Australia Awards</w:t>
            </w:r>
            <w:r w:rsidR="00FC333C" w:rsidRPr="005C5824">
              <w:rPr>
                <w:rFonts w:asciiTheme="minorHAnsi" w:hAnsiTheme="minorHAnsi"/>
                <w:color w:val="495965" w:themeColor="text2"/>
                <w:sz w:val="19"/>
                <w:szCs w:val="19"/>
              </w:rPr>
              <w:t>,</w:t>
            </w:r>
            <w:r w:rsidR="00F705D3" w:rsidRPr="005C5824">
              <w:rPr>
                <w:rFonts w:asciiTheme="minorHAnsi" w:hAnsiTheme="minorHAnsi"/>
                <w:color w:val="495965" w:themeColor="text2"/>
                <w:sz w:val="19"/>
                <w:szCs w:val="19"/>
              </w:rPr>
              <w:t xml:space="preserve"> the Australian aid program </w:t>
            </w:r>
            <w:r w:rsidRPr="005C5824">
              <w:rPr>
                <w:rFonts w:asciiTheme="minorHAnsi" w:hAnsiTheme="minorHAnsi"/>
                <w:color w:val="495965" w:themeColor="text2"/>
                <w:sz w:val="19"/>
                <w:szCs w:val="19"/>
              </w:rPr>
              <w:t>to others (to whom; why; key reasons they recommend the program)</w:t>
            </w:r>
          </w:p>
          <w:p w14:paraId="4A6737C4" w14:textId="77777777" w:rsidR="00C22444" w:rsidRPr="005C5824" w:rsidRDefault="00C22444" w:rsidP="007A7DFE">
            <w:pPr>
              <w:pStyle w:val="ListParagraph"/>
              <w:numPr>
                <w:ilvl w:val="0"/>
                <w:numId w:val="47"/>
              </w:numPr>
              <w:ind w:left="284" w:hanging="284"/>
              <w:jc w:val="both"/>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Number and types of relationships formed between </w:t>
            </w:r>
            <w:r w:rsidR="00F705D3" w:rsidRPr="005C5824">
              <w:rPr>
                <w:rFonts w:asciiTheme="minorHAnsi" w:hAnsiTheme="minorHAnsi"/>
                <w:color w:val="495965" w:themeColor="text2"/>
                <w:sz w:val="19"/>
                <w:szCs w:val="19"/>
              </w:rPr>
              <w:t>ni</w:t>
            </w:r>
            <w:r w:rsidR="00F705D3" w:rsidRPr="005C5824">
              <w:rPr>
                <w:rFonts w:asciiTheme="minorHAnsi" w:hAnsiTheme="minorHAnsi"/>
                <w:color w:val="495965" w:themeColor="text2"/>
                <w:sz w:val="19"/>
                <w:szCs w:val="19"/>
              </w:rPr>
              <w:noBreakHyphen/>
              <w:t xml:space="preserve">Vanuatu </w:t>
            </w:r>
            <w:r w:rsidRPr="005C5824">
              <w:rPr>
                <w:rFonts w:asciiTheme="minorHAnsi" w:hAnsiTheme="minorHAnsi"/>
                <w:color w:val="495965" w:themeColor="text2"/>
                <w:sz w:val="19"/>
                <w:szCs w:val="19"/>
              </w:rPr>
              <w:t>scholars and Australian individuals and institutions</w:t>
            </w:r>
          </w:p>
        </w:tc>
        <w:tc>
          <w:tcPr>
            <w:tcW w:w="5814" w:type="dxa"/>
          </w:tcPr>
          <w:p w14:paraId="74D340ED" w14:textId="77777777" w:rsidR="00C22444" w:rsidRPr="005C5824" w:rsidRDefault="00C22444"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What has been the personal and professional impact of being away from work to study? C</w:t>
            </w:r>
            <w:r w:rsidR="00F705D3" w:rsidRPr="005C5824">
              <w:rPr>
                <w:rFonts w:asciiTheme="minorHAnsi" w:hAnsiTheme="minorHAnsi"/>
                <w:color w:val="495965" w:themeColor="text2"/>
                <w:sz w:val="19"/>
                <w:szCs w:val="19"/>
              </w:rPr>
              <w:t>ould negative impacts be minimis</w:t>
            </w:r>
            <w:r w:rsidRPr="005C5824">
              <w:rPr>
                <w:rFonts w:asciiTheme="minorHAnsi" w:hAnsiTheme="minorHAnsi"/>
                <w:color w:val="495965" w:themeColor="text2"/>
                <w:sz w:val="19"/>
                <w:szCs w:val="19"/>
              </w:rPr>
              <w:t>e</w:t>
            </w:r>
            <w:r w:rsidR="00F705D3" w:rsidRPr="005C5824">
              <w:rPr>
                <w:rFonts w:asciiTheme="minorHAnsi" w:hAnsiTheme="minorHAnsi"/>
                <w:color w:val="495965" w:themeColor="text2"/>
                <w:sz w:val="19"/>
                <w:szCs w:val="19"/>
              </w:rPr>
              <w:t>d and other options introduced?</w:t>
            </w:r>
          </w:p>
          <w:p w14:paraId="676EC56C" w14:textId="77777777" w:rsidR="00C22444" w:rsidRPr="005C5824" w:rsidRDefault="00C22444"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their contextual factors that have positively or negatively affected awardees’ experience and their ability to apply their skills and knowledge?</w:t>
            </w:r>
          </w:p>
          <w:p w14:paraId="1F98ADDB" w14:textId="4725B9FB" w:rsidR="00C22444" w:rsidRPr="005C5824" w:rsidRDefault="00C22444"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Why have alumni promoted / not promoted </w:t>
            </w:r>
            <w:r w:rsidR="00F705D3" w:rsidRPr="005C5824">
              <w:rPr>
                <w:rFonts w:asciiTheme="minorHAnsi" w:hAnsiTheme="minorHAnsi"/>
                <w:color w:val="495965" w:themeColor="text2"/>
                <w:sz w:val="19"/>
                <w:szCs w:val="19"/>
              </w:rPr>
              <w:t>Australia A</w:t>
            </w:r>
            <w:r w:rsidRPr="005C5824">
              <w:rPr>
                <w:rFonts w:asciiTheme="minorHAnsi" w:hAnsiTheme="minorHAnsi"/>
                <w:color w:val="495965" w:themeColor="text2"/>
                <w:sz w:val="19"/>
                <w:szCs w:val="19"/>
              </w:rPr>
              <w:t>ward</w:t>
            </w:r>
            <w:r w:rsidR="008B2468" w:rsidRPr="005C5824">
              <w:rPr>
                <w:rFonts w:asciiTheme="minorHAnsi" w:hAnsiTheme="minorHAnsi"/>
                <w:color w:val="495965" w:themeColor="text2"/>
                <w:sz w:val="19"/>
                <w:szCs w:val="19"/>
              </w:rPr>
              <w:t>s / the Australian aid program?</w:t>
            </w:r>
          </w:p>
          <w:p w14:paraId="3F527A6F" w14:textId="77777777" w:rsidR="00C22444" w:rsidRPr="005C5824" w:rsidRDefault="00C22444"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 xml:space="preserve">Are there trends in the relationships formed – are they typically with other awardees, with Australian and / or with particular institutions? </w:t>
            </w:r>
          </w:p>
          <w:p w14:paraId="5A2FBFED" w14:textId="33217105" w:rsidR="004333A4" w:rsidRPr="005C5824" w:rsidRDefault="004333A4"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alumni maintaining links with Australia and networking with other awardees?</w:t>
            </w:r>
          </w:p>
          <w:p w14:paraId="24F9A515" w14:textId="39D0C032" w:rsidR="008B2468" w:rsidRPr="005C5824" w:rsidRDefault="008B2468"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Do alumni hold positive views of Australia, Australians and Australian expertise? If not, why not?</w:t>
            </w:r>
          </w:p>
          <w:p w14:paraId="74E2CB80" w14:textId="6FC64A29" w:rsidR="005239B7" w:rsidRPr="005C5824" w:rsidRDefault="00C22444" w:rsidP="005239B7">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Are the alumni confident these relationships will endure? What are the reasons they provide as to why they will / will use the links in the future?</w:t>
            </w:r>
          </w:p>
        </w:tc>
        <w:tc>
          <w:tcPr>
            <w:tcW w:w="1841" w:type="dxa"/>
          </w:tcPr>
          <w:p w14:paraId="3BA5D6A0" w14:textId="77777777" w:rsidR="00C22444" w:rsidRPr="005C5824" w:rsidRDefault="00C22444"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S</w:t>
            </w:r>
            <w:r w:rsidR="00F705D3" w:rsidRPr="005C5824">
              <w:rPr>
                <w:rFonts w:asciiTheme="minorHAnsi" w:hAnsiTheme="minorHAnsi"/>
                <w:color w:val="495965" w:themeColor="text2"/>
                <w:sz w:val="19"/>
                <w:szCs w:val="19"/>
              </w:rPr>
              <w:t>urveys of awardees</w:t>
            </w:r>
          </w:p>
          <w:p w14:paraId="64278BF8" w14:textId="77777777" w:rsidR="00C22444" w:rsidRPr="005C5824" w:rsidRDefault="00F705D3"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Reintegration plans</w:t>
            </w:r>
          </w:p>
          <w:p w14:paraId="5C318CBF" w14:textId="77777777" w:rsidR="00F705D3" w:rsidRPr="005C5824" w:rsidRDefault="00F705D3"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Tracer Studies</w:t>
            </w:r>
          </w:p>
          <w:p w14:paraId="73F16B8D" w14:textId="77777777" w:rsidR="004333A4" w:rsidRPr="005C5824" w:rsidRDefault="004333A4" w:rsidP="004333A4">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Review of alumni contributions</w:t>
            </w:r>
          </w:p>
          <w:p w14:paraId="0FB7FD35" w14:textId="77777777" w:rsidR="00C22444" w:rsidRPr="005C5824" w:rsidRDefault="00C22444"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C</w:t>
            </w:r>
            <w:r w:rsidR="00F705D3" w:rsidRPr="005C5824">
              <w:rPr>
                <w:rFonts w:asciiTheme="minorHAnsi" w:hAnsiTheme="minorHAnsi"/>
                <w:color w:val="495965" w:themeColor="text2"/>
                <w:sz w:val="19"/>
                <w:szCs w:val="19"/>
              </w:rPr>
              <w:t>ase studies</w:t>
            </w:r>
          </w:p>
          <w:p w14:paraId="20798CD5" w14:textId="77777777" w:rsidR="00C22444" w:rsidRPr="005C5824" w:rsidRDefault="00F705D3" w:rsidP="00F705D3">
            <w:pPr>
              <w:pStyle w:val="ListParagraph"/>
              <w:numPr>
                <w:ilvl w:val="0"/>
                <w:numId w:val="14"/>
              </w:numPr>
              <w:ind w:left="239" w:hanging="284"/>
              <w:rPr>
                <w:rFonts w:asciiTheme="minorHAnsi" w:hAnsiTheme="minorHAnsi"/>
                <w:color w:val="495965" w:themeColor="text2"/>
                <w:sz w:val="19"/>
                <w:szCs w:val="19"/>
              </w:rPr>
            </w:pPr>
            <w:r w:rsidRPr="005C5824">
              <w:rPr>
                <w:rFonts w:asciiTheme="minorHAnsi" w:hAnsiTheme="minorHAnsi"/>
                <w:color w:val="495965" w:themeColor="text2"/>
                <w:sz w:val="19"/>
                <w:szCs w:val="19"/>
              </w:rPr>
              <w:t>Feedback forms from a</w:t>
            </w:r>
            <w:r w:rsidR="00C22444" w:rsidRPr="005C5824">
              <w:rPr>
                <w:rFonts w:asciiTheme="minorHAnsi" w:hAnsiTheme="minorHAnsi"/>
                <w:color w:val="495965" w:themeColor="text2"/>
                <w:sz w:val="19"/>
                <w:szCs w:val="19"/>
              </w:rPr>
              <w:t>lumni events</w:t>
            </w:r>
          </w:p>
        </w:tc>
      </w:tr>
    </w:tbl>
    <w:p w14:paraId="58F008CF" w14:textId="77777777" w:rsidR="009E009D" w:rsidRPr="005C5824" w:rsidRDefault="009E009D" w:rsidP="00F51D7F">
      <w:pPr>
        <w:suppressAutoHyphens w:val="0"/>
        <w:spacing w:before="0" w:after="120" w:line="440" w:lineRule="atLeast"/>
        <w:rPr>
          <w:rFonts w:asciiTheme="majorHAnsi" w:hAnsiTheme="majorHAnsi"/>
          <w:b/>
          <w:szCs w:val="21"/>
        </w:rPr>
      </w:pPr>
      <w:r w:rsidRPr="005C5824">
        <w:rPr>
          <w:rFonts w:asciiTheme="majorHAnsi" w:hAnsiTheme="majorHAnsi"/>
          <w:b/>
          <w:szCs w:val="21"/>
        </w:rPr>
        <w:t xml:space="preserve">M&amp;E </w:t>
      </w:r>
      <w:r w:rsidR="000167A9" w:rsidRPr="005C5824">
        <w:rPr>
          <w:rFonts w:asciiTheme="majorHAnsi" w:hAnsiTheme="majorHAnsi"/>
          <w:b/>
          <w:szCs w:val="21"/>
        </w:rPr>
        <w:t>Responsibilities</w:t>
      </w:r>
      <w:r w:rsidRPr="005C5824">
        <w:rPr>
          <w:rFonts w:asciiTheme="majorHAnsi" w:hAnsiTheme="majorHAnsi"/>
          <w:b/>
          <w:szCs w:val="21"/>
        </w:rPr>
        <w:t>:</w:t>
      </w:r>
    </w:p>
    <w:tbl>
      <w:tblPr>
        <w:tblStyle w:val="TableGrid"/>
        <w:tblW w:w="15168" w:type="dxa"/>
        <w:tblInd w:w="-572" w:type="dxa"/>
        <w:tblLayout w:type="fixed"/>
        <w:tblLook w:val="04A0" w:firstRow="1" w:lastRow="0" w:firstColumn="1" w:lastColumn="0" w:noHBand="0" w:noVBand="1"/>
      </w:tblPr>
      <w:tblGrid>
        <w:gridCol w:w="1273"/>
        <w:gridCol w:w="6949"/>
        <w:gridCol w:w="1417"/>
        <w:gridCol w:w="5529"/>
      </w:tblGrid>
      <w:tr w:rsidR="005C5824" w:rsidRPr="005C5824" w14:paraId="5802368C" w14:textId="035DBB8E" w:rsidTr="004F3E46">
        <w:tc>
          <w:tcPr>
            <w:tcW w:w="1273" w:type="dxa"/>
            <w:vMerge w:val="restart"/>
            <w:shd w:val="clear" w:color="auto" w:fill="E0F3EF" w:themeFill="accent1" w:themeFillTint="33"/>
          </w:tcPr>
          <w:p w14:paraId="0B8EC625" w14:textId="77777777" w:rsidR="004F3E46" w:rsidRPr="005C5824" w:rsidRDefault="004F3E46" w:rsidP="004F3E46">
            <w:pPr>
              <w:suppressAutoHyphens w:val="0"/>
              <w:spacing w:before="0" w:after="0" w:line="240" w:lineRule="auto"/>
              <w:rPr>
                <w:sz w:val="20"/>
                <w:szCs w:val="20"/>
              </w:rPr>
            </w:pPr>
            <w:r w:rsidRPr="005C5824">
              <w:rPr>
                <w:sz w:val="20"/>
                <w:szCs w:val="20"/>
              </w:rPr>
              <w:t>Contractor</w:t>
            </w:r>
          </w:p>
        </w:tc>
        <w:tc>
          <w:tcPr>
            <w:tcW w:w="6949" w:type="dxa"/>
            <w:vMerge w:val="restart"/>
          </w:tcPr>
          <w:p w14:paraId="79212C6F" w14:textId="474942F7" w:rsidR="004F3E46" w:rsidRPr="005C5824" w:rsidRDefault="004F3E46" w:rsidP="00A21A90">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Update and implement M&amp;E Plan; use M&amp;E data in program reporting</w:t>
            </w:r>
          </w:p>
          <w:p w14:paraId="08B29B4F" w14:textId="77777777" w:rsidR="004F3E46" w:rsidRPr="005C5824" w:rsidRDefault="004F3E46" w:rsidP="00C4622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Keep OASIS up to date</w:t>
            </w:r>
          </w:p>
          <w:p w14:paraId="46FCD847" w14:textId="77777777" w:rsidR="004F3E46" w:rsidRPr="005C5824" w:rsidRDefault="004F3E46" w:rsidP="00C4622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Facilitate participation of stakeholders in M&amp;E activities</w:t>
            </w:r>
          </w:p>
          <w:p w14:paraId="374BDF1F" w14:textId="176D769D" w:rsidR="004F3E46" w:rsidRPr="005C5824" w:rsidRDefault="004F3E46" w:rsidP="00A21A90">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Recommend options to improve program administration and provide suggestions for survey questions</w:t>
            </w:r>
          </w:p>
          <w:p w14:paraId="371455EB" w14:textId="77777777" w:rsidR="004F3E46" w:rsidRPr="005C5824" w:rsidRDefault="004F3E46" w:rsidP="00C4622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Support awardees / employers to develop Reintegration Plans and collect / analyse information to report against these plans</w:t>
            </w:r>
          </w:p>
          <w:p w14:paraId="74BB7EF3" w14:textId="4131343F" w:rsidR="004F3E46" w:rsidRPr="005C5824" w:rsidRDefault="004F3E46" w:rsidP="00C4622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Participate in an annual reflection workshop to consider the efficiency and effectiveness of activities, relevance of priority sectors, and the degree to which gender equality and disability inclusion have been integrated into activities</w:t>
            </w:r>
          </w:p>
        </w:tc>
        <w:tc>
          <w:tcPr>
            <w:tcW w:w="1417" w:type="dxa"/>
            <w:shd w:val="clear" w:color="auto" w:fill="E0F3EF" w:themeFill="accent1" w:themeFillTint="33"/>
          </w:tcPr>
          <w:p w14:paraId="53646CDA" w14:textId="2D6FD373" w:rsidR="004F3E46" w:rsidRPr="005C5824" w:rsidRDefault="004F3E46" w:rsidP="004F3E46">
            <w:pPr>
              <w:spacing w:before="0" w:after="0"/>
              <w:rPr>
                <w:sz w:val="19"/>
                <w:szCs w:val="19"/>
              </w:rPr>
            </w:pPr>
            <w:r w:rsidRPr="005C5824">
              <w:rPr>
                <w:sz w:val="20"/>
                <w:szCs w:val="20"/>
              </w:rPr>
              <w:t>Australian High Commission</w:t>
            </w:r>
          </w:p>
        </w:tc>
        <w:tc>
          <w:tcPr>
            <w:tcW w:w="5529" w:type="dxa"/>
          </w:tcPr>
          <w:p w14:paraId="3DF0FA2C" w14:textId="013BEA82" w:rsidR="004F3E46" w:rsidRPr="005C5824" w:rsidRDefault="004F3E46" w:rsidP="00A21A90">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Participate in an annual reflection workshop to consider the efficiency and effectiveness of activities, relevance of priority sectors, and the degree to which gender equality and disability inclusion have been integrated into activities</w:t>
            </w:r>
          </w:p>
        </w:tc>
      </w:tr>
      <w:tr w:rsidR="005C5824" w:rsidRPr="005C5824" w14:paraId="6F1DBBE8" w14:textId="77777777" w:rsidTr="004F3E46">
        <w:tc>
          <w:tcPr>
            <w:tcW w:w="1273" w:type="dxa"/>
            <w:vMerge/>
            <w:shd w:val="clear" w:color="auto" w:fill="E0F3EF" w:themeFill="accent1" w:themeFillTint="33"/>
          </w:tcPr>
          <w:p w14:paraId="78D7BB48" w14:textId="77777777" w:rsidR="004F3E46" w:rsidRPr="005C5824" w:rsidRDefault="004F3E46" w:rsidP="004F3E46">
            <w:pPr>
              <w:suppressAutoHyphens w:val="0"/>
              <w:spacing w:before="0" w:after="0" w:line="240" w:lineRule="auto"/>
              <w:rPr>
                <w:sz w:val="20"/>
                <w:szCs w:val="20"/>
              </w:rPr>
            </w:pPr>
          </w:p>
        </w:tc>
        <w:tc>
          <w:tcPr>
            <w:tcW w:w="6949" w:type="dxa"/>
            <w:vMerge/>
          </w:tcPr>
          <w:p w14:paraId="0738BB03" w14:textId="77777777" w:rsidR="004F3E46" w:rsidRPr="005C5824" w:rsidRDefault="004F3E46" w:rsidP="00A21A90">
            <w:pPr>
              <w:pStyle w:val="ListParagraph"/>
              <w:numPr>
                <w:ilvl w:val="0"/>
                <w:numId w:val="19"/>
              </w:numPr>
              <w:rPr>
                <w:rFonts w:asciiTheme="minorHAnsi" w:hAnsiTheme="minorHAnsi"/>
                <w:color w:val="495965" w:themeColor="text2"/>
                <w:sz w:val="19"/>
                <w:szCs w:val="19"/>
              </w:rPr>
            </w:pPr>
          </w:p>
        </w:tc>
        <w:tc>
          <w:tcPr>
            <w:tcW w:w="1417" w:type="dxa"/>
            <w:shd w:val="clear" w:color="auto" w:fill="E0F3EF" w:themeFill="accent1" w:themeFillTint="33"/>
          </w:tcPr>
          <w:p w14:paraId="266B18DD" w14:textId="16C46033" w:rsidR="004F3E46" w:rsidRPr="005C5824" w:rsidRDefault="004F3E46" w:rsidP="004F3E46">
            <w:pPr>
              <w:spacing w:before="0" w:after="0"/>
              <w:rPr>
                <w:sz w:val="20"/>
                <w:szCs w:val="20"/>
              </w:rPr>
            </w:pPr>
            <w:r w:rsidRPr="005C5824">
              <w:rPr>
                <w:sz w:val="20"/>
                <w:szCs w:val="20"/>
              </w:rPr>
              <w:t>Scholarships and Alumni Branch</w:t>
            </w:r>
          </w:p>
        </w:tc>
        <w:tc>
          <w:tcPr>
            <w:tcW w:w="5529" w:type="dxa"/>
          </w:tcPr>
          <w:p w14:paraId="3C72F88F" w14:textId="77777777" w:rsidR="004F3E46" w:rsidRPr="005C5824" w:rsidRDefault="004F3E46" w:rsidP="004F3E4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Global Australia Award surveys (which assess the quality of selection, placement, mobilisation, etc.)</w:t>
            </w:r>
          </w:p>
          <w:p w14:paraId="75A5A7A8" w14:textId="21B66AE1" w:rsidR="004F3E46" w:rsidRPr="005C5824" w:rsidRDefault="004F3E46" w:rsidP="004F3E4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Management of Global Tracey Facility</w:t>
            </w:r>
          </w:p>
        </w:tc>
      </w:tr>
      <w:tr w:rsidR="005C5824" w:rsidRPr="005C5824" w14:paraId="210DBB3F" w14:textId="3305A982" w:rsidTr="004F3E46">
        <w:tc>
          <w:tcPr>
            <w:tcW w:w="1273" w:type="dxa"/>
            <w:vMerge w:val="restart"/>
            <w:shd w:val="clear" w:color="auto" w:fill="E0F3EF" w:themeFill="accent1" w:themeFillTint="33"/>
          </w:tcPr>
          <w:p w14:paraId="09F2564D" w14:textId="77777777" w:rsidR="004F3E46" w:rsidRPr="005C5824" w:rsidRDefault="004F3E46" w:rsidP="004F3E46">
            <w:pPr>
              <w:suppressAutoHyphens w:val="0"/>
              <w:spacing w:before="0" w:after="0" w:line="240" w:lineRule="auto"/>
              <w:rPr>
                <w:sz w:val="20"/>
                <w:szCs w:val="20"/>
              </w:rPr>
            </w:pPr>
            <w:r w:rsidRPr="005C5824">
              <w:rPr>
                <w:sz w:val="20"/>
                <w:szCs w:val="20"/>
              </w:rPr>
              <w:t>Institutions</w:t>
            </w:r>
          </w:p>
        </w:tc>
        <w:tc>
          <w:tcPr>
            <w:tcW w:w="6949" w:type="dxa"/>
            <w:vMerge w:val="restart"/>
          </w:tcPr>
          <w:p w14:paraId="30E580C5" w14:textId="77777777" w:rsidR="004F3E46" w:rsidRPr="005C5824" w:rsidRDefault="004F3E46" w:rsidP="00C4622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Monitor and report on each awardee’s study performance in a timely manner through OASIS</w:t>
            </w:r>
          </w:p>
          <w:p w14:paraId="6F89D344" w14:textId="64F4453B" w:rsidR="004F3E46" w:rsidRPr="005C5824" w:rsidRDefault="004F3E46" w:rsidP="00C4622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Recommend strategies and academic support for awardees to manage studies and living abroad, based on data from surveys</w:t>
            </w:r>
          </w:p>
          <w:p w14:paraId="157ABF68" w14:textId="77777777" w:rsidR="004F3E46" w:rsidRPr="005C5824" w:rsidRDefault="004F3E46" w:rsidP="00C4622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Provide an appropriate level of follow-up contact and support to alumni</w:t>
            </w:r>
          </w:p>
        </w:tc>
        <w:tc>
          <w:tcPr>
            <w:tcW w:w="1417" w:type="dxa"/>
            <w:shd w:val="clear" w:color="auto" w:fill="E0F3EF" w:themeFill="accent1" w:themeFillTint="33"/>
          </w:tcPr>
          <w:p w14:paraId="74CDAB27" w14:textId="590F11ED" w:rsidR="004F3E46" w:rsidRPr="005C5824" w:rsidRDefault="004F3E46" w:rsidP="004F3E46">
            <w:pPr>
              <w:spacing w:before="0" w:after="0"/>
              <w:rPr>
                <w:sz w:val="19"/>
                <w:szCs w:val="19"/>
              </w:rPr>
            </w:pPr>
            <w:r w:rsidRPr="005C5824">
              <w:rPr>
                <w:sz w:val="20"/>
                <w:szCs w:val="20"/>
              </w:rPr>
              <w:t>Selection Panels</w:t>
            </w:r>
          </w:p>
        </w:tc>
        <w:tc>
          <w:tcPr>
            <w:tcW w:w="5529" w:type="dxa"/>
          </w:tcPr>
          <w:p w14:paraId="546FE881" w14:textId="77777777" w:rsidR="004F3E46" w:rsidRPr="005C5824" w:rsidRDefault="004F3E46" w:rsidP="004F3E4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Reflect on selection process and give feedback to MC</w:t>
            </w:r>
          </w:p>
          <w:p w14:paraId="7B44B617" w14:textId="64378383" w:rsidR="004F3E46" w:rsidRPr="005C5824" w:rsidRDefault="004F3E46" w:rsidP="004F3E4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Make recommendations to improve interview process and selection criteria</w:t>
            </w:r>
          </w:p>
        </w:tc>
      </w:tr>
      <w:tr w:rsidR="005C5824" w:rsidRPr="005C5824" w14:paraId="0F0A7BFB" w14:textId="77777777" w:rsidTr="004F3E46">
        <w:tc>
          <w:tcPr>
            <w:tcW w:w="1273" w:type="dxa"/>
            <w:vMerge/>
            <w:shd w:val="clear" w:color="auto" w:fill="E0F3EF" w:themeFill="accent1" w:themeFillTint="33"/>
          </w:tcPr>
          <w:p w14:paraId="6B0959AE" w14:textId="77777777" w:rsidR="004F3E46" w:rsidRPr="005C5824" w:rsidRDefault="004F3E46" w:rsidP="004F3E46">
            <w:pPr>
              <w:suppressAutoHyphens w:val="0"/>
              <w:spacing w:before="0" w:after="0" w:line="240" w:lineRule="auto"/>
              <w:rPr>
                <w:sz w:val="20"/>
                <w:szCs w:val="20"/>
              </w:rPr>
            </w:pPr>
          </w:p>
        </w:tc>
        <w:tc>
          <w:tcPr>
            <w:tcW w:w="6949" w:type="dxa"/>
            <w:vMerge/>
          </w:tcPr>
          <w:p w14:paraId="60C245DF" w14:textId="77777777" w:rsidR="004F3E46" w:rsidRPr="005C5824" w:rsidRDefault="004F3E46" w:rsidP="00C46226">
            <w:pPr>
              <w:pStyle w:val="ListParagraph"/>
              <w:numPr>
                <w:ilvl w:val="0"/>
                <w:numId w:val="19"/>
              </w:numPr>
              <w:rPr>
                <w:rFonts w:asciiTheme="minorHAnsi" w:hAnsiTheme="minorHAnsi"/>
                <w:color w:val="495965" w:themeColor="text2"/>
                <w:sz w:val="19"/>
                <w:szCs w:val="19"/>
              </w:rPr>
            </w:pPr>
          </w:p>
        </w:tc>
        <w:tc>
          <w:tcPr>
            <w:tcW w:w="1417" w:type="dxa"/>
            <w:shd w:val="clear" w:color="auto" w:fill="E0F3EF" w:themeFill="accent1" w:themeFillTint="33"/>
          </w:tcPr>
          <w:p w14:paraId="17FF57F4" w14:textId="44FC6242" w:rsidR="004F3E46" w:rsidRPr="005C5824" w:rsidRDefault="004F3E46" w:rsidP="004F3E46">
            <w:pPr>
              <w:spacing w:before="0" w:after="0"/>
              <w:rPr>
                <w:sz w:val="20"/>
                <w:szCs w:val="20"/>
              </w:rPr>
            </w:pPr>
            <w:r w:rsidRPr="005C5824">
              <w:rPr>
                <w:sz w:val="20"/>
                <w:szCs w:val="20"/>
              </w:rPr>
              <w:t>Awardees</w:t>
            </w:r>
          </w:p>
        </w:tc>
        <w:tc>
          <w:tcPr>
            <w:tcW w:w="5529" w:type="dxa"/>
          </w:tcPr>
          <w:p w14:paraId="39DDDA3F" w14:textId="292088D2" w:rsidR="004F3E46" w:rsidRPr="005C5824" w:rsidRDefault="004F3E46" w:rsidP="004F3E4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Participate in arrival and ongoing surveys</w:t>
            </w:r>
          </w:p>
        </w:tc>
      </w:tr>
      <w:tr w:rsidR="005C5824" w:rsidRPr="005C5824" w14:paraId="4B036D90" w14:textId="77777777" w:rsidTr="00523817">
        <w:trPr>
          <w:trHeight w:val="685"/>
        </w:trPr>
        <w:tc>
          <w:tcPr>
            <w:tcW w:w="1273" w:type="dxa"/>
            <w:shd w:val="clear" w:color="auto" w:fill="E0F3EF" w:themeFill="accent1" w:themeFillTint="33"/>
          </w:tcPr>
          <w:p w14:paraId="147DC283" w14:textId="3DF26F6F" w:rsidR="004F3E46" w:rsidRPr="005C5824" w:rsidRDefault="004F3E46" w:rsidP="004F3E46">
            <w:pPr>
              <w:spacing w:before="0" w:after="0" w:line="240" w:lineRule="auto"/>
              <w:rPr>
                <w:sz w:val="20"/>
                <w:szCs w:val="20"/>
              </w:rPr>
            </w:pPr>
            <w:r w:rsidRPr="005C5824">
              <w:rPr>
                <w:sz w:val="20"/>
                <w:szCs w:val="20"/>
              </w:rPr>
              <w:t>Employers</w:t>
            </w:r>
          </w:p>
        </w:tc>
        <w:tc>
          <w:tcPr>
            <w:tcW w:w="6949" w:type="dxa"/>
          </w:tcPr>
          <w:p w14:paraId="221ECBA5" w14:textId="77777777" w:rsidR="004F3E46" w:rsidRPr="005C5824" w:rsidRDefault="004F3E46" w:rsidP="004F3E4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Participate in development, implementation and review of Reintegration Plans</w:t>
            </w:r>
          </w:p>
          <w:p w14:paraId="12774D50" w14:textId="77777777" w:rsidR="004F3E46" w:rsidRPr="005C5824" w:rsidRDefault="004F3E46" w:rsidP="004F3E4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Provide appropriate level of support to maximise benefits for awardees</w:t>
            </w:r>
          </w:p>
          <w:p w14:paraId="379BD24A" w14:textId="05DDBDC6" w:rsidR="004F3E46" w:rsidRPr="005C5824" w:rsidRDefault="004F3E46" w:rsidP="004F3E46">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Participate in interviews for case studies</w:t>
            </w:r>
          </w:p>
        </w:tc>
        <w:tc>
          <w:tcPr>
            <w:tcW w:w="1417" w:type="dxa"/>
            <w:shd w:val="clear" w:color="auto" w:fill="E0F3EF" w:themeFill="accent1" w:themeFillTint="33"/>
          </w:tcPr>
          <w:p w14:paraId="6FDF4249" w14:textId="77777777" w:rsidR="004F3E46" w:rsidRPr="005C5824" w:rsidRDefault="004F3E46" w:rsidP="004F3E46">
            <w:pPr>
              <w:spacing w:before="0" w:after="0"/>
              <w:rPr>
                <w:sz w:val="20"/>
                <w:szCs w:val="20"/>
              </w:rPr>
            </w:pPr>
            <w:r w:rsidRPr="005C5824">
              <w:rPr>
                <w:sz w:val="20"/>
                <w:szCs w:val="20"/>
              </w:rPr>
              <w:t>Alumni</w:t>
            </w:r>
          </w:p>
        </w:tc>
        <w:tc>
          <w:tcPr>
            <w:tcW w:w="5529" w:type="dxa"/>
          </w:tcPr>
          <w:p w14:paraId="62FEEFD1" w14:textId="77777777" w:rsidR="004F3E46" w:rsidRPr="005C5824" w:rsidRDefault="004F3E46" w:rsidP="00743B90">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Participate in alumni workshops and complete feedback forms</w:t>
            </w:r>
          </w:p>
          <w:p w14:paraId="69430428" w14:textId="77777777" w:rsidR="004F3E46" w:rsidRPr="005C5824" w:rsidRDefault="004F3E46" w:rsidP="00743B90">
            <w:pPr>
              <w:pStyle w:val="ListParagraph"/>
              <w:numPr>
                <w:ilvl w:val="0"/>
                <w:numId w:val="19"/>
              </w:numPr>
              <w:rPr>
                <w:rFonts w:asciiTheme="minorHAnsi" w:hAnsiTheme="minorHAnsi"/>
                <w:color w:val="495965" w:themeColor="text2"/>
                <w:sz w:val="19"/>
                <w:szCs w:val="19"/>
              </w:rPr>
            </w:pPr>
            <w:r w:rsidRPr="005C5824">
              <w:rPr>
                <w:rFonts w:asciiTheme="minorHAnsi" w:hAnsiTheme="minorHAnsi"/>
                <w:color w:val="495965" w:themeColor="text2"/>
                <w:sz w:val="19"/>
                <w:szCs w:val="19"/>
              </w:rPr>
              <w:t>Participate in interviews for case studies</w:t>
            </w:r>
          </w:p>
        </w:tc>
      </w:tr>
    </w:tbl>
    <w:p w14:paraId="3B18429D" w14:textId="77777777" w:rsidR="009E009D" w:rsidRPr="005C5824" w:rsidRDefault="009E009D" w:rsidP="00174147">
      <w:pPr>
        <w:rPr>
          <w:rFonts w:asciiTheme="majorHAnsi" w:hAnsiTheme="majorHAnsi"/>
          <w:szCs w:val="21"/>
        </w:rPr>
        <w:sectPr w:rsidR="009E009D" w:rsidRPr="005C5824" w:rsidSect="00B45AF4">
          <w:pgSz w:w="16838" w:h="11906" w:orient="landscape" w:code="9"/>
          <w:pgMar w:top="851" w:right="993" w:bottom="568" w:left="1418" w:header="425" w:footer="0" w:gutter="0"/>
          <w:cols w:space="397"/>
          <w:titlePg/>
          <w:docGrid w:linePitch="360"/>
        </w:sectPr>
      </w:pPr>
    </w:p>
    <w:tbl>
      <w:tblPr>
        <w:tblStyle w:val="TableGrid"/>
        <w:tblW w:w="15168" w:type="dxa"/>
        <w:tblInd w:w="-572" w:type="dxa"/>
        <w:tblLook w:val="04A0" w:firstRow="1" w:lastRow="0" w:firstColumn="1" w:lastColumn="0" w:noHBand="0" w:noVBand="1"/>
      </w:tblPr>
      <w:tblGrid>
        <w:gridCol w:w="15168"/>
      </w:tblGrid>
      <w:tr w:rsidR="005C5824" w:rsidRPr="005C5824" w14:paraId="6C1A41A5" w14:textId="77777777" w:rsidTr="004C1F76">
        <w:tc>
          <w:tcPr>
            <w:tcW w:w="15168" w:type="dxa"/>
            <w:shd w:val="clear" w:color="auto" w:fill="C1E7E0" w:themeFill="accent1" w:themeFillTint="66"/>
          </w:tcPr>
          <w:p w14:paraId="2CC0661D" w14:textId="5570AD33" w:rsidR="00F51D7F" w:rsidRPr="005C5824" w:rsidRDefault="00EB554B" w:rsidP="00125ABF">
            <w:pPr>
              <w:spacing w:after="120" w:line="240" w:lineRule="auto"/>
              <w:rPr>
                <w:rFonts w:asciiTheme="majorHAnsi" w:hAnsiTheme="majorHAnsi"/>
                <w:b/>
                <w:sz w:val="28"/>
                <w:szCs w:val="28"/>
              </w:rPr>
            </w:pPr>
            <w:r w:rsidRPr="005C5824">
              <w:rPr>
                <w:rFonts w:asciiTheme="majorHAnsi" w:hAnsiTheme="majorHAnsi"/>
                <w:b/>
                <w:sz w:val="28"/>
                <w:szCs w:val="28"/>
              </w:rPr>
              <w:lastRenderedPageBreak/>
              <w:t xml:space="preserve">ANNEX </w:t>
            </w:r>
            <w:r w:rsidR="00D53F5E" w:rsidRPr="005C5824">
              <w:rPr>
                <w:rFonts w:asciiTheme="majorHAnsi" w:hAnsiTheme="majorHAnsi"/>
                <w:b/>
                <w:sz w:val="28"/>
                <w:szCs w:val="28"/>
              </w:rPr>
              <w:t>D</w:t>
            </w:r>
            <w:r w:rsidR="00106B51" w:rsidRPr="005C5824">
              <w:rPr>
                <w:rFonts w:asciiTheme="majorHAnsi" w:hAnsiTheme="majorHAnsi"/>
                <w:b/>
                <w:sz w:val="28"/>
                <w:szCs w:val="28"/>
              </w:rPr>
              <w:t xml:space="preserve">: </w:t>
            </w:r>
            <w:r w:rsidR="00F51D7F" w:rsidRPr="005C5824">
              <w:rPr>
                <w:rFonts w:asciiTheme="majorHAnsi" w:hAnsiTheme="majorHAnsi"/>
                <w:b/>
                <w:sz w:val="28"/>
                <w:szCs w:val="28"/>
              </w:rPr>
              <w:t>Risk Register</w:t>
            </w:r>
          </w:p>
        </w:tc>
      </w:tr>
    </w:tbl>
    <w:p w14:paraId="46555259" w14:textId="77777777" w:rsidR="00F51D7F" w:rsidRPr="005C5824" w:rsidRDefault="00F51D7F" w:rsidP="00F51D7F">
      <w:pPr>
        <w:pStyle w:val="BodyText"/>
        <w:spacing w:after="120" w:line="240" w:lineRule="auto"/>
        <w:outlineLvl w:val="0"/>
        <w:rPr>
          <w:b/>
          <w:sz w:val="8"/>
        </w:rPr>
      </w:pPr>
    </w:p>
    <w:tbl>
      <w:tblPr>
        <w:tblStyle w:val="TableGrid"/>
        <w:tblW w:w="15168" w:type="dxa"/>
        <w:tblInd w:w="-572" w:type="dxa"/>
        <w:tblLayout w:type="fixed"/>
        <w:tblLook w:val="04A0" w:firstRow="1" w:lastRow="0" w:firstColumn="1" w:lastColumn="0" w:noHBand="0" w:noVBand="1"/>
      </w:tblPr>
      <w:tblGrid>
        <w:gridCol w:w="3651"/>
        <w:gridCol w:w="1417"/>
        <w:gridCol w:w="1118"/>
        <w:gridCol w:w="1185"/>
        <w:gridCol w:w="7797"/>
      </w:tblGrid>
      <w:tr w:rsidR="005C5824" w:rsidRPr="005C5824" w14:paraId="2665D3E2" w14:textId="77777777" w:rsidTr="008339E4">
        <w:tc>
          <w:tcPr>
            <w:tcW w:w="3651" w:type="dxa"/>
            <w:shd w:val="clear" w:color="auto" w:fill="E0F3EF" w:themeFill="accent1" w:themeFillTint="33"/>
            <w:vAlign w:val="center"/>
          </w:tcPr>
          <w:p w14:paraId="52450077" w14:textId="77777777" w:rsidR="00106B51" w:rsidRPr="005C5824" w:rsidRDefault="00106B51" w:rsidP="008339E4">
            <w:pPr>
              <w:spacing w:before="60" w:line="240" w:lineRule="auto"/>
            </w:pPr>
            <w:r w:rsidRPr="005C5824">
              <w:t>Risk</w:t>
            </w:r>
          </w:p>
        </w:tc>
        <w:tc>
          <w:tcPr>
            <w:tcW w:w="1417" w:type="dxa"/>
            <w:shd w:val="clear" w:color="auto" w:fill="E0F3EF" w:themeFill="accent1" w:themeFillTint="33"/>
            <w:vAlign w:val="center"/>
          </w:tcPr>
          <w:p w14:paraId="3C2FB0CB" w14:textId="77777777" w:rsidR="00106B51" w:rsidRPr="005C5824" w:rsidRDefault="00106B51" w:rsidP="008339E4">
            <w:pPr>
              <w:spacing w:before="60" w:line="240" w:lineRule="auto"/>
            </w:pPr>
            <w:r w:rsidRPr="005C5824">
              <w:t>Consequence</w:t>
            </w:r>
          </w:p>
        </w:tc>
        <w:tc>
          <w:tcPr>
            <w:tcW w:w="1118" w:type="dxa"/>
            <w:shd w:val="clear" w:color="auto" w:fill="E0F3EF" w:themeFill="accent1" w:themeFillTint="33"/>
            <w:vAlign w:val="center"/>
          </w:tcPr>
          <w:p w14:paraId="0C9E343D" w14:textId="77777777" w:rsidR="00106B51" w:rsidRPr="005C5824" w:rsidRDefault="00106B51" w:rsidP="008339E4">
            <w:pPr>
              <w:spacing w:before="60" w:line="240" w:lineRule="auto"/>
            </w:pPr>
            <w:r w:rsidRPr="005C5824">
              <w:t>Likelihood</w:t>
            </w:r>
          </w:p>
        </w:tc>
        <w:tc>
          <w:tcPr>
            <w:tcW w:w="1185" w:type="dxa"/>
            <w:shd w:val="clear" w:color="auto" w:fill="E0F3EF" w:themeFill="accent1" w:themeFillTint="33"/>
            <w:vAlign w:val="center"/>
          </w:tcPr>
          <w:p w14:paraId="2C46CF7E" w14:textId="77777777" w:rsidR="00106B51" w:rsidRPr="005C5824" w:rsidRDefault="00106B51" w:rsidP="008339E4">
            <w:pPr>
              <w:spacing w:before="60" w:line="240" w:lineRule="auto"/>
            </w:pPr>
            <w:r w:rsidRPr="005C5824">
              <w:t>Risk rating</w:t>
            </w:r>
          </w:p>
        </w:tc>
        <w:tc>
          <w:tcPr>
            <w:tcW w:w="7797" w:type="dxa"/>
            <w:shd w:val="clear" w:color="auto" w:fill="E0F3EF" w:themeFill="accent1" w:themeFillTint="33"/>
            <w:vAlign w:val="center"/>
          </w:tcPr>
          <w:p w14:paraId="3392EB9E" w14:textId="77777777" w:rsidR="00106B51" w:rsidRPr="005C5824" w:rsidRDefault="00106B51" w:rsidP="008339E4">
            <w:pPr>
              <w:spacing w:before="60" w:line="240" w:lineRule="auto"/>
            </w:pPr>
            <w:r w:rsidRPr="005C5824">
              <w:t>Mitigation Measures</w:t>
            </w:r>
          </w:p>
        </w:tc>
      </w:tr>
      <w:tr w:rsidR="005C5824" w:rsidRPr="005C5824" w14:paraId="7FD8653F" w14:textId="77777777" w:rsidTr="00174147">
        <w:tc>
          <w:tcPr>
            <w:tcW w:w="3651" w:type="dxa"/>
            <w:shd w:val="clear" w:color="auto" w:fill="auto"/>
          </w:tcPr>
          <w:p w14:paraId="2B7E4385" w14:textId="77777777" w:rsidR="008529F7" w:rsidRPr="005C5824" w:rsidRDefault="008D3CEC" w:rsidP="008339E4">
            <w:pPr>
              <w:spacing w:before="0" w:after="0" w:line="240" w:lineRule="auto"/>
              <w:rPr>
                <w:rFonts w:cs="Times New Roman"/>
                <w:bCs/>
                <w:sz w:val="20"/>
                <w:szCs w:val="20"/>
              </w:rPr>
            </w:pPr>
            <w:r w:rsidRPr="005C5824">
              <w:rPr>
                <w:rFonts w:cs="Times New Roman"/>
                <w:bCs/>
                <w:sz w:val="20"/>
                <w:szCs w:val="20"/>
              </w:rPr>
              <w:t xml:space="preserve">Low number and/or </w:t>
            </w:r>
            <w:r w:rsidR="005C1FF8" w:rsidRPr="005C5824">
              <w:rPr>
                <w:rFonts w:cs="Times New Roman"/>
                <w:bCs/>
                <w:sz w:val="20"/>
                <w:szCs w:val="20"/>
              </w:rPr>
              <w:t xml:space="preserve">lack of </w:t>
            </w:r>
            <w:r w:rsidRPr="005C5824">
              <w:rPr>
                <w:rFonts w:cs="Times New Roman"/>
                <w:bCs/>
                <w:sz w:val="20"/>
                <w:szCs w:val="20"/>
              </w:rPr>
              <w:t>quality applications received</w:t>
            </w:r>
          </w:p>
        </w:tc>
        <w:tc>
          <w:tcPr>
            <w:tcW w:w="1417" w:type="dxa"/>
            <w:shd w:val="clear" w:color="auto" w:fill="auto"/>
          </w:tcPr>
          <w:p w14:paraId="25F1048F" w14:textId="77777777" w:rsidR="008529F7" w:rsidRPr="005C5824" w:rsidRDefault="005C1FF8" w:rsidP="005C1FF8">
            <w:pPr>
              <w:jc w:val="center"/>
              <w:rPr>
                <w:sz w:val="20"/>
                <w:szCs w:val="20"/>
              </w:rPr>
            </w:pPr>
            <w:r w:rsidRPr="005C5824">
              <w:rPr>
                <w:sz w:val="20"/>
                <w:szCs w:val="20"/>
              </w:rPr>
              <w:t>Moderate</w:t>
            </w:r>
          </w:p>
        </w:tc>
        <w:tc>
          <w:tcPr>
            <w:tcW w:w="1118" w:type="dxa"/>
            <w:shd w:val="clear" w:color="auto" w:fill="auto"/>
          </w:tcPr>
          <w:p w14:paraId="2A48A11E" w14:textId="77777777" w:rsidR="008529F7" w:rsidRPr="005C5824" w:rsidRDefault="005C1FF8" w:rsidP="005C1FF8">
            <w:pPr>
              <w:jc w:val="center"/>
              <w:rPr>
                <w:sz w:val="20"/>
                <w:szCs w:val="20"/>
              </w:rPr>
            </w:pPr>
            <w:r w:rsidRPr="005C5824">
              <w:rPr>
                <w:sz w:val="20"/>
                <w:szCs w:val="20"/>
              </w:rPr>
              <w:t>Unlikely</w:t>
            </w:r>
          </w:p>
        </w:tc>
        <w:tc>
          <w:tcPr>
            <w:tcW w:w="1185" w:type="dxa"/>
            <w:shd w:val="clear" w:color="auto" w:fill="auto"/>
          </w:tcPr>
          <w:p w14:paraId="3F59B418" w14:textId="77777777" w:rsidR="008529F7" w:rsidRPr="005C5824" w:rsidRDefault="00174147" w:rsidP="005C1FF8">
            <w:pPr>
              <w:jc w:val="center"/>
              <w:rPr>
                <w:sz w:val="20"/>
                <w:szCs w:val="20"/>
              </w:rPr>
            </w:pPr>
            <w:r w:rsidRPr="005C5824">
              <w:rPr>
                <w:sz w:val="20"/>
                <w:szCs w:val="20"/>
              </w:rPr>
              <w:t>Moderate</w:t>
            </w:r>
          </w:p>
        </w:tc>
        <w:tc>
          <w:tcPr>
            <w:tcW w:w="7797" w:type="dxa"/>
            <w:shd w:val="clear" w:color="auto" w:fill="auto"/>
          </w:tcPr>
          <w:p w14:paraId="6F5EDF66" w14:textId="77777777" w:rsidR="008529F7" w:rsidRPr="005C5824" w:rsidRDefault="00DD6995" w:rsidP="00DD6995">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Promotional activities to encourage high calibre candidates to apply</w:t>
            </w:r>
          </w:p>
          <w:p w14:paraId="25AD2E5D" w14:textId="77777777" w:rsidR="00DD6995" w:rsidRPr="005C5824" w:rsidRDefault="00DD6995" w:rsidP="00DD6995">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Applications to be well advertised, clear instructions, and open for an appropriate period of time.</w:t>
            </w:r>
          </w:p>
        </w:tc>
      </w:tr>
      <w:tr w:rsidR="005C5824" w:rsidRPr="005C5824" w14:paraId="2E82F73E" w14:textId="77777777" w:rsidTr="00174147">
        <w:tc>
          <w:tcPr>
            <w:tcW w:w="3651" w:type="dxa"/>
            <w:shd w:val="clear" w:color="auto" w:fill="auto"/>
          </w:tcPr>
          <w:p w14:paraId="2BB11C52" w14:textId="77777777" w:rsidR="008529F7" w:rsidRPr="005C5824" w:rsidRDefault="008D3CEC" w:rsidP="008339E4">
            <w:pPr>
              <w:spacing w:before="0" w:after="0" w:line="240" w:lineRule="auto"/>
              <w:rPr>
                <w:rFonts w:cs="Times New Roman"/>
                <w:sz w:val="20"/>
                <w:szCs w:val="20"/>
              </w:rPr>
            </w:pPr>
            <w:r w:rsidRPr="005C5824">
              <w:rPr>
                <w:rFonts w:cs="Times New Roman"/>
                <w:sz w:val="20"/>
                <w:szCs w:val="20"/>
              </w:rPr>
              <w:t>Poor engagement with / targeting of private sector candidates</w:t>
            </w:r>
          </w:p>
        </w:tc>
        <w:tc>
          <w:tcPr>
            <w:tcW w:w="1417" w:type="dxa"/>
            <w:shd w:val="clear" w:color="auto" w:fill="auto"/>
          </w:tcPr>
          <w:p w14:paraId="44984823" w14:textId="77777777" w:rsidR="008529F7" w:rsidRPr="005C5824" w:rsidRDefault="005C1FF8" w:rsidP="005C1FF8">
            <w:pPr>
              <w:jc w:val="center"/>
              <w:rPr>
                <w:sz w:val="20"/>
                <w:szCs w:val="20"/>
              </w:rPr>
            </w:pPr>
            <w:r w:rsidRPr="005C5824">
              <w:rPr>
                <w:sz w:val="20"/>
                <w:szCs w:val="20"/>
              </w:rPr>
              <w:t>Minor</w:t>
            </w:r>
          </w:p>
        </w:tc>
        <w:tc>
          <w:tcPr>
            <w:tcW w:w="1118" w:type="dxa"/>
            <w:shd w:val="clear" w:color="auto" w:fill="auto"/>
          </w:tcPr>
          <w:p w14:paraId="21143218" w14:textId="77777777" w:rsidR="008529F7" w:rsidRPr="005C5824" w:rsidRDefault="005C1FF8" w:rsidP="005C1FF8">
            <w:pPr>
              <w:jc w:val="center"/>
              <w:rPr>
                <w:sz w:val="20"/>
                <w:szCs w:val="20"/>
              </w:rPr>
            </w:pPr>
            <w:r w:rsidRPr="005C5824">
              <w:rPr>
                <w:sz w:val="20"/>
                <w:szCs w:val="20"/>
              </w:rPr>
              <w:t>Possible</w:t>
            </w:r>
          </w:p>
        </w:tc>
        <w:tc>
          <w:tcPr>
            <w:tcW w:w="1185" w:type="dxa"/>
            <w:shd w:val="clear" w:color="auto" w:fill="auto"/>
          </w:tcPr>
          <w:p w14:paraId="1ED29238" w14:textId="77777777" w:rsidR="008529F7" w:rsidRPr="005C5824" w:rsidRDefault="00174147" w:rsidP="005C1FF8">
            <w:pPr>
              <w:jc w:val="center"/>
              <w:rPr>
                <w:sz w:val="20"/>
                <w:szCs w:val="20"/>
              </w:rPr>
            </w:pPr>
            <w:r w:rsidRPr="005C5824">
              <w:rPr>
                <w:sz w:val="20"/>
                <w:szCs w:val="20"/>
              </w:rPr>
              <w:t>Moderate</w:t>
            </w:r>
          </w:p>
        </w:tc>
        <w:tc>
          <w:tcPr>
            <w:tcW w:w="7797" w:type="dxa"/>
            <w:shd w:val="clear" w:color="auto" w:fill="auto"/>
          </w:tcPr>
          <w:p w14:paraId="0F403D79" w14:textId="33FA6F5B" w:rsidR="008529F7" w:rsidRPr="005C5824" w:rsidRDefault="00C46226" w:rsidP="00DD6995">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Liaise with Vanuatu Chamber of Commerce and Industry and key private sector employers to identify ways to make the program more suitable for the private sector.</w:t>
            </w:r>
          </w:p>
        </w:tc>
      </w:tr>
      <w:tr w:rsidR="005C5824" w:rsidRPr="005C5824" w14:paraId="24875276" w14:textId="77777777" w:rsidTr="00174147">
        <w:tc>
          <w:tcPr>
            <w:tcW w:w="3651" w:type="dxa"/>
            <w:shd w:val="clear" w:color="auto" w:fill="auto"/>
          </w:tcPr>
          <w:p w14:paraId="7153C669" w14:textId="77777777" w:rsidR="008529F7" w:rsidRPr="005C5824" w:rsidRDefault="008D3CEC" w:rsidP="008339E4">
            <w:pPr>
              <w:spacing w:before="0" w:after="0" w:line="240" w:lineRule="auto"/>
              <w:rPr>
                <w:rFonts w:cs="Times New Roman"/>
                <w:bCs/>
                <w:sz w:val="20"/>
                <w:szCs w:val="20"/>
              </w:rPr>
            </w:pPr>
            <w:r w:rsidRPr="005C5824">
              <w:rPr>
                <w:rFonts w:cs="Times New Roman"/>
                <w:bCs/>
                <w:sz w:val="20"/>
                <w:szCs w:val="20"/>
              </w:rPr>
              <w:t>Absences of key staff who are offered an award results is detrimental to other Australian aid programs</w:t>
            </w:r>
          </w:p>
        </w:tc>
        <w:tc>
          <w:tcPr>
            <w:tcW w:w="1417" w:type="dxa"/>
            <w:shd w:val="clear" w:color="auto" w:fill="auto"/>
          </w:tcPr>
          <w:p w14:paraId="35EF8F86" w14:textId="77777777" w:rsidR="008529F7" w:rsidRPr="005C5824" w:rsidRDefault="005C1FF8" w:rsidP="005C1FF8">
            <w:pPr>
              <w:jc w:val="center"/>
              <w:rPr>
                <w:sz w:val="20"/>
                <w:szCs w:val="20"/>
              </w:rPr>
            </w:pPr>
            <w:r w:rsidRPr="005C5824">
              <w:rPr>
                <w:sz w:val="20"/>
                <w:szCs w:val="20"/>
              </w:rPr>
              <w:t>Moderate</w:t>
            </w:r>
          </w:p>
        </w:tc>
        <w:tc>
          <w:tcPr>
            <w:tcW w:w="1118" w:type="dxa"/>
            <w:shd w:val="clear" w:color="auto" w:fill="auto"/>
          </w:tcPr>
          <w:p w14:paraId="4261D861" w14:textId="77777777" w:rsidR="008529F7" w:rsidRPr="005C5824" w:rsidRDefault="005C1FF8" w:rsidP="005C1FF8">
            <w:pPr>
              <w:jc w:val="center"/>
              <w:rPr>
                <w:sz w:val="20"/>
                <w:szCs w:val="20"/>
              </w:rPr>
            </w:pPr>
            <w:r w:rsidRPr="005C5824">
              <w:rPr>
                <w:sz w:val="20"/>
                <w:szCs w:val="20"/>
              </w:rPr>
              <w:t>Possible</w:t>
            </w:r>
          </w:p>
        </w:tc>
        <w:tc>
          <w:tcPr>
            <w:tcW w:w="1185" w:type="dxa"/>
            <w:shd w:val="clear" w:color="auto" w:fill="auto"/>
          </w:tcPr>
          <w:p w14:paraId="3EB6CCC4" w14:textId="77777777" w:rsidR="008529F7" w:rsidRPr="005C5824" w:rsidRDefault="00174147" w:rsidP="005C1FF8">
            <w:pPr>
              <w:jc w:val="center"/>
              <w:rPr>
                <w:sz w:val="20"/>
                <w:szCs w:val="20"/>
              </w:rPr>
            </w:pPr>
            <w:r w:rsidRPr="005C5824">
              <w:rPr>
                <w:sz w:val="20"/>
                <w:szCs w:val="20"/>
              </w:rPr>
              <w:t>Moderate</w:t>
            </w:r>
          </w:p>
        </w:tc>
        <w:tc>
          <w:tcPr>
            <w:tcW w:w="7797" w:type="dxa"/>
            <w:shd w:val="clear" w:color="auto" w:fill="auto"/>
          </w:tcPr>
          <w:p w14:paraId="3D87CEBF" w14:textId="77777777" w:rsidR="008529F7" w:rsidRPr="005C5824" w:rsidRDefault="00AC7910" w:rsidP="00DD6995">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Liaise with Australian High Commission staff on selection, merit list.</w:t>
            </w:r>
          </w:p>
          <w:p w14:paraId="05DA58A5" w14:textId="3AD67DF1" w:rsidR="00AC7910" w:rsidRPr="005C5824" w:rsidRDefault="00AC7910" w:rsidP="00DD6995">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Where critical gaps may result, work closely with employers to manage carefully (including looking at more flexible options)</w:t>
            </w:r>
          </w:p>
        </w:tc>
      </w:tr>
      <w:tr w:rsidR="005C5824" w:rsidRPr="005C5824" w14:paraId="4827B9DE" w14:textId="77777777" w:rsidTr="00174147">
        <w:tc>
          <w:tcPr>
            <w:tcW w:w="3651" w:type="dxa"/>
            <w:shd w:val="clear" w:color="auto" w:fill="auto"/>
          </w:tcPr>
          <w:p w14:paraId="76734C42" w14:textId="77777777" w:rsidR="00EE7096" w:rsidRPr="005C5824" w:rsidRDefault="008D3CEC" w:rsidP="008339E4">
            <w:pPr>
              <w:spacing w:before="0" w:after="0" w:line="240" w:lineRule="auto"/>
              <w:rPr>
                <w:rFonts w:cs="Times New Roman"/>
                <w:bCs/>
                <w:sz w:val="20"/>
                <w:szCs w:val="20"/>
              </w:rPr>
            </w:pPr>
            <w:r w:rsidRPr="005C5824">
              <w:rPr>
                <w:rFonts w:cs="Times New Roman"/>
                <w:bCs/>
                <w:sz w:val="20"/>
                <w:szCs w:val="20"/>
              </w:rPr>
              <w:t>Inappropriate awardees are selected, resulting in high failure rates and/or negative publicity for the program and reduced support by the Australian public</w:t>
            </w:r>
          </w:p>
        </w:tc>
        <w:tc>
          <w:tcPr>
            <w:tcW w:w="1417" w:type="dxa"/>
            <w:shd w:val="clear" w:color="auto" w:fill="auto"/>
          </w:tcPr>
          <w:p w14:paraId="4041868C" w14:textId="77777777" w:rsidR="00EE7096" w:rsidRPr="005C5824" w:rsidRDefault="008D3CEC" w:rsidP="005C1FF8">
            <w:pPr>
              <w:jc w:val="center"/>
              <w:rPr>
                <w:sz w:val="20"/>
                <w:szCs w:val="20"/>
              </w:rPr>
            </w:pPr>
            <w:r w:rsidRPr="005C5824">
              <w:rPr>
                <w:sz w:val="20"/>
                <w:szCs w:val="20"/>
              </w:rPr>
              <w:t>Minor</w:t>
            </w:r>
          </w:p>
        </w:tc>
        <w:tc>
          <w:tcPr>
            <w:tcW w:w="1118" w:type="dxa"/>
            <w:shd w:val="clear" w:color="auto" w:fill="auto"/>
          </w:tcPr>
          <w:p w14:paraId="2CD38B64" w14:textId="77777777" w:rsidR="00EE7096" w:rsidRPr="005C5824" w:rsidRDefault="008D3CEC" w:rsidP="005C1FF8">
            <w:pPr>
              <w:jc w:val="center"/>
              <w:rPr>
                <w:sz w:val="20"/>
                <w:szCs w:val="20"/>
              </w:rPr>
            </w:pPr>
            <w:r w:rsidRPr="005C5824">
              <w:rPr>
                <w:sz w:val="20"/>
                <w:szCs w:val="20"/>
              </w:rPr>
              <w:t>Unlikely</w:t>
            </w:r>
          </w:p>
        </w:tc>
        <w:tc>
          <w:tcPr>
            <w:tcW w:w="1185" w:type="dxa"/>
            <w:shd w:val="clear" w:color="auto" w:fill="auto"/>
          </w:tcPr>
          <w:p w14:paraId="4A974FB2" w14:textId="77777777" w:rsidR="00EE7096" w:rsidRPr="005C5824" w:rsidRDefault="008D3CEC" w:rsidP="005C1FF8">
            <w:pPr>
              <w:jc w:val="center"/>
              <w:rPr>
                <w:sz w:val="20"/>
                <w:szCs w:val="20"/>
              </w:rPr>
            </w:pPr>
            <w:r w:rsidRPr="005C5824">
              <w:rPr>
                <w:sz w:val="20"/>
                <w:szCs w:val="20"/>
              </w:rPr>
              <w:t>Low</w:t>
            </w:r>
          </w:p>
        </w:tc>
        <w:tc>
          <w:tcPr>
            <w:tcW w:w="7797" w:type="dxa"/>
            <w:shd w:val="clear" w:color="auto" w:fill="auto"/>
          </w:tcPr>
          <w:p w14:paraId="29D94DBC" w14:textId="77777777" w:rsidR="008D3CEC" w:rsidRPr="005C5824" w:rsidRDefault="008D3CEC" w:rsidP="008D3CEC">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Robust selection process to deliver high calibre candidates who have strong academic and/or professional experience.</w:t>
            </w:r>
          </w:p>
          <w:p w14:paraId="1087F89F" w14:textId="77777777" w:rsidR="008D3CEC" w:rsidRPr="005C5824" w:rsidRDefault="008D3CEC" w:rsidP="008D3CEC">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Build / maintain productive relationships with tertiary institutions in Australia and the Pacific to enable a strong support network for awardees.</w:t>
            </w:r>
          </w:p>
          <w:p w14:paraId="4B599EA3" w14:textId="77777777" w:rsidR="00EE7096" w:rsidRPr="005C5824" w:rsidRDefault="008D3CEC" w:rsidP="008D3CEC">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Alumni to meet new awardees at pre-departure briefing and informal support/mentoring will be explored.</w:t>
            </w:r>
          </w:p>
        </w:tc>
      </w:tr>
      <w:tr w:rsidR="005C5824" w:rsidRPr="005C5824" w14:paraId="6AEDE9A8" w14:textId="77777777" w:rsidTr="00174147">
        <w:tc>
          <w:tcPr>
            <w:tcW w:w="3651" w:type="dxa"/>
          </w:tcPr>
          <w:p w14:paraId="37124DA5" w14:textId="77777777" w:rsidR="00106B51" w:rsidRPr="005C5824" w:rsidRDefault="008D3CEC" w:rsidP="008339E4">
            <w:pPr>
              <w:spacing w:before="0" w:after="0" w:line="240" w:lineRule="auto"/>
              <w:rPr>
                <w:sz w:val="20"/>
                <w:szCs w:val="20"/>
              </w:rPr>
            </w:pPr>
            <w:r w:rsidRPr="005C5824">
              <w:rPr>
                <w:rFonts w:cs="Times New Roman"/>
                <w:sz w:val="20"/>
                <w:szCs w:val="20"/>
              </w:rPr>
              <w:t>Alumni don’t have necessary employer support to maximise the use of their skills / knowledge upon return to their workplace (due to institutional / cultural barriers)</w:t>
            </w:r>
          </w:p>
        </w:tc>
        <w:tc>
          <w:tcPr>
            <w:tcW w:w="1417" w:type="dxa"/>
          </w:tcPr>
          <w:p w14:paraId="54397E2B" w14:textId="77777777" w:rsidR="00106B51" w:rsidRPr="005C5824" w:rsidRDefault="001E1B82" w:rsidP="007C58DD">
            <w:pPr>
              <w:jc w:val="center"/>
              <w:rPr>
                <w:sz w:val="20"/>
                <w:szCs w:val="20"/>
              </w:rPr>
            </w:pPr>
            <w:r w:rsidRPr="005C5824">
              <w:rPr>
                <w:sz w:val="20"/>
                <w:szCs w:val="20"/>
              </w:rPr>
              <w:t>Moderate</w:t>
            </w:r>
          </w:p>
        </w:tc>
        <w:tc>
          <w:tcPr>
            <w:tcW w:w="1118" w:type="dxa"/>
          </w:tcPr>
          <w:p w14:paraId="3CAA1F8C" w14:textId="77777777" w:rsidR="00106B51" w:rsidRPr="005C5824" w:rsidRDefault="001E1B82" w:rsidP="007C58DD">
            <w:pPr>
              <w:jc w:val="center"/>
              <w:rPr>
                <w:sz w:val="20"/>
                <w:szCs w:val="20"/>
              </w:rPr>
            </w:pPr>
            <w:r w:rsidRPr="005C5824">
              <w:rPr>
                <w:sz w:val="20"/>
                <w:szCs w:val="20"/>
              </w:rPr>
              <w:t>Possible</w:t>
            </w:r>
          </w:p>
        </w:tc>
        <w:tc>
          <w:tcPr>
            <w:tcW w:w="1185" w:type="dxa"/>
          </w:tcPr>
          <w:p w14:paraId="65891539" w14:textId="77777777" w:rsidR="00106B51" w:rsidRPr="005C5824" w:rsidRDefault="00174147" w:rsidP="007C58DD">
            <w:pPr>
              <w:jc w:val="center"/>
              <w:rPr>
                <w:sz w:val="20"/>
                <w:szCs w:val="20"/>
              </w:rPr>
            </w:pPr>
            <w:r w:rsidRPr="005C5824">
              <w:rPr>
                <w:sz w:val="20"/>
                <w:szCs w:val="20"/>
              </w:rPr>
              <w:t>Moderate</w:t>
            </w:r>
          </w:p>
        </w:tc>
        <w:tc>
          <w:tcPr>
            <w:tcW w:w="7797" w:type="dxa"/>
          </w:tcPr>
          <w:p w14:paraId="570023F7" w14:textId="29F2719E" w:rsidR="00106B51" w:rsidRPr="005C5824" w:rsidRDefault="00106B51"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Work with key agencies and targeted sectors to ensure employers are better positioned to reintegrate and utilise alumni skills.</w:t>
            </w:r>
          </w:p>
          <w:p w14:paraId="54FD931D" w14:textId="17A44C44" w:rsidR="00AC7910" w:rsidRPr="005C5824" w:rsidRDefault="00AC7910"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Use alumni activities to engage employers where appropriate</w:t>
            </w:r>
          </w:p>
          <w:p w14:paraId="150E8D72" w14:textId="41F51D61" w:rsidR="00AC7910" w:rsidRPr="005C5824" w:rsidRDefault="00AC7910"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Australian High Commission to engage directly with employers where appropriate (may be in respect of individual alumni members)</w:t>
            </w:r>
          </w:p>
          <w:p w14:paraId="6C113367" w14:textId="77777777" w:rsidR="005C1FF8" w:rsidRPr="005C5824" w:rsidRDefault="005C1FF8" w:rsidP="005C1FF8">
            <w:pPr>
              <w:rPr>
                <w:i/>
                <w:sz w:val="20"/>
                <w:szCs w:val="20"/>
              </w:rPr>
            </w:pPr>
            <w:r w:rsidRPr="005C5824">
              <w:rPr>
                <w:i/>
                <w:sz w:val="20"/>
                <w:szCs w:val="20"/>
              </w:rPr>
              <w:t>NB: Improving human resource capacity takes time and sustained outcomes often require changes in the enabling environment in which many alumni work.</w:t>
            </w:r>
          </w:p>
        </w:tc>
      </w:tr>
      <w:tr w:rsidR="005C5824" w:rsidRPr="005C5824" w14:paraId="5A0860F7" w14:textId="77777777" w:rsidTr="00174147">
        <w:tc>
          <w:tcPr>
            <w:tcW w:w="3651" w:type="dxa"/>
          </w:tcPr>
          <w:p w14:paraId="4429B9F5" w14:textId="77777777" w:rsidR="00106B51" w:rsidRPr="005C5824" w:rsidRDefault="00106B51" w:rsidP="008339E4">
            <w:pPr>
              <w:spacing w:before="0" w:after="0" w:line="240" w:lineRule="auto"/>
              <w:rPr>
                <w:sz w:val="20"/>
                <w:szCs w:val="20"/>
              </w:rPr>
            </w:pPr>
            <w:r w:rsidRPr="005C5824">
              <w:rPr>
                <w:sz w:val="20"/>
                <w:szCs w:val="20"/>
              </w:rPr>
              <w:t>Scholarship recipients overstay their visa in Australia or the Pacific region</w:t>
            </w:r>
          </w:p>
        </w:tc>
        <w:tc>
          <w:tcPr>
            <w:tcW w:w="1417" w:type="dxa"/>
          </w:tcPr>
          <w:p w14:paraId="0FCFC373" w14:textId="77777777" w:rsidR="00106B51" w:rsidRPr="005C5824" w:rsidRDefault="001E1B82" w:rsidP="007C58DD">
            <w:pPr>
              <w:jc w:val="center"/>
              <w:rPr>
                <w:sz w:val="20"/>
                <w:szCs w:val="20"/>
              </w:rPr>
            </w:pPr>
            <w:r w:rsidRPr="005C5824">
              <w:rPr>
                <w:sz w:val="20"/>
                <w:szCs w:val="20"/>
              </w:rPr>
              <w:t>Minor</w:t>
            </w:r>
          </w:p>
        </w:tc>
        <w:tc>
          <w:tcPr>
            <w:tcW w:w="1118" w:type="dxa"/>
          </w:tcPr>
          <w:p w14:paraId="3089C548" w14:textId="77777777" w:rsidR="00106B51" w:rsidRPr="005C5824" w:rsidRDefault="001E1B82" w:rsidP="007C58DD">
            <w:pPr>
              <w:jc w:val="center"/>
              <w:rPr>
                <w:sz w:val="20"/>
                <w:szCs w:val="20"/>
              </w:rPr>
            </w:pPr>
            <w:r w:rsidRPr="005C5824">
              <w:rPr>
                <w:sz w:val="20"/>
                <w:szCs w:val="20"/>
              </w:rPr>
              <w:t>Unlikely</w:t>
            </w:r>
          </w:p>
        </w:tc>
        <w:tc>
          <w:tcPr>
            <w:tcW w:w="1185" w:type="dxa"/>
          </w:tcPr>
          <w:p w14:paraId="30621EF8" w14:textId="77777777" w:rsidR="00106B51" w:rsidRPr="005C5824" w:rsidRDefault="001E1B82" w:rsidP="007C58DD">
            <w:pPr>
              <w:jc w:val="center"/>
              <w:rPr>
                <w:sz w:val="20"/>
                <w:szCs w:val="20"/>
              </w:rPr>
            </w:pPr>
            <w:r w:rsidRPr="005C5824">
              <w:rPr>
                <w:sz w:val="20"/>
                <w:szCs w:val="20"/>
              </w:rPr>
              <w:t>Low</w:t>
            </w:r>
          </w:p>
        </w:tc>
        <w:tc>
          <w:tcPr>
            <w:tcW w:w="7797" w:type="dxa"/>
          </w:tcPr>
          <w:p w14:paraId="3F4AD255" w14:textId="77777777" w:rsidR="00106B51" w:rsidRPr="005C5824" w:rsidRDefault="00106B51"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Pre-departure briefings are an important means to stress the legal obligation to return home and legal and monetary consequences of remaining in Australia.</w:t>
            </w:r>
          </w:p>
          <w:p w14:paraId="3473D03C" w14:textId="77777777" w:rsidR="00106B51" w:rsidRPr="005C5824" w:rsidRDefault="00106B51"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The program will implement on-award follow-up strategies to maintain contact with awardees while in Australia</w:t>
            </w:r>
          </w:p>
        </w:tc>
      </w:tr>
      <w:tr w:rsidR="005C5824" w:rsidRPr="005C5824" w14:paraId="3C51C96B" w14:textId="77777777" w:rsidTr="00174147">
        <w:tc>
          <w:tcPr>
            <w:tcW w:w="3651" w:type="dxa"/>
          </w:tcPr>
          <w:p w14:paraId="0E7CD566" w14:textId="77777777" w:rsidR="00EE7096" w:rsidRPr="005C5824" w:rsidRDefault="008D3CEC" w:rsidP="008339E4">
            <w:pPr>
              <w:spacing w:before="0" w:after="0" w:line="240" w:lineRule="auto"/>
              <w:rPr>
                <w:rFonts w:cs="Times New Roman"/>
                <w:sz w:val="20"/>
                <w:szCs w:val="20"/>
              </w:rPr>
            </w:pPr>
            <w:r w:rsidRPr="005C5824">
              <w:rPr>
                <w:rFonts w:cs="Times New Roman"/>
                <w:sz w:val="20"/>
                <w:szCs w:val="20"/>
              </w:rPr>
              <w:t>Awardees do not develop a positive attitude towards Australia and Australians and/or awardees do not develop positive linkages with Australian individuals / organisations</w:t>
            </w:r>
          </w:p>
        </w:tc>
        <w:tc>
          <w:tcPr>
            <w:tcW w:w="1417" w:type="dxa"/>
          </w:tcPr>
          <w:p w14:paraId="66137295" w14:textId="77777777" w:rsidR="00EE7096" w:rsidRPr="005C5824" w:rsidRDefault="005C1FF8" w:rsidP="007C58DD">
            <w:pPr>
              <w:jc w:val="center"/>
              <w:rPr>
                <w:sz w:val="20"/>
                <w:szCs w:val="20"/>
              </w:rPr>
            </w:pPr>
            <w:r w:rsidRPr="005C5824">
              <w:rPr>
                <w:sz w:val="20"/>
                <w:szCs w:val="20"/>
              </w:rPr>
              <w:t>Moderate</w:t>
            </w:r>
          </w:p>
        </w:tc>
        <w:tc>
          <w:tcPr>
            <w:tcW w:w="1118" w:type="dxa"/>
          </w:tcPr>
          <w:p w14:paraId="131FB7BE" w14:textId="77777777" w:rsidR="00EE7096" w:rsidRPr="005C5824" w:rsidRDefault="005C1FF8" w:rsidP="007C58DD">
            <w:pPr>
              <w:jc w:val="center"/>
              <w:rPr>
                <w:sz w:val="20"/>
                <w:szCs w:val="20"/>
              </w:rPr>
            </w:pPr>
            <w:r w:rsidRPr="005C5824">
              <w:rPr>
                <w:sz w:val="20"/>
                <w:szCs w:val="20"/>
              </w:rPr>
              <w:t>Unlikely</w:t>
            </w:r>
          </w:p>
        </w:tc>
        <w:tc>
          <w:tcPr>
            <w:tcW w:w="1185" w:type="dxa"/>
          </w:tcPr>
          <w:p w14:paraId="42D89FEE" w14:textId="77777777" w:rsidR="00EE7096" w:rsidRPr="005C5824" w:rsidRDefault="00174147" w:rsidP="007C58DD">
            <w:pPr>
              <w:jc w:val="center"/>
              <w:rPr>
                <w:sz w:val="20"/>
                <w:szCs w:val="20"/>
              </w:rPr>
            </w:pPr>
            <w:r w:rsidRPr="005C5824">
              <w:rPr>
                <w:sz w:val="20"/>
                <w:szCs w:val="20"/>
              </w:rPr>
              <w:t>Moderate</w:t>
            </w:r>
          </w:p>
        </w:tc>
        <w:tc>
          <w:tcPr>
            <w:tcW w:w="7797" w:type="dxa"/>
          </w:tcPr>
          <w:p w14:paraId="2F3D72A3" w14:textId="77777777" w:rsidR="00EE7096" w:rsidRPr="005C5824" w:rsidRDefault="00AC7910" w:rsidP="00AC7910">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Clearly articulate the goals of the program at pre-departure briefing and ensure all awardees are aware of their responsibilities and expectations of them.</w:t>
            </w:r>
          </w:p>
          <w:p w14:paraId="14C769DC" w14:textId="77777777" w:rsidR="00AC7910" w:rsidRPr="005C5824" w:rsidRDefault="00AC7910" w:rsidP="00AC7910">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Monitor performance of MC and institutions to ensure students on award are provided with adequate support.</w:t>
            </w:r>
          </w:p>
          <w:p w14:paraId="0B7C583D" w14:textId="2689CC46" w:rsidR="00AC7910" w:rsidRPr="005C5824" w:rsidRDefault="00AC7910" w:rsidP="00AC7910">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Promote links between Australia and Vanuatu through alumni engagement activities.</w:t>
            </w:r>
          </w:p>
        </w:tc>
      </w:tr>
      <w:tr w:rsidR="005C5824" w:rsidRPr="005C5824" w14:paraId="52BFDC3C" w14:textId="77777777" w:rsidTr="00174147">
        <w:tc>
          <w:tcPr>
            <w:tcW w:w="3651" w:type="dxa"/>
          </w:tcPr>
          <w:p w14:paraId="28A8DC9F" w14:textId="77777777" w:rsidR="00EE7096" w:rsidRPr="005C5824" w:rsidRDefault="00916A6E" w:rsidP="008339E4">
            <w:pPr>
              <w:spacing w:before="0" w:after="0" w:line="240" w:lineRule="auto"/>
              <w:rPr>
                <w:rFonts w:cs="Times New Roman"/>
                <w:bCs/>
                <w:sz w:val="20"/>
                <w:szCs w:val="20"/>
              </w:rPr>
            </w:pPr>
            <w:r w:rsidRPr="005C5824">
              <w:rPr>
                <w:rFonts w:cs="Times New Roman"/>
                <w:bCs/>
                <w:sz w:val="20"/>
                <w:szCs w:val="20"/>
              </w:rPr>
              <w:t xml:space="preserve">Poor engagement with stakeholders (incl. alumni) </w:t>
            </w:r>
            <w:r w:rsidR="005C1FF8" w:rsidRPr="005C5824">
              <w:rPr>
                <w:rFonts w:cs="Times New Roman"/>
                <w:bCs/>
                <w:sz w:val="20"/>
                <w:szCs w:val="20"/>
              </w:rPr>
              <w:t>results in outcomes unable to be achieved.</w:t>
            </w:r>
          </w:p>
        </w:tc>
        <w:tc>
          <w:tcPr>
            <w:tcW w:w="1417" w:type="dxa"/>
          </w:tcPr>
          <w:p w14:paraId="712495ED" w14:textId="77777777" w:rsidR="00EE7096" w:rsidRPr="005C5824" w:rsidRDefault="005C1FF8" w:rsidP="007C58DD">
            <w:pPr>
              <w:jc w:val="center"/>
              <w:rPr>
                <w:sz w:val="20"/>
                <w:szCs w:val="20"/>
              </w:rPr>
            </w:pPr>
            <w:r w:rsidRPr="005C5824">
              <w:rPr>
                <w:sz w:val="20"/>
                <w:szCs w:val="20"/>
              </w:rPr>
              <w:t>Moderate</w:t>
            </w:r>
          </w:p>
        </w:tc>
        <w:tc>
          <w:tcPr>
            <w:tcW w:w="1118" w:type="dxa"/>
          </w:tcPr>
          <w:p w14:paraId="2398A0F5" w14:textId="77777777" w:rsidR="00EE7096" w:rsidRPr="005C5824" w:rsidRDefault="005C1FF8" w:rsidP="007C58DD">
            <w:pPr>
              <w:jc w:val="center"/>
              <w:rPr>
                <w:sz w:val="20"/>
                <w:szCs w:val="20"/>
              </w:rPr>
            </w:pPr>
            <w:r w:rsidRPr="005C5824">
              <w:rPr>
                <w:sz w:val="20"/>
                <w:szCs w:val="20"/>
              </w:rPr>
              <w:t>Unlikely</w:t>
            </w:r>
          </w:p>
        </w:tc>
        <w:tc>
          <w:tcPr>
            <w:tcW w:w="1185" w:type="dxa"/>
          </w:tcPr>
          <w:p w14:paraId="31639439" w14:textId="77777777" w:rsidR="00EE7096" w:rsidRPr="005C5824" w:rsidRDefault="00174147" w:rsidP="007C58DD">
            <w:pPr>
              <w:jc w:val="center"/>
              <w:rPr>
                <w:sz w:val="20"/>
                <w:szCs w:val="20"/>
              </w:rPr>
            </w:pPr>
            <w:r w:rsidRPr="005C5824">
              <w:rPr>
                <w:sz w:val="20"/>
                <w:szCs w:val="20"/>
              </w:rPr>
              <w:t>Moderate</w:t>
            </w:r>
          </w:p>
        </w:tc>
        <w:tc>
          <w:tcPr>
            <w:tcW w:w="7797" w:type="dxa"/>
          </w:tcPr>
          <w:p w14:paraId="5BE15531" w14:textId="77777777" w:rsidR="00EE7096" w:rsidRPr="005C5824" w:rsidRDefault="00AC7910" w:rsidP="00AC7910">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Engage with the Public Service Commission on graduates and promote alumni members.</w:t>
            </w:r>
          </w:p>
          <w:p w14:paraId="70756057" w14:textId="77777777" w:rsidR="00AC7910" w:rsidRPr="005C5824" w:rsidRDefault="00AC7910" w:rsidP="00AC7910">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Use alumni activities to engage employers where appropriate</w:t>
            </w:r>
          </w:p>
          <w:p w14:paraId="543A118B" w14:textId="3C84C336" w:rsidR="00AC7910" w:rsidRPr="005C5824" w:rsidRDefault="00AC7910" w:rsidP="00AC7910">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Australian High Commission to engage directly with employers where appropriate (may be in respect of individual alumni members)</w:t>
            </w:r>
          </w:p>
        </w:tc>
      </w:tr>
      <w:tr w:rsidR="005C5824" w:rsidRPr="005C5824" w14:paraId="54F65896" w14:textId="77777777" w:rsidTr="00174147">
        <w:tc>
          <w:tcPr>
            <w:tcW w:w="3651" w:type="dxa"/>
          </w:tcPr>
          <w:p w14:paraId="2570C25D" w14:textId="77777777" w:rsidR="00106B51" w:rsidRPr="005C5824" w:rsidRDefault="005C1FF8" w:rsidP="008339E4">
            <w:pPr>
              <w:spacing w:before="0" w:after="0" w:line="240" w:lineRule="auto"/>
              <w:rPr>
                <w:sz w:val="20"/>
                <w:szCs w:val="20"/>
              </w:rPr>
            </w:pPr>
            <w:r w:rsidRPr="005C5824">
              <w:rPr>
                <w:sz w:val="20"/>
                <w:szCs w:val="20"/>
              </w:rPr>
              <w:lastRenderedPageBreak/>
              <w:t>Child protection is a relevant safeguard risk for the program, as applicants may be under 18 years of age at the time of application, interview and mobilisation.</w:t>
            </w:r>
          </w:p>
        </w:tc>
        <w:tc>
          <w:tcPr>
            <w:tcW w:w="1417" w:type="dxa"/>
          </w:tcPr>
          <w:p w14:paraId="71DD3815" w14:textId="77777777" w:rsidR="00106B51" w:rsidRPr="005C5824" w:rsidRDefault="001E1B82" w:rsidP="007C58DD">
            <w:pPr>
              <w:jc w:val="center"/>
              <w:rPr>
                <w:sz w:val="20"/>
                <w:szCs w:val="20"/>
              </w:rPr>
            </w:pPr>
            <w:r w:rsidRPr="005C5824">
              <w:rPr>
                <w:sz w:val="20"/>
                <w:szCs w:val="20"/>
              </w:rPr>
              <w:t>Major</w:t>
            </w:r>
          </w:p>
        </w:tc>
        <w:tc>
          <w:tcPr>
            <w:tcW w:w="1118" w:type="dxa"/>
          </w:tcPr>
          <w:p w14:paraId="4EBD76B6" w14:textId="77777777" w:rsidR="00106B51" w:rsidRPr="005C5824" w:rsidRDefault="001E1B82" w:rsidP="007C58DD">
            <w:pPr>
              <w:jc w:val="center"/>
              <w:rPr>
                <w:sz w:val="20"/>
                <w:szCs w:val="20"/>
              </w:rPr>
            </w:pPr>
            <w:r w:rsidRPr="005C5824">
              <w:rPr>
                <w:sz w:val="20"/>
                <w:szCs w:val="20"/>
              </w:rPr>
              <w:t>Unlikely</w:t>
            </w:r>
          </w:p>
        </w:tc>
        <w:tc>
          <w:tcPr>
            <w:tcW w:w="1185" w:type="dxa"/>
          </w:tcPr>
          <w:p w14:paraId="55801256" w14:textId="77777777" w:rsidR="00106B51" w:rsidRPr="005C5824" w:rsidRDefault="00174147" w:rsidP="007C58DD">
            <w:pPr>
              <w:jc w:val="center"/>
              <w:rPr>
                <w:sz w:val="20"/>
                <w:szCs w:val="20"/>
              </w:rPr>
            </w:pPr>
            <w:r w:rsidRPr="005C5824">
              <w:rPr>
                <w:sz w:val="20"/>
                <w:szCs w:val="20"/>
              </w:rPr>
              <w:t>Moderate</w:t>
            </w:r>
          </w:p>
        </w:tc>
        <w:tc>
          <w:tcPr>
            <w:tcW w:w="7797" w:type="dxa"/>
          </w:tcPr>
          <w:p w14:paraId="2D4C4E80" w14:textId="477D135A" w:rsidR="00106B51" w:rsidRPr="005C5824" w:rsidRDefault="00106B51"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Compliance with DFAT’s Child Protection Policy (</w:t>
            </w:r>
            <w:r w:rsidR="003164B9" w:rsidRPr="005C5824">
              <w:rPr>
                <w:rFonts w:asciiTheme="minorHAnsi" w:hAnsiTheme="minorHAnsi"/>
                <w:color w:val="495965" w:themeColor="text2"/>
                <w:sz w:val="20"/>
                <w:szCs w:val="20"/>
              </w:rPr>
              <w:t xml:space="preserve">incl. </w:t>
            </w:r>
            <w:r w:rsidRPr="005C5824">
              <w:rPr>
                <w:rFonts w:asciiTheme="minorHAnsi" w:hAnsiTheme="minorHAnsi"/>
                <w:color w:val="495965" w:themeColor="text2"/>
                <w:sz w:val="20"/>
                <w:szCs w:val="20"/>
              </w:rPr>
              <w:t>guidelines for managing and reducing risks of child abuse by people involved in the delivery of aid programs or activities)</w:t>
            </w:r>
          </w:p>
          <w:p w14:paraId="636C557F" w14:textId="77777777" w:rsidR="00106B51" w:rsidRPr="005C5824" w:rsidRDefault="00106B51"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Ensure interview panels have at least two panel members</w:t>
            </w:r>
          </w:p>
          <w:p w14:paraId="4E18D08A" w14:textId="77777777" w:rsidR="00106B51" w:rsidRPr="005C5824" w:rsidRDefault="00106B51"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Advise candidates that they may invite a parent or guardian to accompany them</w:t>
            </w:r>
          </w:p>
          <w:p w14:paraId="29050B16" w14:textId="77777777" w:rsidR="00106B51" w:rsidRPr="005C5824" w:rsidRDefault="00106B51"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Personal details kept securely and not used for any purpose other than administration of the scholarships program.</w:t>
            </w:r>
          </w:p>
          <w:p w14:paraId="41871360" w14:textId="77777777" w:rsidR="00106B51" w:rsidRPr="005C5824" w:rsidRDefault="00106B51"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MC will be required to meet DFAT’s Child Protection Policy</w:t>
            </w:r>
            <w:r w:rsidR="004C1F76" w:rsidRPr="005C5824">
              <w:rPr>
                <w:rFonts w:asciiTheme="minorHAnsi" w:hAnsiTheme="minorHAnsi"/>
                <w:color w:val="495965" w:themeColor="text2"/>
                <w:sz w:val="20"/>
                <w:szCs w:val="20"/>
              </w:rPr>
              <w:t>, ensure staff undergo training,</w:t>
            </w:r>
            <w:r w:rsidRPr="005C5824">
              <w:rPr>
                <w:rFonts w:asciiTheme="minorHAnsi" w:hAnsiTheme="minorHAnsi"/>
                <w:color w:val="495965" w:themeColor="text2"/>
                <w:sz w:val="20"/>
                <w:szCs w:val="20"/>
              </w:rPr>
              <w:t xml:space="preserve"> and sign a Child Protection declaration</w:t>
            </w:r>
          </w:p>
          <w:p w14:paraId="75FF0F2E" w14:textId="77777777" w:rsidR="005C1FF8" w:rsidRPr="005C5824" w:rsidRDefault="005C1FF8"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MC will consistently monitor compliance with DFAT’s child protection standards through strategies including performance assessments and reviews, and spot audits of program resources, materials and information technology.</w:t>
            </w:r>
          </w:p>
        </w:tc>
      </w:tr>
      <w:tr w:rsidR="005C5824" w:rsidRPr="005C5824" w14:paraId="2CEB822F" w14:textId="77777777" w:rsidTr="00174147">
        <w:tc>
          <w:tcPr>
            <w:tcW w:w="3651" w:type="dxa"/>
          </w:tcPr>
          <w:p w14:paraId="09B15C85" w14:textId="5E15BE1D" w:rsidR="004C1F76" w:rsidRPr="005C5824" w:rsidRDefault="004C1F76" w:rsidP="008339E4">
            <w:pPr>
              <w:spacing w:before="0" w:after="0" w:line="240" w:lineRule="auto"/>
              <w:rPr>
                <w:sz w:val="20"/>
                <w:szCs w:val="20"/>
              </w:rPr>
            </w:pPr>
            <w:r w:rsidRPr="005C5824">
              <w:rPr>
                <w:sz w:val="20"/>
                <w:szCs w:val="20"/>
              </w:rPr>
              <w:t xml:space="preserve">Processes can be open to corruption </w:t>
            </w:r>
            <w:r w:rsidR="005C1FF8" w:rsidRPr="005C5824">
              <w:rPr>
                <w:sz w:val="20"/>
                <w:szCs w:val="20"/>
              </w:rPr>
              <w:t>and fraud in a variety of ways (</w:t>
            </w:r>
            <w:r w:rsidRPr="005C5824">
              <w:rPr>
                <w:sz w:val="20"/>
                <w:szCs w:val="20"/>
              </w:rPr>
              <w:t>e</w:t>
            </w:r>
            <w:r w:rsidR="005C1FF8" w:rsidRPr="005C5824">
              <w:rPr>
                <w:sz w:val="20"/>
                <w:szCs w:val="20"/>
              </w:rPr>
              <w:t>.</w:t>
            </w:r>
            <w:r w:rsidRPr="005C5824">
              <w:rPr>
                <w:sz w:val="20"/>
                <w:szCs w:val="20"/>
              </w:rPr>
              <w:t>g. false academic transcripts, false informatio</w:t>
            </w:r>
            <w:r w:rsidR="005C1FF8" w:rsidRPr="005C5824">
              <w:rPr>
                <w:sz w:val="20"/>
                <w:szCs w:val="20"/>
              </w:rPr>
              <w:t>n provided in application forms;</w:t>
            </w:r>
            <w:r w:rsidRPr="005C5824">
              <w:rPr>
                <w:sz w:val="20"/>
                <w:szCs w:val="20"/>
              </w:rPr>
              <w:t xml:space="preserve"> not dis</w:t>
            </w:r>
            <w:r w:rsidR="005C1FF8" w:rsidRPr="005C5824">
              <w:rPr>
                <w:sz w:val="20"/>
                <w:szCs w:val="20"/>
              </w:rPr>
              <w:t>closing relevant information or</w:t>
            </w:r>
            <w:r w:rsidRPr="005C5824">
              <w:rPr>
                <w:sz w:val="20"/>
                <w:szCs w:val="20"/>
              </w:rPr>
              <w:t xml:space="preserve"> a conflict of interest</w:t>
            </w:r>
            <w:r w:rsidR="00593108" w:rsidRPr="005C5824">
              <w:rPr>
                <w:sz w:val="20"/>
                <w:szCs w:val="20"/>
              </w:rPr>
              <w:t>; nepotism in shortlisting</w:t>
            </w:r>
            <w:r w:rsidRPr="005C5824">
              <w:rPr>
                <w:sz w:val="20"/>
                <w:szCs w:val="20"/>
              </w:rPr>
              <w:t>)</w:t>
            </w:r>
            <w:r w:rsidR="005C1FF8" w:rsidRPr="005C5824">
              <w:rPr>
                <w:sz w:val="20"/>
                <w:szCs w:val="20"/>
              </w:rPr>
              <w:t xml:space="preserve"> that could damage the integrity and reputation of the program.</w:t>
            </w:r>
          </w:p>
        </w:tc>
        <w:tc>
          <w:tcPr>
            <w:tcW w:w="1417" w:type="dxa"/>
          </w:tcPr>
          <w:p w14:paraId="74370E9D" w14:textId="77777777" w:rsidR="00106B51" w:rsidRPr="005C5824" w:rsidRDefault="001E1B82" w:rsidP="007C58DD">
            <w:pPr>
              <w:jc w:val="center"/>
              <w:rPr>
                <w:sz w:val="20"/>
                <w:szCs w:val="20"/>
              </w:rPr>
            </w:pPr>
            <w:r w:rsidRPr="005C5824">
              <w:rPr>
                <w:sz w:val="20"/>
                <w:szCs w:val="20"/>
              </w:rPr>
              <w:t>Moderate</w:t>
            </w:r>
          </w:p>
        </w:tc>
        <w:tc>
          <w:tcPr>
            <w:tcW w:w="1118" w:type="dxa"/>
          </w:tcPr>
          <w:p w14:paraId="7F3894FE" w14:textId="77777777" w:rsidR="00106B51" w:rsidRPr="005C5824" w:rsidRDefault="001E1B82" w:rsidP="007C58DD">
            <w:pPr>
              <w:jc w:val="center"/>
              <w:rPr>
                <w:sz w:val="20"/>
                <w:szCs w:val="20"/>
              </w:rPr>
            </w:pPr>
            <w:r w:rsidRPr="005C5824">
              <w:rPr>
                <w:sz w:val="20"/>
                <w:szCs w:val="20"/>
              </w:rPr>
              <w:t>Unlikely</w:t>
            </w:r>
          </w:p>
        </w:tc>
        <w:tc>
          <w:tcPr>
            <w:tcW w:w="1185" w:type="dxa"/>
          </w:tcPr>
          <w:p w14:paraId="38B8CD22" w14:textId="77777777" w:rsidR="00106B51" w:rsidRPr="005C5824" w:rsidRDefault="00174147" w:rsidP="007C58DD">
            <w:pPr>
              <w:jc w:val="center"/>
              <w:rPr>
                <w:sz w:val="20"/>
                <w:szCs w:val="20"/>
              </w:rPr>
            </w:pPr>
            <w:r w:rsidRPr="005C5824">
              <w:rPr>
                <w:sz w:val="20"/>
                <w:szCs w:val="20"/>
              </w:rPr>
              <w:t>Moderate</w:t>
            </w:r>
          </w:p>
        </w:tc>
        <w:tc>
          <w:tcPr>
            <w:tcW w:w="7797" w:type="dxa"/>
          </w:tcPr>
          <w:p w14:paraId="24A26ABE" w14:textId="77777777" w:rsidR="00106B51" w:rsidRPr="005C5824" w:rsidRDefault="004C1F76"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MC and institutions will immediately inform DFAT of any attempts to influence the selection process in favour of a particular person.</w:t>
            </w:r>
          </w:p>
          <w:p w14:paraId="4872B3BC" w14:textId="6603CB6E" w:rsidR="003164B9" w:rsidRPr="005C5824" w:rsidRDefault="004C1F76"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 xml:space="preserve">DFAT personnel will </w:t>
            </w:r>
            <w:r w:rsidR="003164B9" w:rsidRPr="005C5824">
              <w:rPr>
                <w:rFonts w:asciiTheme="minorHAnsi" w:hAnsiTheme="minorHAnsi"/>
                <w:color w:val="495965" w:themeColor="text2"/>
                <w:sz w:val="20"/>
                <w:szCs w:val="20"/>
              </w:rPr>
              <w:t>spot-check shortlist against raw data to ensure accuracy and fairness</w:t>
            </w:r>
          </w:p>
          <w:p w14:paraId="05E5C941" w14:textId="716374ED" w:rsidR="004C1F76" w:rsidRPr="005C5824" w:rsidRDefault="003164B9"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 xml:space="preserve">DFAT personnel will </w:t>
            </w:r>
            <w:r w:rsidR="004C1F76" w:rsidRPr="005C5824">
              <w:rPr>
                <w:rFonts w:asciiTheme="minorHAnsi" w:hAnsiTheme="minorHAnsi"/>
                <w:color w:val="495965" w:themeColor="text2"/>
                <w:sz w:val="20"/>
                <w:szCs w:val="20"/>
              </w:rPr>
              <w:t>chair selection panels to ensure fair selection process.</w:t>
            </w:r>
          </w:p>
          <w:p w14:paraId="5B666800" w14:textId="77777777" w:rsidR="004C1F76" w:rsidRPr="005C5824" w:rsidRDefault="004C1F76"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MC and institutions will be required to report suspected fraud immediately to DFAT.</w:t>
            </w:r>
          </w:p>
          <w:p w14:paraId="02B0BA58" w14:textId="77777777" w:rsidR="004C1F76" w:rsidRPr="005C5824" w:rsidRDefault="004C1F76"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MC will undertake a fraud risk assessment, establish financial management and control systems and produce and maintain a Fraud Risk Assessment and Management Plan.</w:t>
            </w:r>
          </w:p>
          <w:p w14:paraId="50E97C7D" w14:textId="77777777" w:rsidR="004C1F76" w:rsidRPr="005C5824" w:rsidRDefault="004C1F76"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MC will engage an independent auditor to audit the program accounts annually to internationally recognised standards.</w:t>
            </w:r>
          </w:p>
          <w:p w14:paraId="28599BEF" w14:textId="77777777" w:rsidR="004C1F76" w:rsidRPr="005C5824" w:rsidRDefault="004C1F76"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MC will prepare a strategy containing appropriate fraud prevention, detection, investigation and reporting procedures that comply with Commonwealth Fraud Control Framework 2014, or subsequently issued guidance.</w:t>
            </w:r>
          </w:p>
          <w:p w14:paraId="10BFE61C" w14:textId="77777777" w:rsidR="004C1F76" w:rsidRPr="005C5824" w:rsidRDefault="004C1F76"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MC’s responsibilities extend to the activities of their sub-contractors.</w:t>
            </w:r>
          </w:p>
        </w:tc>
      </w:tr>
      <w:tr w:rsidR="005C5824" w:rsidRPr="005C5824" w14:paraId="7CD1EF2D" w14:textId="77777777" w:rsidTr="00174147">
        <w:tc>
          <w:tcPr>
            <w:tcW w:w="3651" w:type="dxa"/>
          </w:tcPr>
          <w:p w14:paraId="61EE1FE3" w14:textId="77777777" w:rsidR="004C1F76" w:rsidRPr="005C5824" w:rsidRDefault="004C1F76" w:rsidP="008339E4">
            <w:pPr>
              <w:spacing w:before="0" w:after="0" w:line="240" w:lineRule="auto"/>
              <w:rPr>
                <w:sz w:val="20"/>
                <w:szCs w:val="20"/>
              </w:rPr>
            </w:pPr>
            <w:r w:rsidRPr="005C5824">
              <w:rPr>
                <w:sz w:val="20"/>
                <w:szCs w:val="20"/>
              </w:rPr>
              <w:t>Safety of on award students compromised due to natural disaster, civil unrest or otherwise (eg. recent riots at universities in PNG)</w:t>
            </w:r>
          </w:p>
        </w:tc>
        <w:tc>
          <w:tcPr>
            <w:tcW w:w="1417" w:type="dxa"/>
          </w:tcPr>
          <w:p w14:paraId="074A2701" w14:textId="77777777" w:rsidR="004C1F76" w:rsidRPr="005C5824" w:rsidRDefault="001E1B82" w:rsidP="007C58DD">
            <w:pPr>
              <w:jc w:val="center"/>
              <w:rPr>
                <w:sz w:val="20"/>
                <w:szCs w:val="20"/>
              </w:rPr>
            </w:pPr>
            <w:r w:rsidRPr="005C5824">
              <w:rPr>
                <w:sz w:val="20"/>
                <w:szCs w:val="20"/>
              </w:rPr>
              <w:t>Major</w:t>
            </w:r>
          </w:p>
        </w:tc>
        <w:tc>
          <w:tcPr>
            <w:tcW w:w="1118" w:type="dxa"/>
          </w:tcPr>
          <w:p w14:paraId="42C6F52E" w14:textId="77777777" w:rsidR="004C1F76" w:rsidRPr="005C5824" w:rsidRDefault="001E1B82" w:rsidP="007C58DD">
            <w:pPr>
              <w:jc w:val="center"/>
              <w:rPr>
                <w:sz w:val="20"/>
                <w:szCs w:val="20"/>
              </w:rPr>
            </w:pPr>
            <w:r w:rsidRPr="005C5824">
              <w:rPr>
                <w:sz w:val="20"/>
                <w:szCs w:val="20"/>
              </w:rPr>
              <w:t>Possible</w:t>
            </w:r>
          </w:p>
        </w:tc>
        <w:tc>
          <w:tcPr>
            <w:tcW w:w="1185" w:type="dxa"/>
          </w:tcPr>
          <w:p w14:paraId="65B8B8CE" w14:textId="77777777" w:rsidR="004C1F76" w:rsidRPr="005C5824" w:rsidRDefault="00174147" w:rsidP="007C58DD">
            <w:pPr>
              <w:jc w:val="center"/>
              <w:rPr>
                <w:sz w:val="20"/>
                <w:szCs w:val="20"/>
              </w:rPr>
            </w:pPr>
            <w:r w:rsidRPr="005C5824">
              <w:rPr>
                <w:sz w:val="20"/>
                <w:szCs w:val="20"/>
              </w:rPr>
              <w:t>High</w:t>
            </w:r>
          </w:p>
        </w:tc>
        <w:tc>
          <w:tcPr>
            <w:tcW w:w="7797" w:type="dxa"/>
          </w:tcPr>
          <w:p w14:paraId="7A96A188" w14:textId="77777777" w:rsidR="004C1F76" w:rsidRPr="005C5824" w:rsidRDefault="004C1F76"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Students will only be able to study in PNG in exceptional cases (ie. where there is no alternative).</w:t>
            </w:r>
          </w:p>
          <w:p w14:paraId="7FBFD16B" w14:textId="77777777" w:rsidR="004C1F76" w:rsidRPr="005C5824" w:rsidRDefault="004C1F76" w:rsidP="007C58DD">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MC in PNG will prepare detailed security plans for awardees.</w:t>
            </w:r>
          </w:p>
        </w:tc>
      </w:tr>
      <w:tr w:rsidR="005C5824" w:rsidRPr="005C5824" w14:paraId="4072181A" w14:textId="77777777" w:rsidTr="00174147">
        <w:tc>
          <w:tcPr>
            <w:tcW w:w="3651" w:type="dxa"/>
          </w:tcPr>
          <w:p w14:paraId="1CD1948D" w14:textId="77777777" w:rsidR="005C1FF8" w:rsidRPr="005C5824" w:rsidRDefault="005C1FF8" w:rsidP="008339E4">
            <w:pPr>
              <w:spacing w:before="0" w:after="0" w:line="240" w:lineRule="auto"/>
              <w:rPr>
                <w:rFonts w:cs="Times New Roman"/>
                <w:sz w:val="20"/>
                <w:szCs w:val="20"/>
              </w:rPr>
            </w:pPr>
            <w:r w:rsidRPr="005C5824">
              <w:rPr>
                <w:rFonts w:cs="Times New Roman"/>
                <w:sz w:val="20"/>
                <w:szCs w:val="20"/>
              </w:rPr>
              <w:t>Australia’s investment in scholarships is not sufficiently recognised by Vanuatu Government as it is run parallel to government systems</w:t>
            </w:r>
          </w:p>
        </w:tc>
        <w:tc>
          <w:tcPr>
            <w:tcW w:w="1417" w:type="dxa"/>
          </w:tcPr>
          <w:p w14:paraId="2F3C9ACC" w14:textId="77777777" w:rsidR="005C1FF8" w:rsidRPr="005C5824" w:rsidRDefault="005C1FF8" w:rsidP="005837FA">
            <w:pPr>
              <w:jc w:val="center"/>
              <w:rPr>
                <w:sz w:val="20"/>
                <w:szCs w:val="20"/>
              </w:rPr>
            </w:pPr>
            <w:r w:rsidRPr="005C5824">
              <w:rPr>
                <w:sz w:val="20"/>
                <w:szCs w:val="20"/>
              </w:rPr>
              <w:t>Minor</w:t>
            </w:r>
          </w:p>
        </w:tc>
        <w:tc>
          <w:tcPr>
            <w:tcW w:w="1118" w:type="dxa"/>
          </w:tcPr>
          <w:p w14:paraId="430B5914" w14:textId="77777777" w:rsidR="005C1FF8" w:rsidRPr="005C5824" w:rsidRDefault="005C1FF8" w:rsidP="005837FA">
            <w:pPr>
              <w:jc w:val="center"/>
              <w:rPr>
                <w:sz w:val="20"/>
                <w:szCs w:val="20"/>
              </w:rPr>
            </w:pPr>
            <w:r w:rsidRPr="005C5824">
              <w:rPr>
                <w:sz w:val="20"/>
                <w:szCs w:val="20"/>
              </w:rPr>
              <w:t>Unlikely</w:t>
            </w:r>
          </w:p>
        </w:tc>
        <w:tc>
          <w:tcPr>
            <w:tcW w:w="1185" w:type="dxa"/>
          </w:tcPr>
          <w:p w14:paraId="25652D5B" w14:textId="77777777" w:rsidR="005C1FF8" w:rsidRPr="005C5824" w:rsidRDefault="005C1FF8" w:rsidP="005837FA">
            <w:pPr>
              <w:jc w:val="center"/>
              <w:rPr>
                <w:sz w:val="20"/>
                <w:szCs w:val="20"/>
              </w:rPr>
            </w:pPr>
            <w:r w:rsidRPr="005C5824">
              <w:rPr>
                <w:sz w:val="20"/>
                <w:szCs w:val="20"/>
              </w:rPr>
              <w:t>Low</w:t>
            </w:r>
          </w:p>
        </w:tc>
        <w:tc>
          <w:tcPr>
            <w:tcW w:w="7797" w:type="dxa"/>
          </w:tcPr>
          <w:p w14:paraId="3589D4C6" w14:textId="77777777" w:rsidR="005C1FF8" w:rsidRPr="005C5824" w:rsidRDefault="005C1FF8" w:rsidP="005C1FF8">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Clear messages conveyed on the investment’s contribution to Vanuatu’s development challenges.</w:t>
            </w:r>
          </w:p>
          <w:p w14:paraId="03B48C2C" w14:textId="77777777" w:rsidR="005C1FF8" w:rsidRPr="005C5824" w:rsidRDefault="005C1FF8" w:rsidP="005C1FF8">
            <w:pPr>
              <w:pStyle w:val="ListParagraph"/>
              <w:numPr>
                <w:ilvl w:val="0"/>
                <w:numId w:val="18"/>
              </w:numPr>
              <w:ind w:left="317" w:hanging="317"/>
              <w:rPr>
                <w:rFonts w:asciiTheme="minorHAnsi" w:hAnsiTheme="minorHAnsi"/>
                <w:color w:val="495965" w:themeColor="text2"/>
                <w:sz w:val="20"/>
                <w:szCs w:val="20"/>
              </w:rPr>
            </w:pPr>
            <w:r w:rsidRPr="005C5824">
              <w:rPr>
                <w:rFonts w:asciiTheme="minorHAnsi" w:hAnsiTheme="minorHAnsi"/>
                <w:color w:val="495965" w:themeColor="text2"/>
                <w:sz w:val="20"/>
                <w:szCs w:val="20"/>
              </w:rPr>
              <w:t>Proactive responses will address any negative incidents, such as inappropriate awardees being selected, inappropriate behaviour by awardees, awardees overstaying their visa, or race-based incidents against overseas students in Australia.</w:t>
            </w:r>
          </w:p>
        </w:tc>
      </w:tr>
    </w:tbl>
    <w:p w14:paraId="273B5489" w14:textId="77777777" w:rsidR="00DD56C1" w:rsidRPr="005C5824" w:rsidRDefault="00DD56C1" w:rsidP="008C18E0">
      <w:pPr>
        <w:suppressAutoHyphens w:val="0"/>
        <w:spacing w:before="0" w:after="120" w:line="440" w:lineRule="atLeast"/>
        <w:rPr>
          <w:sz w:val="2"/>
          <w:szCs w:val="2"/>
          <w:highlight w:val="yellow"/>
        </w:rPr>
        <w:sectPr w:rsidR="00DD56C1" w:rsidRPr="005C5824" w:rsidSect="00C46226">
          <w:pgSz w:w="16838" w:h="11906" w:orient="landscape" w:code="9"/>
          <w:pgMar w:top="709" w:right="993" w:bottom="849" w:left="1418" w:header="425" w:footer="371" w:gutter="0"/>
          <w:cols w:space="397"/>
          <w:titlePg/>
          <w:docGrid w:linePitch="360"/>
        </w:sectPr>
      </w:pPr>
    </w:p>
    <w:tbl>
      <w:tblPr>
        <w:tblStyle w:val="TableGrid"/>
        <w:tblW w:w="10201" w:type="dxa"/>
        <w:shd w:val="clear" w:color="auto" w:fill="C1E7E0" w:themeFill="accent1" w:themeFillTint="66"/>
        <w:tblLook w:val="04A0" w:firstRow="1" w:lastRow="0" w:firstColumn="1" w:lastColumn="0" w:noHBand="0" w:noVBand="1"/>
      </w:tblPr>
      <w:tblGrid>
        <w:gridCol w:w="10201"/>
      </w:tblGrid>
      <w:tr w:rsidR="005C5824" w:rsidRPr="005C5824" w14:paraId="01D51873" w14:textId="77777777" w:rsidTr="00542BAE">
        <w:tc>
          <w:tcPr>
            <w:tcW w:w="10201" w:type="dxa"/>
            <w:shd w:val="clear" w:color="auto" w:fill="C1E7E0" w:themeFill="accent1" w:themeFillTint="66"/>
          </w:tcPr>
          <w:p w14:paraId="05CF6EAA" w14:textId="7C9DBF13" w:rsidR="00DD56C1" w:rsidRPr="005C5824" w:rsidRDefault="00DD56C1" w:rsidP="00542BAE">
            <w:pPr>
              <w:spacing w:after="120" w:line="240" w:lineRule="auto"/>
              <w:rPr>
                <w:rFonts w:asciiTheme="majorHAnsi" w:hAnsiTheme="majorHAnsi"/>
                <w:b/>
                <w:sz w:val="28"/>
                <w:szCs w:val="28"/>
              </w:rPr>
            </w:pPr>
            <w:r w:rsidRPr="005C5824">
              <w:rPr>
                <w:rFonts w:asciiTheme="majorHAnsi" w:hAnsiTheme="majorHAnsi"/>
                <w:b/>
                <w:sz w:val="28"/>
                <w:szCs w:val="28"/>
              </w:rPr>
              <w:lastRenderedPageBreak/>
              <w:t xml:space="preserve">ANNEX </w:t>
            </w:r>
            <w:r w:rsidR="00D64C26" w:rsidRPr="005C5824">
              <w:rPr>
                <w:rFonts w:asciiTheme="majorHAnsi" w:hAnsiTheme="majorHAnsi"/>
                <w:b/>
                <w:sz w:val="28"/>
                <w:szCs w:val="28"/>
              </w:rPr>
              <w:t>E</w:t>
            </w:r>
            <w:r w:rsidRPr="005C5824">
              <w:rPr>
                <w:rFonts w:asciiTheme="majorHAnsi" w:hAnsiTheme="majorHAnsi"/>
                <w:b/>
                <w:sz w:val="28"/>
                <w:szCs w:val="28"/>
              </w:rPr>
              <w:t>: Indicative Program for Pre-Departure Briefing</w:t>
            </w:r>
          </w:p>
        </w:tc>
      </w:tr>
    </w:tbl>
    <w:p w14:paraId="67179917" w14:textId="77777777" w:rsidR="00DD56C1" w:rsidRPr="005C5824" w:rsidRDefault="00DD56C1" w:rsidP="00DD56C1">
      <w:pPr>
        <w:rPr>
          <w:b/>
        </w:rPr>
      </w:pPr>
      <w:r w:rsidRPr="005C5824">
        <w:rPr>
          <w:b/>
        </w:rPr>
        <w:t>DAY 1</w:t>
      </w:r>
    </w:p>
    <w:tbl>
      <w:tblPr>
        <w:tblStyle w:val="TableGrid"/>
        <w:tblW w:w="10196" w:type="dxa"/>
        <w:tblLook w:val="04A0" w:firstRow="1" w:lastRow="0" w:firstColumn="1" w:lastColumn="0" w:noHBand="0" w:noVBand="1"/>
      </w:tblPr>
      <w:tblGrid>
        <w:gridCol w:w="1413"/>
        <w:gridCol w:w="2268"/>
        <w:gridCol w:w="6515"/>
      </w:tblGrid>
      <w:tr w:rsidR="005C5824" w:rsidRPr="005C5824" w14:paraId="4940FD75" w14:textId="77777777" w:rsidTr="00542BAE">
        <w:tc>
          <w:tcPr>
            <w:tcW w:w="1413" w:type="dxa"/>
            <w:shd w:val="clear" w:color="auto" w:fill="E0F3EF" w:themeFill="accent1" w:themeFillTint="33"/>
          </w:tcPr>
          <w:p w14:paraId="0F58F2BC" w14:textId="77777777" w:rsidR="00DD56C1" w:rsidRPr="005C5824" w:rsidRDefault="00DD56C1" w:rsidP="00542BAE">
            <w:pPr>
              <w:jc w:val="center"/>
              <w:rPr>
                <w:rFonts w:cstheme="minorHAnsi"/>
                <w:b/>
              </w:rPr>
            </w:pPr>
            <w:r w:rsidRPr="005C5824">
              <w:rPr>
                <w:rFonts w:cstheme="minorHAnsi"/>
                <w:b/>
              </w:rPr>
              <w:t>Time</w:t>
            </w:r>
          </w:p>
        </w:tc>
        <w:tc>
          <w:tcPr>
            <w:tcW w:w="2268" w:type="dxa"/>
            <w:shd w:val="clear" w:color="auto" w:fill="E0F3EF" w:themeFill="accent1" w:themeFillTint="33"/>
          </w:tcPr>
          <w:p w14:paraId="6264C593" w14:textId="77777777" w:rsidR="00DD56C1" w:rsidRPr="005C5824" w:rsidRDefault="00DD56C1" w:rsidP="00542BAE">
            <w:pPr>
              <w:jc w:val="center"/>
              <w:rPr>
                <w:rFonts w:cstheme="minorHAnsi"/>
                <w:b/>
              </w:rPr>
            </w:pPr>
            <w:r w:rsidRPr="005C5824">
              <w:rPr>
                <w:rFonts w:cstheme="minorHAnsi"/>
                <w:b/>
              </w:rPr>
              <w:t>Item</w:t>
            </w:r>
          </w:p>
        </w:tc>
        <w:tc>
          <w:tcPr>
            <w:tcW w:w="6515" w:type="dxa"/>
            <w:shd w:val="clear" w:color="auto" w:fill="E0F3EF" w:themeFill="accent1" w:themeFillTint="33"/>
          </w:tcPr>
          <w:p w14:paraId="4EFC89D8" w14:textId="77777777" w:rsidR="00DD56C1" w:rsidRPr="005C5824" w:rsidRDefault="00DD56C1" w:rsidP="00542BAE">
            <w:pPr>
              <w:jc w:val="center"/>
              <w:rPr>
                <w:rFonts w:cstheme="minorHAnsi"/>
                <w:b/>
              </w:rPr>
            </w:pPr>
            <w:r w:rsidRPr="005C5824">
              <w:rPr>
                <w:rFonts w:cstheme="minorHAnsi"/>
                <w:b/>
              </w:rPr>
              <w:t>Description</w:t>
            </w:r>
          </w:p>
        </w:tc>
      </w:tr>
      <w:tr w:rsidR="005C5824" w:rsidRPr="005C5824" w14:paraId="340B00F5" w14:textId="77777777" w:rsidTr="00542BAE">
        <w:trPr>
          <w:trHeight w:val="464"/>
        </w:trPr>
        <w:tc>
          <w:tcPr>
            <w:tcW w:w="1413" w:type="dxa"/>
          </w:tcPr>
          <w:p w14:paraId="5D48511C"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08:30 – 09:00</w:t>
            </w:r>
          </w:p>
        </w:tc>
        <w:tc>
          <w:tcPr>
            <w:tcW w:w="2268" w:type="dxa"/>
          </w:tcPr>
          <w:p w14:paraId="3A5C96AF"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 xml:space="preserve">Arrival </w:t>
            </w:r>
          </w:p>
        </w:tc>
        <w:tc>
          <w:tcPr>
            <w:tcW w:w="6515" w:type="dxa"/>
          </w:tcPr>
          <w:p w14:paraId="0D0D868D"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All awardees arrive and sign-in</w:t>
            </w:r>
          </w:p>
          <w:p w14:paraId="5AEF93EE"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Provide house-keeping instructions</w:t>
            </w:r>
          </w:p>
        </w:tc>
      </w:tr>
      <w:tr w:rsidR="005C5824" w:rsidRPr="005C5824" w14:paraId="459D8533" w14:textId="77777777" w:rsidTr="00542BAE">
        <w:trPr>
          <w:trHeight w:val="477"/>
        </w:trPr>
        <w:tc>
          <w:tcPr>
            <w:tcW w:w="1413" w:type="dxa"/>
          </w:tcPr>
          <w:p w14:paraId="25307545"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09:00 – 09:30</w:t>
            </w:r>
          </w:p>
        </w:tc>
        <w:tc>
          <w:tcPr>
            <w:tcW w:w="2268" w:type="dxa"/>
          </w:tcPr>
          <w:p w14:paraId="4F0FAFBB"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Welcome</w:t>
            </w:r>
          </w:p>
        </w:tc>
        <w:tc>
          <w:tcPr>
            <w:tcW w:w="6515" w:type="dxa"/>
          </w:tcPr>
          <w:p w14:paraId="27D586B5"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Introduction and outline of Australian Scholarships Program and how it assists with Vanuatu’s development</w:t>
            </w:r>
          </w:p>
        </w:tc>
      </w:tr>
      <w:tr w:rsidR="005C5824" w:rsidRPr="005C5824" w14:paraId="0116236D" w14:textId="77777777" w:rsidTr="00542BAE">
        <w:tc>
          <w:tcPr>
            <w:tcW w:w="1413" w:type="dxa"/>
            <w:shd w:val="clear" w:color="auto" w:fill="auto"/>
          </w:tcPr>
          <w:p w14:paraId="470BDF40"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09:30 – 10:30</w:t>
            </w:r>
          </w:p>
        </w:tc>
        <w:tc>
          <w:tcPr>
            <w:tcW w:w="2268" w:type="dxa"/>
            <w:shd w:val="clear" w:color="auto" w:fill="auto"/>
          </w:tcPr>
          <w:p w14:paraId="2D807F68"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Meet with High Commission Staff</w:t>
            </w:r>
          </w:p>
        </w:tc>
        <w:tc>
          <w:tcPr>
            <w:tcW w:w="6515" w:type="dxa"/>
            <w:shd w:val="clear" w:color="auto" w:fill="auto"/>
          </w:tcPr>
          <w:p w14:paraId="35A47480"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Break into sector groups  to meet with relevant staff from the Australian High Commission</w:t>
            </w:r>
          </w:p>
        </w:tc>
      </w:tr>
      <w:tr w:rsidR="005C5824" w:rsidRPr="005C5824" w14:paraId="3A993207" w14:textId="77777777" w:rsidTr="00542BAE">
        <w:trPr>
          <w:trHeight w:val="263"/>
        </w:trPr>
        <w:tc>
          <w:tcPr>
            <w:tcW w:w="1413" w:type="dxa"/>
            <w:shd w:val="clear" w:color="auto" w:fill="D9D9D9" w:themeFill="background1" w:themeFillShade="D9"/>
          </w:tcPr>
          <w:p w14:paraId="4959C6AB"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10:30 – 10:45</w:t>
            </w:r>
          </w:p>
        </w:tc>
        <w:tc>
          <w:tcPr>
            <w:tcW w:w="2268" w:type="dxa"/>
            <w:shd w:val="clear" w:color="auto" w:fill="D9D9D9" w:themeFill="background1" w:themeFillShade="D9"/>
          </w:tcPr>
          <w:p w14:paraId="14275F33"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BREAK</w:t>
            </w:r>
          </w:p>
        </w:tc>
        <w:tc>
          <w:tcPr>
            <w:tcW w:w="6515" w:type="dxa"/>
            <w:shd w:val="clear" w:color="auto" w:fill="D9D9D9" w:themeFill="background1" w:themeFillShade="D9"/>
          </w:tcPr>
          <w:p w14:paraId="457BD4A2" w14:textId="24636033" w:rsidR="00DD56C1" w:rsidRPr="005C5824" w:rsidRDefault="008C4AF0" w:rsidP="008C4AF0">
            <w:pPr>
              <w:spacing w:before="60" w:line="240" w:lineRule="auto"/>
              <w:rPr>
                <w:rFonts w:cstheme="minorHAnsi"/>
                <w:sz w:val="20"/>
                <w:szCs w:val="20"/>
              </w:rPr>
            </w:pPr>
            <w:r w:rsidRPr="005C5824">
              <w:rPr>
                <w:rFonts w:cstheme="minorHAnsi"/>
                <w:sz w:val="20"/>
                <w:szCs w:val="20"/>
              </w:rPr>
              <w:t>Light r</w:t>
            </w:r>
            <w:r w:rsidR="00DD56C1" w:rsidRPr="005C5824">
              <w:rPr>
                <w:rFonts w:cstheme="minorHAnsi"/>
                <w:sz w:val="20"/>
                <w:szCs w:val="20"/>
              </w:rPr>
              <w:t>efreshments</w:t>
            </w:r>
          </w:p>
        </w:tc>
      </w:tr>
      <w:tr w:rsidR="005C5824" w:rsidRPr="005C5824" w14:paraId="379439E2" w14:textId="77777777" w:rsidTr="00542BAE">
        <w:trPr>
          <w:trHeight w:val="541"/>
        </w:trPr>
        <w:tc>
          <w:tcPr>
            <w:tcW w:w="1413" w:type="dxa"/>
            <w:shd w:val="clear" w:color="auto" w:fill="auto"/>
          </w:tcPr>
          <w:p w14:paraId="222114F4"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10:45 – 12:00</w:t>
            </w:r>
          </w:p>
        </w:tc>
        <w:tc>
          <w:tcPr>
            <w:tcW w:w="2268" w:type="dxa"/>
            <w:shd w:val="clear" w:color="auto" w:fill="auto"/>
          </w:tcPr>
          <w:p w14:paraId="6A2DA962"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 xml:space="preserve">Goal Setting </w:t>
            </w:r>
          </w:p>
        </w:tc>
        <w:tc>
          <w:tcPr>
            <w:tcW w:w="6515" w:type="dxa"/>
            <w:shd w:val="clear" w:color="auto" w:fill="auto"/>
          </w:tcPr>
          <w:p w14:paraId="74C7FF26" w14:textId="77777777" w:rsidR="00DD56C1" w:rsidRPr="005C5824" w:rsidRDefault="00DD56C1" w:rsidP="00542BAE">
            <w:pPr>
              <w:spacing w:before="60" w:line="240" w:lineRule="auto"/>
              <w:rPr>
                <w:rFonts w:cstheme="minorHAnsi"/>
                <w:b/>
                <w:sz w:val="20"/>
                <w:szCs w:val="20"/>
              </w:rPr>
            </w:pPr>
            <w:r w:rsidRPr="005C5824">
              <w:rPr>
                <w:rFonts w:cstheme="minorHAnsi"/>
                <w:sz w:val="20"/>
                <w:szCs w:val="20"/>
              </w:rPr>
              <w:t>Activity for the students to set goals for themselves to act on during their time abroad and upon their return</w:t>
            </w:r>
          </w:p>
        </w:tc>
      </w:tr>
      <w:tr w:rsidR="005C5824" w:rsidRPr="005C5824" w14:paraId="23BD47F6" w14:textId="77777777" w:rsidTr="00542BAE">
        <w:trPr>
          <w:trHeight w:val="267"/>
        </w:trPr>
        <w:tc>
          <w:tcPr>
            <w:tcW w:w="1413" w:type="dxa"/>
            <w:shd w:val="clear" w:color="auto" w:fill="D9D9D9" w:themeFill="background1" w:themeFillShade="D9"/>
          </w:tcPr>
          <w:p w14:paraId="4C7D6E4A"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12:00 – 13:00</w:t>
            </w:r>
          </w:p>
        </w:tc>
        <w:tc>
          <w:tcPr>
            <w:tcW w:w="2268" w:type="dxa"/>
            <w:shd w:val="clear" w:color="auto" w:fill="D9D9D9" w:themeFill="background1" w:themeFillShade="D9"/>
          </w:tcPr>
          <w:p w14:paraId="02FCE8E6"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LUNCH BREAK</w:t>
            </w:r>
          </w:p>
        </w:tc>
        <w:tc>
          <w:tcPr>
            <w:tcW w:w="6515" w:type="dxa"/>
            <w:shd w:val="clear" w:color="auto" w:fill="D9D9D9" w:themeFill="background1" w:themeFillShade="D9"/>
          </w:tcPr>
          <w:p w14:paraId="3B7F7521"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Lunch provided</w:t>
            </w:r>
          </w:p>
        </w:tc>
      </w:tr>
      <w:tr w:rsidR="005C5824" w:rsidRPr="005C5824" w14:paraId="150B0EA3" w14:textId="77777777" w:rsidTr="00542BAE">
        <w:trPr>
          <w:trHeight w:val="688"/>
        </w:trPr>
        <w:tc>
          <w:tcPr>
            <w:tcW w:w="1413" w:type="dxa"/>
            <w:shd w:val="clear" w:color="auto" w:fill="auto"/>
          </w:tcPr>
          <w:p w14:paraId="2F7E7219"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13:00 – 14:00</w:t>
            </w:r>
          </w:p>
        </w:tc>
        <w:tc>
          <w:tcPr>
            <w:tcW w:w="2268" w:type="dxa"/>
            <w:shd w:val="clear" w:color="auto" w:fill="auto"/>
          </w:tcPr>
          <w:p w14:paraId="20EBF8BC"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Gender Equality</w:t>
            </w:r>
          </w:p>
        </w:tc>
        <w:tc>
          <w:tcPr>
            <w:tcW w:w="6515" w:type="dxa"/>
            <w:shd w:val="clear" w:color="auto" w:fill="auto"/>
          </w:tcPr>
          <w:p w14:paraId="17B1FAFF"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Discussion about domestic and gender violence in Vanuatu and in Australia, women’s leadership and economic empowerment.</w:t>
            </w:r>
          </w:p>
          <w:p w14:paraId="21F6D30B"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Discussion about how gender equality is good for men and women and how men can be champions for change</w:t>
            </w:r>
          </w:p>
        </w:tc>
      </w:tr>
      <w:tr w:rsidR="005C5824" w:rsidRPr="005C5824" w14:paraId="43DF6139" w14:textId="77777777" w:rsidTr="00542BAE">
        <w:trPr>
          <w:trHeight w:val="243"/>
        </w:trPr>
        <w:tc>
          <w:tcPr>
            <w:tcW w:w="1413" w:type="dxa"/>
            <w:shd w:val="clear" w:color="auto" w:fill="D9D9D9" w:themeFill="background1" w:themeFillShade="D9"/>
          </w:tcPr>
          <w:p w14:paraId="643D3B2F"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14:00 – 14:15</w:t>
            </w:r>
          </w:p>
        </w:tc>
        <w:tc>
          <w:tcPr>
            <w:tcW w:w="2268" w:type="dxa"/>
            <w:shd w:val="clear" w:color="auto" w:fill="D9D9D9" w:themeFill="background1" w:themeFillShade="D9"/>
          </w:tcPr>
          <w:p w14:paraId="1C146E37"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Afternoon Tea</w:t>
            </w:r>
          </w:p>
        </w:tc>
        <w:tc>
          <w:tcPr>
            <w:tcW w:w="6515" w:type="dxa"/>
            <w:shd w:val="clear" w:color="auto" w:fill="D9D9D9" w:themeFill="background1" w:themeFillShade="D9"/>
          </w:tcPr>
          <w:p w14:paraId="56D4FC49"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 xml:space="preserve">Light Refreshments </w:t>
            </w:r>
          </w:p>
        </w:tc>
      </w:tr>
      <w:tr w:rsidR="005C5824" w:rsidRPr="005C5824" w14:paraId="4008900E" w14:textId="77777777" w:rsidTr="00542BAE">
        <w:trPr>
          <w:trHeight w:val="588"/>
        </w:trPr>
        <w:tc>
          <w:tcPr>
            <w:tcW w:w="1413" w:type="dxa"/>
            <w:shd w:val="clear" w:color="auto" w:fill="auto"/>
          </w:tcPr>
          <w:p w14:paraId="6BA1A657"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14:15 – 16:00</w:t>
            </w:r>
          </w:p>
        </w:tc>
        <w:tc>
          <w:tcPr>
            <w:tcW w:w="2268" w:type="dxa"/>
            <w:shd w:val="clear" w:color="auto" w:fill="auto"/>
          </w:tcPr>
          <w:p w14:paraId="33774141"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 xml:space="preserve">Overview of Policy Guidelines </w:t>
            </w:r>
          </w:p>
        </w:tc>
        <w:tc>
          <w:tcPr>
            <w:tcW w:w="6515" w:type="dxa"/>
            <w:shd w:val="clear" w:color="auto" w:fill="auto"/>
          </w:tcPr>
          <w:p w14:paraId="010F38F4"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Split into groups AAS and AAPS: overview of policy guidelines (provide link to document and emphasise use of policy handbook, and awardee obligations)</w:t>
            </w:r>
          </w:p>
        </w:tc>
      </w:tr>
    </w:tbl>
    <w:p w14:paraId="238B3165" w14:textId="77777777" w:rsidR="00DD56C1" w:rsidRPr="005C5824" w:rsidRDefault="00DD56C1" w:rsidP="00DD56C1">
      <w:pPr>
        <w:rPr>
          <w:b/>
        </w:rPr>
      </w:pPr>
      <w:r w:rsidRPr="005C5824">
        <w:rPr>
          <w:b/>
        </w:rPr>
        <w:t>DAY 2</w:t>
      </w:r>
    </w:p>
    <w:tbl>
      <w:tblPr>
        <w:tblStyle w:val="TableGrid"/>
        <w:tblW w:w="10196" w:type="dxa"/>
        <w:tblLook w:val="04A0" w:firstRow="1" w:lastRow="0" w:firstColumn="1" w:lastColumn="0" w:noHBand="0" w:noVBand="1"/>
      </w:tblPr>
      <w:tblGrid>
        <w:gridCol w:w="1413"/>
        <w:gridCol w:w="2268"/>
        <w:gridCol w:w="6515"/>
      </w:tblGrid>
      <w:tr w:rsidR="005C5824" w:rsidRPr="005C5824" w14:paraId="22AA5FDE" w14:textId="77777777" w:rsidTr="00542BAE">
        <w:tc>
          <w:tcPr>
            <w:tcW w:w="1413" w:type="dxa"/>
            <w:shd w:val="clear" w:color="auto" w:fill="E0F3EF" w:themeFill="accent1" w:themeFillTint="33"/>
          </w:tcPr>
          <w:p w14:paraId="2DF2B97F" w14:textId="77777777" w:rsidR="00DD56C1" w:rsidRPr="005C5824" w:rsidRDefault="00DD56C1" w:rsidP="00542BAE">
            <w:pPr>
              <w:jc w:val="center"/>
              <w:rPr>
                <w:b/>
              </w:rPr>
            </w:pPr>
            <w:r w:rsidRPr="005C5824">
              <w:rPr>
                <w:b/>
              </w:rPr>
              <w:t>Time</w:t>
            </w:r>
          </w:p>
        </w:tc>
        <w:tc>
          <w:tcPr>
            <w:tcW w:w="2268" w:type="dxa"/>
            <w:shd w:val="clear" w:color="auto" w:fill="E0F3EF" w:themeFill="accent1" w:themeFillTint="33"/>
          </w:tcPr>
          <w:p w14:paraId="53C313C1" w14:textId="77777777" w:rsidR="00DD56C1" w:rsidRPr="005C5824" w:rsidRDefault="00DD56C1" w:rsidP="00542BAE">
            <w:pPr>
              <w:jc w:val="center"/>
              <w:rPr>
                <w:b/>
              </w:rPr>
            </w:pPr>
            <w:r w:rsidRPr="005C5824">
              <w:rPr>
                <w:b/>
              </w:rPr>
              <w:t>Item</w:t>
            </w:r>
          </w:p>
        </w:tc>
        <w:tc>
          <w:tcPr>
            <w:tcW w:w="6515" w:type="dxa"/>
            <w:shd w:val="clear" w:color="auto" w:fill="E0F3EF" w:themeFill="accent1" w:themeFillTint="33"/>
          </w:tcPr>
          <w:p w14:paraId="7DD9AC0D" w14:textId="77777777" w:rsidR="00DD56C1" w:rsidRPr="005C5824" w:rsidRDefault="00DD56C1" w:rsidP="00542BAE">
            <w:pPr>
              <w:jc w:val="center"/>
              <w:rPr>
                <w:b/>
              </w:rPr>
            </w:pPr>
            <w:r w:rsidRPr="005C5824">
              <w:rPr>
                <w:b/>
              </w:rPr>
              <w:t>Description</w:t>
            </w:r>
          </w:p>
        </w:tc>
      </w:tr>
      <w:tr w:rsidR="005C5824" w:rsidRPr="005C5824" w14:paraId="5E8F802A" w14:textId="77777777" w:rsidTr="00542BAE">
        <w:trPr>
          <w:trHeight w:val="306"/>
        </w:trPr>
        <w:tc>
          <w:tcPr>
            <w:tcW w:w="1413" w:type="dxa"/>
          </w:tcPr>
          <w:p w14:paraId="7D2C85E9"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08:30 – 09:00</w:t>
            </w:r>
          </w:p>
        </w:tc>
        <w:tc>
          <w:tcPr>
            <w:tcW w:w="2268" w:type="dxa"/>
          </w:tcPr>
          <w:p w14:paraId="301A39AD"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Arrival</w:t>
            </w:r>
          </w:p>
        </w:tc>
        <w:tc>
          <w:tcPr>
            <w:tcW w:w="6515" w:type="dxa"/>
          </w:tcPr>
          <w:p w14:paraId="79236967"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 xml:space="preserve">All awardees arrive and settled </w:t>
            </w:r>
          </w:p>
        </w:tc>
      </w:tr>
      <w:tr w:rsidR="005C5824" w:rsidRPr="005C5824" w14:paraId="14B6855B" w14:textId="77777777" w:rsidTr="00542BAE">
        <w:trPr>
          <w:trHeight w:val="430"/>
        </w:trPr>
        <w:tc>
          <w:tcPr>
            <w:tcW w:w="1413" w:type="dxa"/>
          </w:tcPr>
          <w:p w14:paraId="4234ACE4"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09:00 – 09:30</w:t>
            </w:r>
          </w:p>
        </w:tc>
        <w:tc>
          <w:tcPr>
            <w:tcW w:w="2268" w:type="dxa"/>
          </w:tcPr>
          <w:p w14:paraId="79D9744D"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Motivational Speaker (alumnus)</w:t>
            </w:r>
          </w:p>
        </w:tc>
        <w:tc>
          <w:tcPr>
            <w:tcW w:w="6515" w:type="dxa"/>
          </w:tcPr>
          <w:p w14:paraId="264FA722"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20 minutes speech</w:t>
            </w:r>
          </w:p>
          <w:p w14:paraId="58CB9240"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10 minutes for questions and answers</w:t>
            </w:r>
          </w:p>
        </w:tc>
      </w:tr>
      <w:tr w:rsidR="005C5824" w:rsidRPr="005C5824" w14:paraId="17484F08" w14:textId="77777777" w:rsidTr="00542BAE">
        <w:trPr>
          <w:trHeight w:val="453"/>
        </w:trPr>
        <w:tc>
          <w:tcPr>
            <w:tcW w:w="1413" w:type="dxa"/>
          </w:tcPr>
          <w:p w14:paraId="3926C14F" w14:textId="77777777" w:rsidR="00DD56C1" w:rsidRPr="005C5824" w:rsidRDefault="00DD56C1" w:rsidP="00542BAE">
            <w:pPr>
              <w:spacing w:before="60" w:line="240" w:lineRule="auto"/>
              <w:rPr>
                <w:i/>
                <w:sz w:val="20"/>
                <w:szCs w:val="20"/>
              </w:rPr>
            </w:pPr>
            <w:r w:rsidRPr="005C5824">
              <w:rPr>
                <w:i/>
                <w:sz w:val="20"/>
                <w:szCs w:val="20"/>
              </w:rPr>
              <w:t>09:30 – 10:15</w:t>
            </w:r>
          </w:p>
        </w:tc>
        <w:tc>
          <w:tcPr>
            <w:tcW w:w="2268" w:type="dxa"/>
          </w:tcPr>
          <w:p w14:paraId="1ED2D7F5" w14:textId="77777777" w:rsidR="00DD56C1" w:rsidRPr="005C5824" w:rsidRDefault="00DD56C1" w:rsidP="00542BAE">
            <w:pPr>
              <w:spacing w:before="60" w:line="240" w:lineRule="auto"/>
              <w:rPr>
                <w:b/>
                <w:sz w:val="20"/>
                <w:szCs w:val="20"/>
              </w:rPr>
            </w:pPr>
            <w:r w:rsidRPr="005C5824">
              <w:rPr>
                <w:b/>
                <w:sz w:val="20"/>
                <w:szCs w:val="20"/>
              </w:rPr>
              <w:t xml:space="preserve">Time Management / Problem Solving </w:t>
            </w:r>
          </w:p>
        </w:tc>
        <w:tc>
          <w:tcPr>
            <w:tcW w:w="6515" w:type="dxa"/>
          </w:tcPr>
          <w:p w14:paraId="19B386D5" w14:textId="77777777" w:rsidR="00DD56C1" w:rsidRPr="005C5824" w:rsidRDefault="00DD56C1" w:rsidP="00542BAE">
            <w:pPr>
              <w:spacing w:before="60" w:line="240" w:lineRule="auto"/>
              <w:rPr>
                <w:sz w:val="20"/>
                <w:szCs w:val="20"/>
              </w:rPr>
            </w:pPr>
            <w:r w:rsidRPr="005C5824">
              <w:rPr>
                <w:sz w:val="20"/>
                <w:szCs w:val="20"/>
              </w:rPr>
              <w:t xml:space="preserve">Break into teams and ask to work through a scenario – discuss as a group </w:t>
            </w:r>
          </w:p>
        </w:tc>
      </w:tr>
      <w:tr w:rsidR="005C5824" w:rsidRPr="005C5824" w14:paraId="0A5F9032" w14:textId="77777777" w:rsidTr="00542BAE">
        <w:trPr>
          <w:trHeight w:val="326"/>
        </w:trPr>
        <w:tc>
          <w:tcPr>
            <w:tcW w:w="1413" w:type="dxa"/>
            <w:shd w:val="clear" w:color="auto" w:fill="D9D9D9" w:themeFill="background1" w:themeFillShade="D9"/>
          </w:tcPr>
          <w:p w14:paraId="4C0C9B7B"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10:15 – 10:30</w:t>
            </w:r>
          </w:p>
        </w:tc>
        <w:tc>
          <w:tcPr>
            <w:tcW w:w="2268" w:type="dxa"/>
            <w:shd w:val="clear" w:color="auto" w:fill="D9D9D9" w:themeFill="background1" w:themeFillShade="D9"/>
          </w:tcPr>
          <w:p w14:paraId="1AB592A8"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Morning Tea</w:t>
            </w:r>
          </w:p>
        </w:tc>
        <w:tc>
          <w:tcPr>
            <w:tcW w:w="6515" w:type="dxa"/>
            <w:shd w:val="clear" w:color="auto" w:fill="D9D9D9" w:themeFill="background1" w:themeFillShade="D9"/>
          </w:tcPr>
          <w:p w14:paraId="42C7E9C2"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 xml:space="preserve">Morning tea while getting into the next session </w:t>
            </w:r>
          </w:p>
        </w:tc>
      </w:tr>
      <w:tr w:rsidR="005C5824" w:rsidRPr="005C5824" w14:paraId="1304EA4B" w14:textId="77777777" w:rsidTr="00542BAE">
        <w:trPr>
          <w:trHeight w:val="313"/>
        </w:trPr>
        <w:tc>
          <w:tcPr>
            <w:tcW w:w="1413" w:type="dxa"/>
          </w:tcPr>
          <w:p w14:paraId="0F2B840A"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10:30 – 11:45</w:t>
            </w:r>
          </w:p>
        </w:tc>
        <w:tc>
          <w:tcPr>
            <w:tcW w:w="2268" w:type="dxa"/>
          </w:tcPr>
          <w:p w14:paraId="13753E1D" w14:textId="77777777" w:rsidR="00DD56C1" w:rsidRPr="005C5824" w:rsidRDefault="00DD56C1" w:rsidP="00542BAE">
            <w:pPr>
              <w:spacing w:before="60" w:line="240" w:lineRule="auto"/>
              <w:rPr>
                <w:rFonts w:cstheme="minorHAnsi"/>
                <w:b/>
                <w:sz w:val="20"/>
                <w:szCs w:val="20"/>
              </w:rPr>
            </w:pPr>
            <w:r w:rsidRPr="005C5824">
              <w:rPr>
                <w:b/>
                <w:sz w:val="20"/>
                <w:szCs w:val="20"/>
              </w:rPr>
              <w:t>Budget Planning Exercise</w:t>
            </w:r>
          </w:p>
        </w:tc>
        <w:tc>
          <w:tcPr>
            <w:tcW w:w="6515" w:type="dxa"/>
          </w:tcPr>
          <w:p w14:paraId="13DCA725" w14:textId="77777777" w:rsidR="00DD56C1" w:rsidRPr="005C5824" w:rsidRDefault="00DD56C1" w:rsidP="00542BAE">
            <w:pPr>
              <w:spacing w:before="60" w:line="240" w:lineRule="auto"/>
              <w:rPr>
                <w:rFonts w:cstheme="minorHAnsi"/>
                <w:sz w:val="20"/>
                <w:szCs w:val="20"/>
              </w:rPr>
            </w:pPr>
            <w:r w:rsidRPr="005C5824">
              <w:rPr>
                <w:sz w:val="20"/>
                <w:szCs w:val="20"/>
              </w:rPr>
              <w:t>Brief session on effective budgeting</w:t>
            </w:r>
          </w:p>
        </w:tc>
      </w:tr>
      <w:tr w:rsidR="005C5824" w:rsidRPr="005C5824" w14:paraId="37DB910B" w14:textId="77777777" w:rsidTr="00542BAE">
        <w:trPr>
          <w:trHeight w:val="453"/>
        </w:trPr>
        <w:tc>
          <w:tcPr>
            <w:tcW w:w="1413" w:type="dxa"/>
          </w:tcPr>
          <w:p w14:paraId="3E9D0D66" w14:textId="77777777" w:rsidR="00DD56C1" w:rsidRPr="005C5824" w:rsidRDefault="00DD56C1" w:rsidP="00542BAE">
            <w:pPr>
              <w:spacing w:before="60" w:line="240" w:lineRule="auto"/>
              <w:rPr>
                <w:rFonts w:cstheme="minorHAnsi"/>
                <w:i/>
                <w:sz w:val="20"/>
                <w:szCs w:val="20"/>
              </w:rPr>
            </w:pPr>
            <w:r w:rsidRPr="005C5824">
              <w:rPr>
                <w:i/>
                <w:sz w:val="20"/>
                <w:szCs w:val="20"/>
              </w:rPr>
              <w:t>11:45 – 12:30</w:t>
            </w:r>
          </w:p>
        </w:tc>
        <w:tc>
          <w:tcPr>
            <w:tcW w:w="2268" w:type="dxa"/>
          </w:tcPr>
          <w:p w14:paraId="2A17C6D7"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Pre-Departure Guidebook Q&amp;A</w:t>
            </w:r>
          </w:p>
        </w:tc>
        <w:tc>
          <w:tcPr>
            <w:tcW w:w="6515" w:type="dxa"/>
          </w:tcPr>
          <w:p w14:paraId="6D33F634"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Split into groups for informal discussions on pre-departure guidebooks</w:t>
            </w:r>
          </w:p>
          <w:p w14:paraId="7D790965"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AAPS Alumni to share experiences</w:t>
            </w:r>
          </w:p>
          <w:p w14:paraId="276A6619"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AAS Alumni to share experiences</w:t>
            </w:r>
          </w:p>
        </w:tc>
      </w:tr>
      <w:tr w:rsidR="005C5824" w:rsidRPr="005C5824" w14:paraId="7EDDC17D" w14:textId="77777777" w:rsidTr="00542BAE">
        <w:trPr>
          <w:trHeight w:val="398"/>
        </w:trPr>
        <w:tc>
          <w:tcPr>
            <w:tcW w:w="1413" w:type="dxa"/>
            <w:shd w:val="clear" w:color="auto" w:fill="D9D9D9" w:themeFill="background1" w:themeFillShade="D9"/>
          </w:tcPr>
          <w:p w14:paraId="7D58232A" w14:textId="77777777" w:rsidR="00DD56C1" w:rsidRPr="005C5824" w:rsidRDefault="00DD56C1" w:rsidP="00542BAE">
            <w:pPr>
              <w:spacing w:before="60" w:line="240" w:lineRule="auto"/>
              <w:rPr>
                <w:i/>
                <w:sz w:val="20"/>
                <w:szCs w:val="20"/>
              </w:rPr>
            </w:pPr>
            <w:r w:rsidRPr="005C5824">
              <w:rPr>
                <w:i/>
                <w:sz w:val="20"/>
                <w:szCs w:val="20"/>
              </w:rPr>
              <w:t>12:30 – 13:30</w:t>
            </w:r>
          </w:p>
        </w:tc>
        <w:tc>
          <w:tcPr>
            <w:tcW w:w="2268" w:type="dxa"/>
            <w:shd w:val="clear" w:color="auto" w:fill="D9D9D9" w:themeFill="background1" w:themeFillShade="D9"/>
          </w:tcPr>
          <w:p w14:paraId="394A1019" w14:textId="77777777" w:rsidR="00DD56C1" w:rsidRPr="005C5824" w:rsidRDefault="00DD56C1" w:rsidP="00542BAE">
            <w:pPr>
              <w:spacing w:before="60" w:line="240" w:lineRule="auto"/>
              <w:rPr>
                <w:b/>
                <w:sz w:val="20"/>
                <w:szCs w:val="20"/>
              </w:rPr>
            </w:pPr>
            <w:r w:rsidRPr="005C5824">
              <w:rPr>
                <w:b/>
                <w:sz w:val="20"/>
                <w:szCs w:val="20"/>
              </w:rPr>
              <w:t xml:space="preserve">LUNCH BREAK </w:t>
            </w:r>
          </w:p>
        </w:tc>
        <w:tc>
          <w:tcPr>
            <w:tcW w:w="6515" w:type="dxa"/>
            <w:shd w:val="clear" w:color="auto" w:fill="D9D9D9" w:themeFill="background1" w:themeFillShade="D9"/>
          </w:tcPr>
          <w:p w14:paraId="69586313" w14:textId="77777777" w:rsidR="00DD56C1" w:rsidRPr="005C5824" w:rsidRDefault="00DD56C1" w:rsidP="00542BAE">
            <w:pPr>
              <w:spacing w:before="60" w:line="240" w:lineRule="auto"/>
              <w:rPr>
                <w:sz w:val="20"/>
                <w:szCs w:val="20"/>
              </w:rPr>
            </w:pPr>
            <w:r w:rsidRPr="005C5824">
              <w:rPr>
                <w:sz w:val="20"/>
                <w:szCs w:val="20"/>
              </w:rPr>
              <w:t xml:space="preserve">Lunch provided </w:t>
            </w:r>
          </w:p>
        </w:tc>
      </w:tr>
      <w:tr w:rsidR="005C5824" w:rsidRPr="005C5824" w14:paraId="3293AB4D" w14:textId="77777777" w:rsidTr="00542BAE">
        <w:trPr>
          <w:trHeight w:val="1084"/>
        </w:trPr>
        <w:tc>
          <w:tcPr>
            <w:tcW w:w="1413" w:type="dxa"/>
          </w:tcPr>
          <w:p w14:paraId="1C54E6B4" w14:textId="77777777" w:rsidR="00DD56C1" w:rsidRPr="005C5824" w:rsidRDefault="00DD56C1" w:rsidP="00542BAE">
            <w:pPr>
              <w:spacing w:before="60" w:line="240" w:lineRule="auto"/>
              <w:rPr>
                <w:i/>
                <w:sz w:val="20"/>
                <w:szCs w:val="20"/>
              </w:rPr>
            </w:pPr>
            <w:r w:rsidRPr="005C5824">
              <w:rPr>
                <w:i/>
                <w:sz w:val="20"/>
                <w:szCs w:val="20"/>
              </w:rPr>
              <w:t>13:30 – 14:00</w:t>
            </w:r>
          </w:p>
        </w:tc>
        <w:tc>
          <w:tcPr>
            <w:tcW w:w="2268" w:type="dxa"/>
          </w:tcPr>
          <w:p w14:paraId="00233879" w14:textId="77777777" w:rsidR="00DD56C1" w:rsidRPr="005C5824" w:rsidRDefault="00DD56C1" w:rsidP="00542BAE">
            <w:pPr>
              <w:spacing w:before="60" w:line="240" w:lineRule="auto"/>
              <w:rPr>
                <w:b/>
                <w:sz w:val="20"/>
                <w:szCs w:val="20"/>
              </w:rPr>
            </w:pPr>
            <w:r w:rsidRPr="005C5824">
              <w:rPr>
                <w:b/>
                <w:sz w:val="20"/>
                <w:szCs w:val="20"/>
              </w:rPr>
              <w:t>Alumni Network</w:t>
            </w:r>
          </w:p>
        </w:tc>
        <w:tc>
          <w:tcPr>
            <w:tcW w:w="6515" w:type="dxa"/>
          </w:tcPr>
          <w:p w14:paraId="623A2C75" w14:textId="77777777" w:rsidR="00DD56C1" w:rsidRPr="005C5824" w:rsidRDefault="00DD56C1" w:rsidP="00542BAE">
            <w:pPr>
              <w:spacing w:before="60" w:line="240" w:lineRule="auto"/>
              <w:rPr>
                <w:sz w:val="20"/>
                <w:szCs w:val="20"/>
              </w:rPr>
            </w:pPr>
            <w:r w:rsidRPr="005C5824">
              <w:rPr>
                <w:sz w:val="20"/>
                <w:szCs w:val="20"/>
              </w:rPr>
              <w:t>Introduction to the alumni network</w:t>
            </w:r>
          </w:p>
          <w:p w14:paraId="6CC86EAD" w14:textId="77777777" w:rsidR="00DD56C1" w:rsidRPr="005C5824" w:rsidRDefault="00DD56C1" w:rsidP="00542BAE">
            <w:pPr>
              <w:spacing w:before="60" w:line="240" w:lineRule="auto"/>
              <w:rPr>
                <w:sz w:val="20"/>
                <w:szCs w:val="20"/>
              </w:rPr>
            </w:pPr>
            <w:r w:rsidRPr="005C5824">
              <w:rPr>
                <w:sz w:val="20"/>
                <w:szCs w:val="20"/>
              </w:rPr>
              <w:t>Brief presentation on alumni network activities</w:t>
            </w:r>
          </w:p>
          <w:p w14:paraId="604AD9D5" w14:textId="77777777" w:rsidR="00DD56C1" w:rsidRPr="005C5824" w:rsidRDefault="00DD56C1" w:rsidP="00542BAE">
            <w:pPr>
              <w:spacing w:before="60" w:line="240" w:lineRule="auto"/>
              <w:rPr>
                <w:sz w:val="20"/>
                <w:szCs w:val="20"/>
              </w:rPr>
            </w:pPr>
            <w:r w:rsidRPr="005C5824">
              <w:rPr>
                <w:sz w:val="20"/>
                <w:szCs w:val="20"/>
              </w:rPr>
              <w:t>What the network means for awardees</w:t>
            </w:r>
          </w:p>
        </w:tc>
      </w:tr>
      <w:tr w:rsidR="005C5824" w:rsidRPr="005C5824" w14:paraId="58218E8C" w14:textId="77777777" w:rsidTr="00542BAE">
        <w:trPr>
          <w:trHeight w:val="175"/>
        </w:trPr>
        <w:tc>
          <w:tcPr>
            <w:tcW w:w="1413" w:type="dxa"/>
          </w:tcPr>
          <w:p w14:paraId="661F8A87"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14:00 – 14:30</w:t>
            </w:r>
          </w:p>
        </w:tc>
        <w:tc>
          <w:tcPr>
            <w:tcW w:w="2268" w:type="dxa"/>
          </w:tcPr>
          <w:p w14:paraId="631249E9"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 xml:space="preserve">Goal Setting </w:t>
            </w:r>
          </w:p>
        </w:tc>
        <w:tc>
          <w:tcPr>
            <w:tcW w:w="6515" w:type="dxa"/>
          </w:tcPr>
          <w:p w14:paraId="4FAA6CED"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Refresh memories on goals set and plans to achieve goals</w:t>
            </w:r>
          </w:p>
        </w:tc>
      </w:tr>
      <w:tr w:rsidR="005C5824" w:rsidRPr="005C5824" w14:paraId="398ED914" w14:textId="77777777" w:rsidTr="00542BAE">
        <w:trPr>
          <w:trHeight w:val="175"/>
        </w:trPr>
        <w:tc>
          <w:tcPr>
            <w:tcW w:w="1413" w:type="dxa"/>
          </w:tcPr>
          <w:p w14:paraId="1A667185"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14:30 – 15:30</w:t>
            </w:r>
          </w:p>
        </w:tc>
        <w:tc>
          <w:tcPr>
            <w:tcW w:w="2268" w:type="dxa"/>
          </w:tcPr>
          <w:p w14:paraId="671DBAEE"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Adjusting to life in a foreign country</w:t>
            </w:r>
          </w:p>
        </w:tc>
        <w:tc>
          <w:tcPr>
            <w:tcW w:w="6515" w:type="dxa"/>
          </w:tcPr>
          <w:p w14:paraId="7A991E77"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Tips for settling into a new place and overcoming homesickness</w:t>
            </w:r>
          </w:p>
          <w:p w14:paraId="5F32AB8C"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Understanding cultural differences</w:t>
            </w:r>
          </w:p>
          <w:p w14:paraId="35EBFE7D"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Abiding by different laws (covering key issues / differences, such as not leaving children unsupervised at home).</w:t>
            </w:r>
          </w:p>
        </w:tc>
      </w:tr>
      <w:tr w:rsidR="00DD56C1" w:rsidRPr="005C5824" w14:paraId="218A5AF8" w14:textId="77777777" w:rsidTr="00542BAE">
        <w:tc>
          <w:tcPr>
            <w:tcW w:w="1413" w:type="dxa"/>
          </w:tcPr>
          <w:p w14:paraId="382A9BAC" w14:textId="77777777" w:rsidR="00DD56C1" w:rsidRPr="005C5824" w:rsidRDefault="00DD56C1" w:rsidP="00542BAE">
            <w:pPr>
              <w:spacing w:before="60" w:line="240" w:lineRule="auto"/>
              <w:rPr>
                <w:rFonts w:cstheme="minorHAnsi"/>
                <w:i/>
                <w:sz w:val="20"/>
                <w:szCs w:val="20"/>
              </w:rPr>
            </w:pPr>
            <w:r w:rsidRPr="005C5824">
              <w:rPr>
                <w:rFonts w:cstheme="minorHAnsi"/>
                <w:i/>
                <w:sz w:val="20"/>
                <w:szCs w:val="20"/>
              </w:rPr>
              <w:t>15:30 – 16:30</w:t>
            </w:r>
          </w:p>
        </w:tc>
        <w:tc>
          <w:tcPr>
            <w:tcW w:w="2268" w:type="dxa"/>
          </w:tcPr>
          <w:p w14:paraId="55A2F34B" w14:textId="77777777" w:rsidR="00DD56C1" w:rsidRPr="005C5824" w:rsidRDefault="00DD56C1" w:rsidP="00542BAE">
            <w:pPr>
              <w:spacing w:before="60" w:line="240" w:lineRule="auto"/>
              <w:rPr>
                <w:rFonts w:cstheme="minorHAnsi"/>
                <w:b/>
                <w:sz w:val="20"/>
                <w:szCs w:val="20"/>
              </w:rPr>
            </w:pPr>
            <w:r w:rsidRPr="005C5824">
              <w:rPr>
                <w:rFonts w:cstheme="minorHAnsi"/>
                <w:b/>
                <w:sz w:val="20"/>
                <w:szCs w:val="20"/>
              </w:rPr>
              <w:t>Farewell to Candidates</w:t>
            </w:r>
          </w:p>
        </w:tc>
        <w:tc>
          <w:tcPr>
            <w:tcW w:w="6515" w:type="dxa"/>
          </w:tcPr>
          <w:p w14:paraId="675C6DF8"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Farewell Speech (High Commissioner)</w:t>
            </w:r>
          </w:p>
          <w:p w14:paraId="5FF3A83F" w14:textId="77777777" w:rsidR="00DD56C1" w:rsidRPr="005C5824" w:rsidRDefault="00DD56C1" w:rsidP="00542BAE">
            <w:pPr>
              <w:spacing w:before="60" w:line="240" w:lineRule="auto"/>
              <w:rPr>
                <w:rFonts w:cstheme="minorHAnsi"/>
                <w:sz w:val="20"/>
                <w:szCs w:val="20"/>
              </w:rPr>
            </w:pPr>
            <w:r w:rsidRPr="005C5824">
              <w:rPr>
                <w:rFonts w:cstheme="minorHAnsi"/>
                <w:sz w:val="20"/>
                <w:szCs w:val="20"/>
              </w:rPr>
              <w:t xml:space="preserve">Afternoon tea and mingle </w:t>
            </w:r>
          </w:p>
        </w:tc>
      </w:tr>
    </w:tbl>
    <w:p w14:paraId="7413660C" w14:textId="3FC943D0" w:rsidR="00656B5D" w:rsidRPr="005C5824" w:rsidRDefault="00656B5D" w:rsidP="008C18E0">
      <w:pPr>
        <w:suppressAutoHyphens w:val="0"/>
        <w:spacing w:before="0" w:after="120" w:line="440" w:lineRule="atLeast"/>
        <w:rPr>
          <w:sz w:val="2"/>
          <w:szCs w:val="2"/>
          <w:highlight w:val="yellow"/>
        </w:rPr>
      </w:pPr>
    </w:p>
    <w:sectPr w:rsidR="00656B5D" w:rsidRPr="005C5824" w:rsidSect="00F8501E">
      <w:pgSz w:w="11906" w:h="16838" w:code="9"/>
      <w:pgMar w:top="426" w:right="849" w:bottom="567" w:left="709" w:header="425" w:footer="201"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B8DC6" w14:textId="77777777" w:rsidR="00CF7F86" w:rsidRDefault="00CF7F86" w:rsidP="00D37B04">
      <w:r>
        <w:separator/>
      </w:r>
    </w:p>
  </w:endnote>
  <w:endnote w:type="continuationSeparator" w:id="0">
    <w:p w14:paraId="1B9C6075" w14:textId="77777777" w:rsidR="00CF7F86" w:rsidRDefault="00CF7F8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imbusSanNov">
    <w:altName w:val="Arial"/>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6D05" w14:textId="77777777" w:rsidR="004F0831" w:rsidRDefault="004F0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309360"/>
      <w:docPartObj>
        <w:docPartGallery w:val="Page Numbers (Bottom of Page)"/>
        <w:docPartUnique/>
      </w:docPartObj>
    </w:sdtPr>
    <w:sdtEndPr>
      <w:rPr>
        <w:noProof/>
        <w:color w:val="808080" w:themeColor="background1" w:themeShade="80"/>
      </w:rPr>
    </w:sdtEndPr>
    <w:sdtContent>
      <w:p w14:paraId="08EC638F" w14:textId="541A5107" w:rsidR="00CF7F86" w:rsidRPr="00FF79D5" w:rsidRDefault="00CF7F86">
        <w:pPr>
          <w:pStyle w:val="Footer"/>
          <w:jc w:val="right"/>
          <w:rPr>
            <w:color w:val="808080" w:themeColor="background1" w:themeShade="80"/>
          </w:rPr>
        </w:pPr>
        <w:r w:rsidRPr="00FF79D5">
          <w:rPr>
            <w:color w:val="808080" w:themeColor="background1" w:themeShade="80"/>
          </w:rPr>
          <w:fldChar w:fldCharType="begin"/>
        </w:r>
        <w:r w:rsidRPr="00FF79D5">
          <w:rPr>
            <w:color w:val="808080" w:themeColor="background1" w:themeShade="80"/>
          </w:rPr>
          <w:instrText xml:space="preserve"> PAGE   \* MERGEFORMAT </w:instrText>
        </w:r>
        <w:r w:rsidRPr="00FF79D5">
          <w:rPr>
            <w:color w:val="808080" w:themeColor="background1" w:themeShade="80"/>
          </w:rPr>
          <w:fldChar w:fldCharType="separate"/>
        </w:r>
        <w:r w:rsidR="004F0831">
          <w:rPr>
            <w:noProof/>
            <w:color w:val="808080" w:themeColor="background1" w:themeShade="80"/>
          </w:rPr>
          <w:t>4</w:t>
        </w:r>
        <w:r w:rsidRPr="00FF79D5">
          <w:rPr>
            <w:noProof/>
            <w:color w:val="808080" w:themeColor="background1" w:themeShade="80"/>
          </w:rPr>
          <w:fldChar w:fldCharType="end"/>
        </w:r>
      </w:p>
    </w:sdtContent>
  </w:sdt>
  <w:p w14:paraId="6FB414D3" w14:textId="77777777" w:rsidR="00CF7F86" w:rsidRPr="00FC322F" w:rsidRDefault="00CF7F86"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685739"/>
      <w:docPartObj>
        <w:docPartGallery w:val="Page Numbers (Bottom of Page)"/>
        <w:docPartUnique/>
      </w:docPartObj>
    </w:sdtPr>
    <w:sdtEndPr>
      <w:rPr>
        <w:noProof/>
        <w:color w:val="808080" w:themeColor="background1" w:themeShade="80"/>
      </w:rPr>
    </w:sdtEndPr>
    <w:sdtContent>
      <w:p w14:paraId="2D6358DB" w14:textId="39AC11A4" w:rsidR="00CF7F86" w:rsidRPr="00FF79D5" w:rsidRDefault="00CF7F86">
        <w:pPr>
          <w:pStyle w:val="Footer"/>
          <w:jc w:val="right"/>
          <w:rPr>
            <w:color w:val="808080" w:themeColor="background1" w:themeShade="80"/>
          </w:rPr>
        </w:pPr>
        <w:r w:rsidRPr="00FF79D5">
          <w:rPr>
            <w:color w:val="808080" w:themeColor="background1" w:themeShade="80"/>
          </w:rPr>
          <w:fldChar w:fldCharType="begin"/>
        </w:r>
        <w:r w:rsidRPr="00FF79D5">
          <w:rPr>
            <w:color w:val="808080" w:themeColor="background1" w:themeShade="80"/>
          </w:rPr>
          <w:instrText xml:space="preserve"> PAGE   \* MERGEFORMAT </w:instrText>
        </w:r>
        <w:r w:rsidRPr="00FF79D5">
          <w:rPr>
            <w:color w:val="808080" w:themeColor="background1" w:themeShade="80"/>
          </w:rPr>
          <w:fldChar w:fldCharType="separate"/>
        </w:r>
        <w:r w:rsidR="004F0831">
          <w:rPr>
            <w:noProof/>
            <w:color w:val="808080" w:themeColor="background1" w:themeShade="80"/>
          </w:rPr>
          <w:t>1</w:t>
        </w:r>
        <w:r w:rsidRPr="00FF79D5">
          <w:rPr>
            <w:noProof/>
            <w:color w:val="808080" w:themeColor="background1" w:themeShade="80"/>
          </w:rPr>
          <w:fldChar w:fldCharType="end"/>
        </w:r>
      </w:p>
    </w:sdtContent>
  </w:sdt>
  <w:p w14:paraId="575493BD" w14:textId="77777777" w:rsidR="00CF7F86" w:rsidRPr="00FC322F" w:rsidRDefault="00CF7F86" w:rsidP="00885CEF">
    <w:pPr>
      <w:pStyle w:val="Footer"/>
      <w:ind w:left="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D402" w14:textId="77777777" w:rsidR="00CF7F86" w:rsidRPr="008C5A0E" w:rsidRDefault="00CF7F86" w:rsidP="00D37B04">
      <w:pPr>
        <w:pStyle w:val="Footer"/>
      </w:pPr>
    </w:p>
  </w:footnote>
  <w:footnote w:type="continuationSeparator" w:id="0">
    <w:p w14:paraId="460BD25F" w14:textId="77777777" w:rsidR="00CF7F86" w:rsidRDefault="00CF7F86" w:rsidP="00D37B04">
      <w:r>
        <w:continuationSeparator/>
      </w:r>
    </w:p>
  </w:footnote>
  <w:footnote w:id="1">
    <w:p w14:paraId="6E40A236" w14:textId="7F83CBD3" w:rsidR="00CF7F86" w:rsidRPr="0037455C" w:rsidRDefault="00CF7F86" w:rsidP="000F6FF5">
      <w:pPr>
        <w:pStyle w:val="FootnoteText"/>
        <w:rPr>
          <w:lang w:val="en-AU"/>
        </w:rPr>
      </w:pPr>
      <w:r w:rsidRPr="001876A9">
        <w:rPr>
          <w:rStyle w:val="FootnoteReference"/>
          <w:color w:val="auto"/>
          <w:sz w:val="16"/>
        </w:rPr>
        <w:footnoteRef/>
      </w:r>
      <w:r w:rsidRPr="001876A9">
        <w:rPr>
          <w:color w:val="auto"/>
          <w:sz w:val="16"/>
        </w:rPr>
        <w:t xml:space="preserve"> Australia Awards Global Strategy (2016-18); </w:t>
      </w:r>
      <w:r w:rsidRPr="001876A9">
        <w:rPr>
          <w:color w:val="auto"/>
          <w:sz w:val="16"/>
          <w:lang w:val="en-AU"/>
        </w:rPr>
        <w:t xml:space="preserve">Australia Awards Scholarships Policy Handbook; Australia Awards Pacific Scholarships Policy Handbooks; </w:t>
      </w:r>
      <w:r>
        <w:rPr>
          <w:color w:val="auto"/>
          <w:sz w:val="16"/>
          <w:lang w:val="en-AU"/>
        </w:rPr>
        <w:t xml:space="preserve">Australia Awards </w:t>
      </w:r>
      <w:r w:rsidRPr="001876A9">
        <w:rPr>
          <w:color w:val="auto"/>
          <w:sz w:val="16"/>
          <w:lang w:val="en-AU"/>
        </w:rPr>
        <w:t>Global Alumni Engagement Strategy; Australia Awards Global Monitoring and Evaluation Framework</w:t>
      </w:r>
      <w:r>
        <w:rPr>
          <w:color w:val="auto"/>
          <w:sz w:val="16"/>
          <w:lang w:val="en-AU"/>
        </w:rPr>
        <w:t>; Australia Awards Fellowships Guidelines; Gender Equality and Women’s Empowerment Strategy; Development for All 2015-2020</w:t>
      </w:r>
    </w:p>
  </w:footnote>
  <w:footnote w:id="2">
    <w:p w14:paraId="2828196B" w14:textId="5686DE28" w:rsidR="00CF7F86" w:rsidRPr="00052734" w:rsidRDefault="00CF7F86" w:rsidP="00052734">
      <w:pPr>
        <w:pStyle w:val="FootnoteText"/>
        <w:rPr>
          <w:color w:val="auto"/>
          <w:sz w:val="16"/>
          <w:szCs w:val="16"/>
        </w:rPr>
      </w:pPr>
      <w:r w:rsidRPr="0030217D">
        <w:rPr>
          <w:rStyle w:val="FootnoteReference"/>
          <w:color w:val="auto"/>
          <w:sz w:val="16"/>
          <w:szCs w:val="16"/>
        </w:rPr>
        <w:footnoteRef/>
      </w:r>
      <w:r w:rsidRPr="0030217D">
        <w:rPr>
          <w:color w:val="auto"/>
          <w:sz w:val="16"/>
          <w:szCs w:val="16"/>
        </w:rPr>
        <w:t xml:space="preserve"> </w:t>
      </w:r>
      <w:r>
        <w:rPr>
          <w:color w:val="auto"/>
          <w:sz w:val="16"/>
          <w:szCs w:val="16"/>
        </w:rPr>
        <w:t xml:space="preserve">Any shift will carefully consider the evaluation by the Office for Development Effectiveness, </w:t>
      </w:r>
      <w:r w:rsidRPr="00372EB8">
        <w:rPr>
          <w:i/>
          <w:color w:val="auto"/>
          <w:sz w:val="16"/>
          <w:szCs w:val="16"/>
          <w:lang w:val="en-AU"/>
        </w:rPr>
        <w:t>Building Women’s Leadership: the Contribution of Australia Awards Scholarships</w:t>
      </w:r>
      <w:r>
        <w:rPr>
          <w:color w:val="auto"/>
          <w:sz w:val="16"/>
          <w:szCs w:val="16"/>
        </w:rPr>
        <w:t>, December 2015, which found that increasing short course awards may be detrimental to women’s leadership opportunities (as long-term scholarships more likely to achieve better outcomes for women’s leadership, most short courses are not designed or delivered with a gender equality objective and most participants have been men). The evaluation notes that short courses could be used to: build coalitions of female and male leaders across and between government agencies, civil society and the private sector; support and engage female alumni, particularly those in senior leadership roles, at critical junctures in their careers.</w:t>
      </w:r>
    </w:p>
  </w:footnote>
  <w:footnote w:id="3">
    <w:p w14:paraId="757FEE92" w14:textId="66BA8A99" w:rsidR="00CF7F86" w:rsidRPr="002361AB" w:rsidRDefault="00CF7F86">
      <w:pPr>
        <w:pStyle w:val="FootnoteText"/>
        <w:rPr>
          <w:color w:val="auto"/>
          <w:sz w:val="16"/>
          <w:szCs w:val="16"/>
          <w:lang w:val="en-AU"/>
        </w:rPr>
      </w:pPr>
      <w:r w:rsidRPr="002361AB">
        <w:rPr>
          <w:rStyle w:val="FootnoteReference"/>
          <w:color w:val="auto"/>
          <w:sz w:val="16"/>
          <w:szCs w:val="16"/>
        </w:rPr>
        <w:footnoteRef/>
      </w:r>
      <w:r w:rsidRPr="002361AB">
        <w:rPr>
          <w:color w:val="auto"/>
          <w:sz w:val="16"/>
          <w:szCs w:val="16"/>
        </w:rPr>
        <w:t xml:space="preserve"> </w:t>
      </w:r>
      <w:r w:rsidRPr="002361AB">
        <w:rPr>
          <w:color w:val="auto"/>
          <w:sz w:val="16"/>
          <w:szCs w:val="16"/>
          <w:lang w:val="en-AU"/>
        </w:rPr>
        <w:t>Note, while the NCP also forms part of Australia’s engagement in Vanuatu, it does not fall under the global Australia Awards.</w:t>
      </w:r>
    </w:p>
  </w:footnote>
  <w:footnote w:id="4">
    <w:p w14:paraId="409BEADA" w14:textId="77777777" w:rsidR="00CF7F86" w:rsidRPr="00CE045C" w:rsidRDefault="00CF7F86">
      <w:pPr>
        <w:pStyle w:val="FootnoteText"/>
        <w:rPr>
          <w:lang w:val="en-AU"/>
        </w:rPr>
      </w:pPr>
      <w:r w:rsidRPr="00CE045C">
        <w:rPr>
          <w:rStyle w:val="FootnoteReference"/>
          <w:color w:val="auto"/>
          <w:sz w:val="16"/>
        </w:rPr>
        <w:footnoteRef/>
      </w:r>
      <w:r w:rsidRPr="00CE045C">
        <w:rPr>
          <w:color w:val="auto"/>
          <w:sz w:val="16"/>
        </w:rPr>
        <w:t xml:space="preserve"> </w:t>
      </w:r>
      <w:r w:rsidRPr="00CE045C">
        <w:rPr>
          <w:color w:val="auto"/>
          <w:sz w:val="16"/>
          <w:lang w:val="en-AU"/>
        </w:rPr>
        <w:t>Sus</w:t>
      </w:r>
      <w:r>
        <w:rPr>
          <w:color w:val="auto"/>
          <w:sz w:val="16"/>
          <w:lang w:val="en-AU"/>
        </w:rPr>
        <w:t>taining Growth Report: AD</w:t>
      </w:r>
      <w:r w:rsidRPr="00CE045C">
        <w:rPr>
          <w:color w:val="auto"/>
          <w:sz w:val="16"/>
          <w:lang w:val="en-AU"/>
        </w:rPr>
        <w:t xml:space="preserve">B Private </w:t>
      </w:r>
      <w:r>
        <w:rPr>
          <w:color w:val="auto"/>
          <w:sz w:val="16"/>
          <w:lang w:val="en-AU"/>
        </w:rPr>
        <w:t>Sector Assess</w:t>
      </w:r>
      <w:r w:rsidRPr="00CE045C">
        <w:rPr>
          <w:color w:val="auto"/>
          <w:sz w:val="16"/>
          <w:lang w:val="en-AU"/>
        </w:rPr>
        <w:t>ment</w:t>
      </w:r>
    </w:p>
  </w:footnote>
  <w:footnote w:id="5">
    <w:p w14:paraId="5BFBC3C7" w14:textId="14A3E359" w:rsidR="00CF7F86" w:rsidRPr="00A63F9F" w:rsidRDefault="00CF7F86">
      <w:pPr>
        <w:pStyle w:val="FootnoteText"/>
        <w:rPr>
          <w:color w:val="auto"/>
          <w:sz w:val="16"/>
          <w:szCs w:val="16"/>
          <w:lang w:val="en-AU"/>
        </w:rPr>
      </w:pPr>
      <w:r w:rsidRPr="0097383F">
        <w:rPr>
          <w:rStyle w:val="FootnoteReference"/>
          <w:color w:val="auto"/>
          <w:sz w:val="16"/>
          <w:szCs w:val="16"/>
        </w:rPr>
        <w:footnoteRef/>
      </w:r>
      <w:r w:rsidRPr="00A63F9F">
        <w:rPr>
          <w:color w:val="auto"/>
          <w:sz w:val="16"/>
          <w:szCs w:val="16"/>
        </w:rPr>
        <w:t xml:space="preserve"> </w:t>
      </w:r>
      <w:r>
        <w:rPr>
          <w:color w:val="auto"/>
          <w:sz w:val="16"/>
          <w:szCs w:val="16"/>
        </w:rPr>
        <w:t>Tracer Study for the Training and Scholarships Coordination Unit, January 2010</w:t>
      </w:r>
    </w:p>
  </w:footnote>
  <w:footnote w:id="6">
    <w:p w14:paraId="388D8324" w14:textId="77777777" w:rsidR="00CF7F86" w:rsidRPr="00CE045C" w:rsidRDefault="00CF7F86" w:rsidP="00CE045C">
      <w:pPr>
        <w:pStyle w:val="FootnoteText"/>
        <w:rPr>
          <w:sz w:val="16"/>
          <w:szCs w:val="16"/>
          <w:lang w:val="en-AU"/>
        </w:rPr>
      </w:pPr>
      <w:r w:rsidRPr="00CE045C">
        <w:rPr>
          <w:rStyle w:val="FootnoteReference"/>
          <w:color w:val="auto"/>
          <w:sz w:val="16"/>
          <w:szCs w:val="16"/>
        </w:rPr>
        <w:footnoteRef/>
      </w:r>
      <w:r w:rsidRPr="00CE045C">
        <w:rPr>
          <w:color w:val="auto"/>
          <w:sz w:val="16"/>
          <w:szCs w:val="16"/>
        </w:rPr>
        <w:t xml:space="preserve"> </w:t>
      </w:r>
      <w:r w:rsidRPr="00CE045C">
        <w:rPr>
          <w:color w:val="auto"/>
          <w:sz w:val="16"/>
          <w:szCs w:val="16"/>
          <w:lang w:val="en-AU"/>
        </w:rPr>
        <w:t xml:space="preserve">UN Women website: </w:t>
      </w:r>
      <w:hyperlink r:id="rId1" w:history="1">
        <w:r w:rsidRPr="00CE045C">
          <w:rPr>
            <w:rStyle w:val="Hyperlink"/>
            <w:sz w:val="16"/>
            <w:szCs w:val="16"/>
          </w:rPr>
          <w:t>http://asiapacific.unwomen.org/en/countries/fiji/co/vanuatu</w:t>
        </w:r>
      </w:hyperlink>
    </w:p>
  </w:footnote>
  <w:footnote w:id="7">
    <w:p w14:paraId="27ECBCAB" w14:textId="10CC818F" w:rsidR="00CF7F86" w:rsidRPr="00CE045C" w:rsidRDefault="00CF7F86">
      <w:pPr>
        <w:pStyle w:val="FootnoteText"/>
        <w:rPr>
          <w:sz w:val="16"/>
          <w:szCs w:val="16"/>
          <w:lang w:val="en-AU"/>
        </w:rPr>
      </w:pPr>
      <w:r w:rsidRPr="00CE045C">
        <w:rPr>
          <w:rStyle w:val="FootnoteReference"/>
          <w:color w:val="auto"/>
          <w:sz w:val="16"/>
          <w:szCs w:val="16"/>
        </w:rPr>
        <w:footnoteRef/>
      </w:r>
      <w:r w:rsidRPr="00CE045C">
        <w:rPr>
          <w:color w:val="auto"/>
          <w:sz w:val="16"/>
          <w:szCs w:val="16"/>
        </w:rPr>
        <w:t xml:space="preserve"> </w:t>
      </w:r>
      <w:r w:rsidRPr="00CE045C">
        <w:rPr>
          <w:color w:val="auto"/>
          <w:sz w:val="16"/>
          <w:szCs w:val="16"/>
          <w:lang w:val="en-AU"/>
        </w:rPr>
        <w:t>Vanuatu Standardised Test, VANSTA 20</w:t>
      </w:r>
      <w:r>
        <w:rPr>
          <w:color w:val="auto"/>
          <w:sz w:val="16"/>
          <w:szCs w:val="16"/>
          <w:lang w:val="en-AU"/>
        </w:rPr>
        <w:t>17</w:t>
      </w:r>
      <w:r w:rsidRPr="00CE045C">
        <w:rPr>
          <w:color w:val="auto"/>
          <w:sz w:val="16"/>
          <w:szCs w:val="16"/>
          <w:lang w:val="en-AU"/>
        </w:rPr>
        <w:t>, Vanuatu Early Grade Reading Assessment 2010</w:t>
      </w:r>
    </w:p>
  </w:footnote>
  <w:footnote w:id="8">
    <w:p w14:paraId="18D9429C" w14:textId="151142BC" w:rsidR="00CF7F86" w:rsidRPr="00A27D70" w:rsidRDefault="00CF7F86">
      <w:pPr>
        <w:pStyle w:val="FootnoteText"/>
        <w:rPr>
          <w:color w:val="auto"/>
          <w:sz w:val="16"/>
          <w:szCs w:val="16"/>
          <w:lang w:val="en-AU"/>
        </w:rPr>
      </w:pPr>
      <w:r w:rsidRPr="00A27D70">
        <w:rPr>
          <w:rStyle w:val="FootnoteReference"/>
          <w:color w:val="auto"/>
          <w:sz w:val="16"/>
          <w:szCs w:val="16"/>
        </w:rPr>
        <w:footnoteRef/>
      </w:r>
      <w:r w:rsidRPr="00A27D70">
        <w:rPr>
          <w:color w:val="auto"/>
          <w:sz w:val="16"/>
          <w:szCs w:val="16"/>
        </w:rPr>
        <w:t xml:space="preserve"> </w:t>
      </w:r>
      <w:r w:rsidRPr="00A27D70">
        <w:rPr>
          <w:color w:val="auto"/>
          <w:sz w:val="16"/>
          <w:szCs w:val="16"/>
          <w:lang w:val="en-AU"/>
        </w:rPr>
        <w:t xml:space="preserve">Office of Development Effectiveness, </w:t>
      </w:r>
      <w:r w:rsidRPr="00A27D70">
        <w:rPr>
          <w:i/>
          <w:color w:val="auto"/>
          <w:sz w:val="16"/>
          <w:szCs w:val="16"/>
          <w:lang w:val="en-AU"/>
        </w:rPr>
        <w:t>Building Women’s Leadership: the Contribution of Australia Awards Scholarships</w:t>
      </w:r>
      <w:r w:rsidRPr="00A27D70">
        <w:rPr>
          <w:color w:val="auto"/>
          <w:sz w:val="16"/>
          <w:szCs w:val="16"/>
          <w:lang w:val="en-AU"/>
        </w:rPr>
        <w:t>, December 2015</w:t>
      </w:r>
    </w:p>
  </w:footnote>
  <w:footnote w:id="9">
    <w:p w14:paraId="3C67DB90" w14:textId="59142958" w:rsidR="00CF7F86" w:rsidRPr="00372EB8" w:rsidRDefault="00CF7F86">
      <w:pPr>
        <w:pStyle w:val="FootnoteText"/>
        <w:rPr>
          <w:sz w:val="16"/>
          <w:szCs w:val="16"/>
          <w:lang w:val="en-AU"/>
        </w:rPr>
      </w:pPr>
      <w:r w:rsidRPr="00372EB8">
        <w:rPr>
          <w:rStyle w:val="FootnoteReference"/>
          <w:color w:val="auto"/>
          <w:sz w:val="16"/>
          <w:szCs w:val="16"/>
        </w:rPr>
        <w:footnoteRef/>
      </w:r>
      <w:r w:rsidRPr="00372EB8">
        <w:rPr>
          <w:color w:val="auto"/>
          <w:sz w:val="16"/>
          <w:szCs w:val="16"/>
        </w:rPr>
        <w:t xml:space="preserve"> </w:t>
      </w:r>
      <w:r>
        <w:rPr>
          <w:color w:val="auto"/>
          <w:sz w:val="16"/>
          <w:szCs w:val="16"/>
        </w:rPr>
        <w:t>Ibid.</w:t>
      </w:r>
    </w:p>
  </w:footnote>
  <w:footnote w:id="10">
    <w:p w14:paraId="7271C393" w14:textId="021D0D65" w:rsidR="00CF7F86" w:rsidRPr="00FE5C00" w:rsidRDefault="00CF7F86">
      <w:pPr>
        <w:pStyle w:val="FootnoteText"/>
        <w:rPr>
          <w:sz w:val="16"/>
          <w:szCs w:val="16"/>
          <w:lang w:val="en-AU"/>
        </w:rPr>
      </w:pPr>
      <w:r w:rsidRPr="00FE5C00">
        <w:rPr>
          <w:rStyle w:val="FootnoteReference"/>
          <w:color w:val="auto"/>
          <w:sz w:val="16"/>
          <w:szCs w:val="16"/>
        </w:rPr>
        <w:footnoteRef/>
      </w:r>
      <w:r w:rsidRPr="00FE5C00">
        <w:rPr>
          <w:color w:val="auto"/>
          <w:sz w:val="16"/>
          <w:szCs w:val="16"/>
        </w:rPr>
        <w:t xml:space="preserve"> </w:t>
      </w:r>
      <w:r w:rsidRPr="00FE5C00">
        <w:rPr>
          <w:color w:val="auto"/>
          <w:sz w:val="16"/>
          <w:szCs w:val="16"/>
          <w:lang w:val="en-AU"/>
        </w:rPr>
        <w:t>Ibid.</w:t>
      </w:r>
      <w:r>
        <w:rPr>
          <w:color w:val="auto"/>
          <w:sz w:val="16"/>
          <w:szCs w:val="16"/>
          <w:lang w:val="en-AU"/>
        </w:rPr>
        <w:t xml:space="preserve"> Note, in this context in Vanuatu, the evaluation recommends a stronger focus on scholarships compared to other types of awards and supplementary activities and a more explicit focus on women’s leadership.</w:t>
      </w:r>
    </w:p>
  </w:footnote>
  <w:footnote w:id="11">
    <w:p w14:paraId="280B8CA2" w14:textId="4607A412" w:rsidR="00CF7F86" w:rsidRPr="00D771FC" w:rsidRDefault="00CF7F86">
      <w:pPr>
        <w:pStyle w:val="FootnoteText"/>
        <w:rPr>
          <w:sz w:val="16"/>
          <w:szCs w:val="16"/>
          <w:lang w:val="en-AU"/>
        </w:rPr>
      </w:pPr>
      <w:r w:rsidRPr="00D771FC">
        <w:rPr>
          <w:rStyle w:val="FootnoteReference"/>
          <w:color w:val="auto"/>
          <w:sz w:val="16"/>
          <w:szCs w:val="16"/>
        </w:rPr>
        <w:footnoteRef/>
      </w:r>
      <w:r w:rsidRPr="00D771FC">
        <w:rPr>
          <w:color w:val="auto"/>
          <w:sz w:val="16"/>
          <w:szCs w:val="16"/>
        </w:rPr>
        <w:t xml:space="preserve"> </w:t>
      </w:r>
      <w:r>
        <w:rPr>
          <w:color w:val="auto"/>
          <w:sz w:val="16"/>
          <w:szCs w:val="16"/>
          <w:lang w:val="en-AU"/>
        </w:rPr>
        <w:t>Ibid.</w:t>
      </w:r>
    </w:p>
  </w:footnote>
  <w:footnote w:id="12">
    <w:p w14:paraId="7405612A" w14:textId="6688D2DE" w:rsidR="00CF7F86" w:rsidRPr="00D771FC" w:rsidRDefault="00CF7F86">
      <w:pPr>
        <w:pStyle w:val="FootnoteText"/>
        <w:rPr>
          <w:sz w:val="16"/>
          <w:szCs w:val="16"/>
          <w:lang w:val="en-AU"/>
        </w:rPr>
      </w:pPr>
      <w:r w:rsidRPr="00D771FC">
        <w:rPr>
          <w:rStyle w:val="FootnoteReference"/>
          <w:color w:val="auto"/>
          <w:sz w:val="16"/>
          <w:szCs w:val="16"/>
        </w:rPr>
        <w:footnoteRef/>
      </w:r>
      <w:r w:rsidRPr="00D771FC">
        <w:rPr>
          <w:color w:val="auto"/>
          <w:sz w:val="16"/>
          <w:szCs w:val="16"/>
        </w:rPr>
        <w:t xml:space="preserve"> Ibid.</w:t>
      </w:r>
      <w:r>
        <w:rPr>
          <w:color w:val="auto"/>
          <w:sz w:val="16"/>
          <w:szCs w:val="16"/>
        </w:rPr>
        <w:t xml:space="preserve"> The evaluation also noted that men faced difficulties maintaining more progressive attitudes and behaviours to support women after they return home.</w:t>
      </w:r>
    </w:p>
  </w:footnote>
  <w:footnote w:id="13">
    <w:p w14:paraId="4C6EA196" w14:textId="36F7C788" w:rsidR="00CF7F86" w:rsidRPr="00342586" w:rsidRDefault="00CF7F86">
      <w:pPr>
        <w:pStyle w:val="FootnoteText"/>
        <w:rPr>
          <w:sz w:val="16"/>
          <w:szCs w:val="16"/>
          <w:lang w:val="en-AU"/>
        </w:rPr>
      </w:pPr>
      <w:r w:rsidRPr="00342586">
        <w:rPr>
          <w:rStyle w:val="FootnoteReference"/>
          <w:color w:val="auto"/>
          <w:sz w:val="16"/>
          <w:szCs w:val="16"/>
        </w:rPr>
        <w:footnoteRef/>
      </w:r>
      <w:r w:rsidRPr="00342586">
        <w:rPr>
          <w:color w:val="auto"/>
          <w:sz w:val="16"/>
          <w:szCs w:val="16"/>
        </w:rPr>
        <w:t xml:space="preserve"> </w:t>
      </w:r>
      <w:r w:rsidRPr="00342586">
        <w:rPr>
          <w:color w:val="auto"/>
          <w:sz w:val="16"/>
          <w:szCs w:val="16"/>
          <w:lang w:val="en-AU"/>
        </w:rPr>
        <w:t xml:space="preserve">As per </w:t>
      </w:r>
      <w:r>
        <w:rPr>
          <w:color w:val="auto"/>
          <w:sz w:val="16"/>
          <w:szCs w:val="16"/>
          <w:lang w:val="en-AU"/>
        </w:rPr>
        <w:t xml:space="preserve">evaluation </w:t>
      </w:r>
      <w:r w:rsidRPr="00342586">
        <w:rPr>
          <w:color w:val="auto"/>
          <w:sz w:val="16"/>
          <w:szCs w:val="16"/>
          <w:lang w:val="en-AU"/>
        </w:rPr>
        <w:t>recomm</w:t>
      </w:r>
      <w:r>
        <w:rPr>
          <w:color w:val="auto"/>
          <w:sz w:val="16"/>
          <w:szCs w:val="16"/>
          <w:lang w:val="en-AU"/>
        </w:rPr>
        <w:t>endation (Note 7).</w:t>
      </w:r>
    </w:p>
  </w:footnote>
  <w:footnote w:id="14">
    <w:p w14:paraId="19805BD9" w14:textId="630BD337" w:rsidR="00CF7F86" w:rsidRPr="00C76BE5" w:rsidRDefault="00CF7F86">
      <w:pPr>
        <w:pStyle w:val="FootnoteText"/>
        <w:rPr>
          <w:sz w:val="16"/>
          <w:szCs w:val="16"/>
          <w:lang w:val="en-AU"/>
        </w:rPr>
      </w:pPr>
      <w:r w:rsidRPr="00C76BE5">
        <w:rPr>
          <w:rStyle w:val="FootnoteReference"/>
          <w:color w:val="auto"/>
          <w:sz w:val="16"/>
          <w:szCs w:val="16"/>
        </w:rPr>
        <w:footnoteRef/>
      </w:r>
      <w:r w:rsidRPr="00C76BE5">
        <w:rPr>
          <w:color w:val="auto"/>
          <w:sz w:val="16"/>
          <w:szCs w:val="16"/>
        </w:rPr>
        <w:t xml:space="preserve"> </w:t>
      </w:r>
      <w:r>
        <w:rPr>
          <w:color w:val="auto"/>
          <w:sz w:val="16"/>
          <w:szCs w:val="16"/>
          <w:lang w:val="en-AU"/>
        </w:rPr>
        <w:t xml:space="preserve">While </w:t>
      </w:r>
      <w:r w:rsidRPr="00C76BE5">
        <w:rPr>
          <w:color w:val="auto"/>
          <w:sz w:val="16"/>
          <w:szCs w:val="16"/>
          <w:lang w:val="en-AU"/>
        </w:rPr>
        <w:t xml:space="preserve">NCP is not a part of Australia Awards, and therefore not a part of the program logic outlined here, </w:t>
      </w:r>
      <w:r>
        <w:rPr>
          <w:color w:val="auto"/>
          <w:sz w:val="16"/>
          <w:szCs w:val="16"/>
          <w:lang w:val="en-AU"/>
        </w:rPr>
        <w:t>the managing contractor will be required to</w:t>
      </w:r>
      <w:r w:rsidRPr="00C76BE5">
        <w:rPr>
          <w:color w:val="auto"/>
          <w:sz w:val="16"/>
          <w:szCs w:val="16"/>
          <w:lang w:val="en-AU"/>
        </w:rPr>
        <w:t xml:space="preserve"> provide minimal administrative support for NCP operations in Vanuatu.</w:t>
      </w:r>
    </w:p>
  </w:footnote>
  <w:footnote w:id="15">
    <w:p w14:paraId="5527F55A" w14:textId="22B0616C" w:rsidR="00CF7F86" w:rsidRPr="0034258F" w:rsidRDefault="00CF7F86">
      <w:pPr>
        <w:pStyle w:val="FootnoteText"/>
        <w:rPr>
          <w:sz w:val="18"/>
          <w:szCs w:val="18"/>
          <w:lang w:val="en-AU"/>
        </w:rPr>
      </w:pPr>
      <w:r w:rsidRPr="0034258F">
        <w:rPr>
          <w:rStyle w:val="FootnoteReference"/>
          <w:sz w:val="18"/>
          <w:szCs w:val="18"/>
        </w:rPr>
        <w:footnoteRef/>
      </w:r>
      <w:r w:rsidRPr="0034258F">
        <w:rPr>
          <w:sz w:val="18"/>
          <w:szCs w:val="18"/>
        </w:rPr>
        <w:t xml:space="preserve"> </w:t>
      </w:r>
      <w:r w:rsidRPr="0034258F">
        <w:rPr>
          <w:sz w:val="18"/>
          <w:szCs w:val="18"/>
          <w:lang w:val="en-AU"/>
        </w:rPr>
        <w:t xml:space="preserve">As per the </w:t>
      </w:r>
      <w:r>
        <w:rPr>
          <w:sz w:val="18"/>
          <w:szCs w:val="18"/>
          <w:lang w:val="en-AU"/>
        </w:rPr>
        <w:t xml:space="preserve">Global Alumni Engagement Strategy, all Australian alumni (scholarship and fee-paying) should be included in alumni databases and engagement activities. </w:t>
      </w:r>
      <w:hyperlink r:id="rId2" w:history="1">
        <w:r w:rsidRPr="00C57541">
          <w:rPr>
            <w:rStyle w:val="Hyperlink"/>
            <w:rFonts w:cstheme="minorBidi"/>
            <w:sz w:val="18"/>
            <w:szCs w:val="18"/>
            <w:lang w:val="en-AU"/>
          </w:rPr>
          <w:t>http://dfat.gov.au/about-us/publications/Pages/australia-global-alumni-engagement-strategy-2016-2020.aspx</w:t>
        </w:r>
      </w:hyperlink>
      <w:r>
        <w:rPr>
          <w:sz w:val="18"/>
          <w:szCs w:val="18"/>
          <w:lang w:val="en-AU"/>
        </w:rPr>
        <w:t xml:space="preserve"> (Accessed March 2018)</w:t>
      </w:r>
    </w:p>
  </w:footnote>
  <w:footnote w:id="16">
    <w:p w14:paraId="400EB5A0" w14:textId="77777777" w:rsidR="00CF7F86" w:rsidRPr="00BF62F4" w:rsidRDefault="00CF7F86" w:rsidP="00BF62F4">
      <w:pPr>
        <w:pStyle w:val="FootnoteText"/>
        <w:rPr>
          <w:lang w:val="en-AU"/>
        </w:rPr>
      </w:pPr>
      <w:r w:rsidRPr="00BF62F4">
        <w:rPr>
          <w:rStyle w:val="FootnoteReference"/>
          <w:color w:val="auto"/>
          <w:sz w:val="16"/>
        </w:rPr>
        <w:footnoteRef/>
      </w:r>
      <w:r w:rsidRPr="00BF62F4">
        <w:rPr>
          <w:color w:val="auto"/>
          <w:sz w:val="16"/>
        </w:rPr>
        <w:t xml:space="preserve"> </w:t>
      </w:r>
      <w:r>
        <w:rPr>
          <w:color w:val="auto"/>
          <w:sz w:val="16"/>
        </w:rPr>
        <w:t xml:space="preserve">Population and Housing Census 2009, </w:t>
      </w:r>
      <w:r w:rsidRPr="00BF62F4">
        <w:rPr>
          <w:color w:val="auto"/>
          <w:sz w:val="16"/>
          <w:lang w:val="en-AU"/>
        </w:rPr>
        <w:t>V</w:t>
      </w:r>
      <w:r>
        <w:rPr>
          <w:color w:val="auto"/>
          <w:sz w:val="16"/>
          <w:lang w:val="en-AU"/>
        </w:rPr>
        <w:t xml:space="preserve">anuatu </w:t>
      </w:r>
      <w:r w:rsidRPr="00BF62F4">
        <w:rPr>
          <w:color w:val="auto"/>
          <w:sz w:val="16"/>
          <w:lang w:val="en-AU"/>
        </w:rPr>
        <w:t>N</w:t>
      </w:r>
      <w:r>
        <w:rPr>
          <w:color w:val="auto"/>
          <w:sz w:val="16"/>
          <w:lang w:val="en-AU"/>
        </w:rPr>
        <w:t xml:space="preserve">ational </w:t>
      </w:r>
      <w:r w:rsidRPr="00BF62F4">
        <w:rPr>
          <w:color w:val="auto"/>
          <w:sz w:val="16"/>
          <w:lang w:val="en-AU"/>
        </w:rPr>
        <w:t>S</w:t>
      </w:r>
      <w:r>
        <w:rPr>
          <w:color w:val="auto"/>
          <w:sz w:val="16"/>
          <w:lang w:val="en-AU"/>
        </w:rPr>
        <w:t xml:space="preserve">tatistics </w:t>
      </w:r>
      <w:r w:rsidRPr="00BF62F4">
        <w:rPr>
          <w:color w:val="auto"/>
          <w:sz w:val="16"/>
          <w:lang w:val="en-AU"/>
        </w:rPr>
        <w:t>O</w:t>
      </w:r>
      <w:r>
        <w:rPr>
          <w:color w:val="auto"/>
          <w:sz w:val="16"/>
          <w:lang w:val="en-AU"/>
        </w:rPr>
        <w:t>ffice</w:t>
      </w:r>
      <w:r w:rsidRPr="00BF62F4">
        <w:rPr>
          <w:color w:val="auto"/>
          <w:sz w:val="16"/>
          <w:lang w:val="en-AU"/>
        </w:rPr>
        <w:t xml:space="preserve"> </w:t>
      </w:r>
      <w:hyperlink r:id="rId3" w:history="1">
        <w:r w:rsidRPr="00BF62F4">
          <w:rPr>
            <w:rStyle w:val="Hyperlink"/>
            <w:rFonts w:cstheme="minorBidi"/>
            <w:sz w:val="16"/>
            <w:lang w:val="en-AU"/>
          </w:rPr>
          <w:t>https://vnso.gov.vu</w:t>
        </w:r>
      </w:hyperlink>
    </w:p>
  </w:footnote>
  <w:footnote w:id="17">
    <w:p w14:paraId="0F5A9C3C" w14:textId="77777777" w:rsidR="00CF7F86" w:rsidRPr="00BF62F4" w:rsidRDefault="00CF7F86" w:rsidP="00BF62F4">
      <w:pPr>
        <w:pStyle w:val="FootnoteText"/>
        <w:rPr>
          <w:color w:val="auto"/>
          <w:sz w:val="16"/>
          <w:szCs w:val="16"/>
        </w:rPr>
      </w:pPr>
      <w:r w:rsidRPr="00BF62F4">
        <w:rPr>
          <w:rStyle w:val="FootnoteReference"/>
          <w:color w:val="auto"/>
          <w:sz w:val="16"/>
          <w:szCs w:val="16"/>
        </w:rPr>
        <w:footnoteRef/>
      </w:r>
      <w:r w:rsidRPr="00BF62F4">
        <w:rPr>
          <w:color w:val="auto"/>
          <w:sz w:val="16"/>
          <w:szCs w:val="16"/>
        </w:rPr>
        <w:t xml:space="preserve"> Vanuatu Hardship and Poverty Report 2010, Vanuatu National Statistics Office, </w:t>
      </w:r>
      <w:hyperlink r:id="rId4" w:history="1">
        <w:r w:rsidRPr="00C50EB0">
          <w:rPr>
            <w:rStyle w:val="Hyperlink"/>
            <w:rFonts w:cstheme="minorBidi"/>
            <w:sz w:val="16"/>
            <w:szCs w:val="16"/>
          </w:rPr>
          <w:t>https://vnso.gov.vu</w:t>
        </w:r>
      </w:hyperlink>
    </w:p>
  </w:footnote>
  <w:footnote w:id="18">
    <w:p w14:paraId="5B93463E" w14:textId="77777777" w:rsidR="00CF7F86" w:rsidRPr="00285483" w:rsidRDefault="00CF7F86" w:rsidP="00EC0AF2">
      <w:pPr>
        <w:pStyle w:val="FootnoteText"/>
        <w:rPr>
          <w:color w:val="auto"/>
          <w:sz w:val="16"/>
          <w:lang w:val="en-AU"/>
        </w:rPr>
      </w:pPr>
      <w:r w:rsidRPr="00285483">
        <w:rPr>
          <w:rStyle w:val="FootnoteReference"/>
          <w:color w:val="auto"/>
          <w:sz w:val="16"/>
        </w:rPr>
        <w:footnoteRef/>
      </w:r>
      <w:r w:rsidRPr="00285483">
        <w:rPr>
          <w:color w:val="auto"/>
          <w:sz w:val="16"/>
        </w:rPr>
        <w:t xml:space="preserve"> </w:t>
      </w:r>
      <w:r>
        <w:rPr>
          <w:color w:val="auto"/>
          <w:sz w:val="16"/>
        </w:rPr>
        <w:t>Assessment criteria will align with the Australia Awards Assessment and Selection Guide</w:t>
      </w:r>
    </w:p>
  </w:footnote>
  <w:footnote w:id="19">
    <w:p w14:paraId="3BFA9656" w14:textId="77777777" w:rsidR="00CF7F86" w:rsidRPr="00B32139" w:rsidRDefault="00CF7F86" w:rsidP="00EC0AF2">
      <w:pPr>
        <w:pStyle w:val="FootnoteText"/>
        <w:rPr>
          <w:lang w:val="en-AU"/>
        </w:rPr>
      </w:pPr>
      <w:r w:rsidRPr="00B32139">
        <w:rPr>
          <w:rStyle w:val="FootnoteReference"/>
          <w:color w:val="auto"/>
          <w:sz w:val="16"/>
        </w:rPr>
        <w:footnoteRef/>
      </w:r>
      <w:r w:rsidRPr="00B32139">
        <w:rPr>
          <w:color w:val="auto"/>
          <w:sz w:val="16"/>
        </w:rPr>
        <w:t xml:space="preserve"> </w:t>
      </w:r>
      <w:r w:rsidRPr="00B32139">
        <w:rPr>
          <w:color w:val="auto"/>
          <w:sz w:val="16"/>
          <w:lang w:val="en-AU"/>
        </w:rPr>
        <w:t>in accordance with the Principles and Procedures for Disability Support – Australia Awards Scholarships</w:t>
      </w:r>
    </w:p>
  </w:footnote>
  <w:footnote w:id="20">
    <w:p w14:paraId="1766249B" w14:textId="77777777" w:rsidR="00CF7F86" w:rsidRPr="00342586" w:rsidRDefault="00CF7F86" w:rsidP="00EC0AF2">
      <w:pPr>
        <w:pStyle w:val="FootnoteText"/>
        <w:rPr>
          <w:sz w:val="16"/>
          <w:szCs w:val="16"/>
          <w:lang w:val="en-AU"/>
        </w:rPr>
      </w:pPr>
      <w:r w:rsidRPr="00342586">
        <w:rPr>
          <w:rStyle w:val="FootnoteReference"/>
          <w:color w:val="auto"/>
          <w:sz w:val="16"/>
          <w:szCs w:val="16"/>
        </w:rPr>
        <w:footnoteRef/>
      </w:r>
      <w:r w:rsidRPr="00342586">
        <w:rPr>
          <w:color w:val="auto"/>
          <w:sz w:val="16"/>
          <w:szCs w:val="16"/>
        </w:rPr>
        <w:t xml:space="preserve"> </w:t>
      </w:r>
      <w:r w:rsidRPr="00342586">
        <w:rPr>
          <w:color w:val="auto"/>
          <w:sz w:val="16"/>
          <w:szCs w:val="16"/>
          <w:lang w:val="en-AU"/>
        </w:rPr>
        <w:t xml:space="preserve">As per </w:t>
      </w:r>
      <w:r>
        <w:rPr>
          <w:color w:val="auto"/>
          <w:sz w:val="16"/>
          <w:szCs w:val="16"/>
          <w:lang w:val="en-AU"/>
        </w:rPr>
        <w:t xml:space="preserve">evaluation </w:t>
      </w:r>
      <w:r w:rsidRPr="00342586">
        <w:rPr>
          <w:color w:val="auto"/>
          <w:sz w:val="16"/>
          <w:szCs w:val="16"/>
          <w:lang w:val="en-AU"/>
        </w:rPr>
        <w:t>recomm</w:t>
      </w:r>
      <w:r>
        <w:rPr>
          <w:color w:val="auto"/>
          <w:sz w:val="16"/>
          <w:szCs w:val="16"/>
          <w:lang w:val="en-AU"/>
        </w:rPr>
        <w:t>endation (Note 7).</w:t>
      </w:r>
    </w:p>
  </w:footnote>
  <w:footnote w:id="21">
    <w:p w14:paraId="44970D19" w14:textId="77777777" w:rsidR="00CF7F86" w:rsidRPr="00823C5F" w:rsidRDefault="00CF7F86" w:rsidP="00EC0AF2">
      <w:pPr>
        <w:pStyle w:val="FootnoteText"/>
        <w:rPr>
          <w:sz w:val="16"/>
          <w:szCs w:val="16"/>
          <w:lang w:val="en-AU"/>
        </w:rPr>
      </w:pPr>
      <w:r w:rsidRPr="00823C5F">
        <w:rPr>
          <w:rStyle w:val="FootnoteReference"/>
          <w:color w:val="auto"/>
          <w:sz w:val="16"/>
          <w:szCs w:val="16"/>
        </w:rPr>
        <w:footnoteRef/>
      </w:r>
      <w:r w:rsidRPr="00823C5F">
        <w:rPr>
          <w:color w:val="auto"/>
          <w:sz w:val="16"/>
          <w:szCs w:val="16"/>
        </w:rPr>
        <w:t xml:space="preserve"> </w:t>
      </w:r>
      <w:r w:rsidRPr="00823C5F">
        <w:rPr>
          <w:color w:val="auto"/>
          <w:sz w:val="16"/>
          <w:szCs w:val="16"/>
          <w:lang w:val="en-AU"/>
        </w:rPr>
        <w:t>The Australian High Commission will develop an Alumni Engagement Strategy to inform future phase</w:t>
      </w:r>
      <w:r>
        <w:rPr>
          <w:color w:val="auto"/>
          <w:sz w:val="16"/>
          <w:szCs w:val="16"/>
          <w:lang w:val="en-AU"/>
        </w:rPr>
        <w:t>s</w:t>
      </w:r>
      <w:r w:rsidRPr="00823C5F">
        <w:rPr>
          <w:color w:val="auto"/>
          <w:sz w:val="16"/>
          <w:szCs w:val="16"/>
          <w:lang w:val="en-AU"/>
        </w:rPr>
        <w:t xml:space="preserve"> of Australia Awards in Vanuatu</w:t>
      </w:r>
    </w:p>
  </w:footnote>
  <w:footnote w:id="22">
    <w:p w14:paraId="71DE5A29" w14:textId="77777777" w:rsidR="00CF7F86" w:rsidRPr="0034258F" w:rsidRDefault="00CF7F86" w:rsidP="00EC0AF2">
      <w:pPr>
        <w:pStyle w:val="FootnoteText"/>
        <w:rPr>
          <w:sz w:val="18"/>
          <w:szCs w:val="18"/>
          <w:lang w:val="en-AU"/>
        </w:rPr>
      </w:pPr>
      <w:r w:rsidRPr="0034258F">
        <w:rPr>
          <w:rStyle w:val="FootnoteReference"/>
          <w:color w:val="auto"/>
          <w:sz w:val="18"/>
          <w:szCs w:val="18"/>
        </w:rPr>
        <w:footnoteRef/>
      </w:r>
      <w:r w:rsidRPr="0034258F">
        <w:rPr>
          <w:color w:val="auto"/>
          <w:sz w:val="18"/>
          <w:szCs w:val="18"/>
        </w:rPr>
        <w:t xml:space="preserve"> </w:t>
      </w:r>
      <w:r w:rsidRPr="0034258F">
        <w:rPr>
          <w:color w:val="auto"/>
          <w:sz w:val="18"/>
          <w:szCs w:val="18"/>
          <w:lang w:val="en-AU"/>
        </w:rPr>
        <w:t>Note, Reintegration Plans will need to prioritise employer engagement and building women’s leadership, as per evaluation recommendation (Note 7).</w:t>
      </w:r>
    </w:p>
  </w:footnote>
  <w:footnote w:id="23">
    <w:p w14:paraId="25E570F0" w14:textId="5EEEDFCB" w:rsidR="00CF7F86" w:rsidRPr="00F23FDC" w:rsidRDefault="00CF7F86">
      <w:pPr>
        <w:pStyle w:val="FootnoteText"/>
        <w:rPr>
          <w:lang w:val="en-AU"/>
        </w:rPr>
      </w:pPr>
      <w:r w:rsidRPr="0034258F">
        <w:rPr>
          <w:rStyle w:val="FootnoteReference"/>
          <w:sz w:val="18"/>
          <w:szCs w:val="18"/>
        </w:rPr>
        <w:footnoteRef/>
      </w:r>
      <w:r w:rsidRPr="0034258F">
        <w:rPr>
          <w:sz w:val="18"/>
          <w:szCs w:val="18"/>
        </w:rPr>
        <w:t xml:space="preserve"> https://globalalumni.gov.au/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54CBF" w14:textId="77777777" w:rsidR="004F0831" w:rsidRDefault="004F0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EAC7" w14:textId="77777777" w:rsidR="004F0831" w:rsidRDefault="004F0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786C" w14:textId="77777777" w:rsidR="004F0831" w:rsidRDefault="004F0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EF66B93A"/>
    <w:lvl w:ilvl="0">
      <w:numFmt w:val="decimal"/>
      <w:pStyle w:val="MASPACRHeading2"/>
      <w:lvlText w:val=""/>
      <w:lvlJc w:val="left"/>
    </w:lvl>
    <w:lvl w:ilvl="1">
      <w:numFmt w:val="decimal"/>
      <w:pStyle w:val="MASPACRHeading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223D5"/>
    <w:multiLevelType w:val="hybridMultilevel"/>
    <w:tmpl w:val="23F25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442F41"/>
    <w:multiLevelType w:val="multilevel"/>
    <w:tmpl w:val="063EED6A"/>
    <w:styleLink w:val="Bullets"/>
    <w:lvl w:ilvl="0">
      <w:start w:val="1"/>
      <w:numFmt w:val="bullet"/>
      <w:pStyle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D7156B"/>
    <w:multiLevelType w:val="hybridMultilevel"/>
    <w:tmpl w:val="CE1A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6617A1"/>
    <w:multiLevelType w:val="hybridMultilevel"/>
    <w:tmpl w:val="5F9428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7C16CC"/>
    <w:multiLevelType w:val="hybridMultilevel"/>
    <w:tmpl w:val="2B4091EA"/>
    <w:lvl w:ilvl="0" w:tplc="1FF2E688">
      <w:start w:val="1"/>
      <w:numFmt w:val="decimal"/>
      <w:pStyle w:val="GLHeading1"/>
      <w:lvlText w:val="%1."/>
      <w:lvlJc w:val="left"/>
      <w:pPr>
        <w:ind w:left="720" w:hanging="360"/>
      </w:pPr>
      <w:rPr>
        <w:rFonts w:ascii="Calibri" w:hAnsi="Calibri" w:hint="default"/>
        <w:b/>
        <w:i w:val="0"/>
        <w:caps/>
        <w:color w:val="000066"/>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B3487"/>
    <w:multiLevelType w:val="hybridMultilevel"/>
    <w:tmpl w:val="94CE3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D26B9B"/>
    <w:multiLevelType w:val="hybridMultilevel"/>
    <w:tmpl w:val="D7E4B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17B4320"/>
    <w:multiLevelType w:val="multilevel"/>
    <w:tmpl w:val="2730D1B4"/>
    <w:styleLink w:val="NumberedList0"/>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2" w15:restartNumberingAfterBreak="0">
    <w:nsid w:val="177B7DD8"/>
    <w:multiLevelType w:val="hybridMultilevel"/>
    <w:tmpl w:val="3EA6F6DE"/>
    <w:lvl w:ilvl="0" w:tplc="0409000F">
      <w:start w:val="1"/>
      <w:numFmt w:val="lowerLetter"/>
      <w:pStyle w:val="TableListNumber2"/>
      <w:lvlText w:val="%1."/>
      <w:lvlJc w:val="left"/>
      <w:pPr>
        <w:tabs>
          <w:tab w:val="num" w:pos="454"/>
        </w:tabs>
        <w:ind w:left="454"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907096"/>
    <w:multiLevelType w:val="hybridMultilevel"/>
    <w:tmpl w:val="3E2A58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D80581"/>
    <w:multiLevelType w:val="hybridMultilevel"/>
    <w:tmpl w:val="8BF488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10BC0"/>
    <w:multiLevelType w:val="hybridMultilevel"/>
    <w:tmpl w:val="10E6CD0E"/>
    <w:lvl w:ilvl="0" w:tplc="4BB84A32">
      <w:start w:val="1"/>
      <w:numFmt w:val="bullet"/>
      <w:pStyle w:val="bullets0"/>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Symbo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Symbol"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7" w15:restartNumberingAfterBreak="0">
    <w:nsid w:val="25264A5A"/>
    <w:multiLevelType w:val="hybridMultilevel"/>
    <w:tmpl w:val="2B500D9A"/>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C090003">
      <w:start w:val="1"/>
      <w:numFmt w:val="bullet"/>
      <w:lvlText w:val="o"/>
      <w:lvlJc w:val="left"/>
      <w:pPr>
        <w:tabs>
          <w:tab w:val="num" w:pos="1724"/>
        </w:tabs>
        <w:ind w:left="1724" w:hanging="360"/>
      </w:pPr>
      <w:rPr>
        <w:rFonts w:ascii="Courier New" w:hAnsi="Courier New" w:cs="Symbo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5B6619A"/>
    <w:multiLevelType w:val="hybridMultilevel"/>
    <w:tmpl w:val="1D6AE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Time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Time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Times"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B3665E9"/>
    <w:multiLevelType w:val="hybridMultilevel"/>
    <w:tmpl w:val="50289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C8B05B7"/>
    <w:multiLevelType w:val="hybridMultilevel"/>
    <w:tmpl w:val="B00E7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BD11B4"/>
    <w:multiLevelType w:val="multilevel"/>
    <w:tmpl w:val="B9B0373C"/>
    <w:lvl w:ilvl="0">
      <w:start w:val="1"/>
      <w:numFmt w:val="decimal"/>
      <w:pStyle w:val="List-number-2"/>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FE35935"/>
    <w:multiLevelType w:val="hybridMultilevel"/>
    <w:tmpl w:val="19C85540"/>
    <w:lvl w:ilvl="0" w:tplc="00BC62DC">
      <w:start w:val="1"/>
      <w:numFmt w:val="bullet"/>
      <w:pStyle w:val="ColorfulList-Accent11"/>
      <w:lvlText w:val=""/>
      <w:lvlJc w:val="left"/>
      <w:pPr>
        <w:ind w:left="360" w:hanging="360"/>
      </w:pPr>
      <w:rPr>
        <w:rFonts w:ascii="Symbol" w:hAnsi="Symbol" w:hint="default"/>
      </w:rPr>
    </w:lvl>
    <w:lvl w:ilvl="1" w:tplc="31027EF8">
      <w:start w:val="1"/>
      <w:numFmt w:val="bullet"/>
      <w:lvlText w:val="o"/>
      <w:lvlJc w:val="left"/>
      <w:pPr>
        <w:ind w:left="1080" w:hanging="360"/>
      </w:pPr>
      <w:rPr>
        <w:rFonts w:ascii="Courier New" w:hAnsi="Courier New" w:hint="default"/>
      </w:rPr>
    </w:lvl>
    <w:lvl w:ilvl="2" w:tplc="7AB28F60" w:tentative="1">
      <w:start w:val="1"/>
      <w:numFmt w:val="bullet"/>
      <w:lvlText w:val=""/>
      <w:lvlJc w:val="left"/>
      <w:pPr>
        <w:ind w:left="1800" w:hanging="360"/>
      </w:pPr>
      <w:rPr>
        <w:rFonts w:ascii="Wingdings" w:hAnsi="Wingdings" w:hint="default"/>
      </w:rPr>
    </w:lvl>
    <w:lvl w:ilvl="3" w:tplc="FBE8B950" w:tentative="1">
      <w:start w:val="1"/>
      <w:numFmt w:val="bullet"/>
      <w:lvlText w:val=""/>
      <w:lvlJc w:val="left"/>
      <w:pPr>
        <w:ind w:left="2520" w:hanging="360"/>
      </w:pPr>
      <w:rPr>
        <w:rFonts w:ascii="Symbol" w:hAnsi="Symbol" w:hint="default"/>
      </w:rPr>
    </w:lvl>
    <w:lvl w:ilvl="4" w:tplc="B7F4AF94" w:tentative="1">
      <w:start w:val="1"/>
      <w:numFmt w:val="bullet"/>
      <w:lvlText w:val="o"/>
      <w:lvlJc w:val="left"/>
      <w:pPr>
        <w:ind w:left="3240" w:hanging="360"/>
      </w:pPr>
      <w:rPr>
        <w:rFonts w:ascii="Courier New" w:hAnsi="Courier New" w:hint="default"/>
      </w:rPr>
    </w:lvl>
    <w:lvl w:ilvl="5" w:tplc="478EA142" w:tentative="1">
      <w:start w:val="1"/>
      <w:numFmt w:val="bullet"/>
      <w:lvlText w:val=""/>
      <w:lvlJc w:val="left"/>
      <w:pPr>
        <w:ind w:left="3960" w:hanging="360"/>
      </w:pPr>
      <w:rPr>
        <w:rFonts w:ascii="Wingdings" w:hAnsi="Wingdings" w:hint="default"/>
      </w:rPr>
    </w:lvl>
    <w:lvl w:ilvl="6" w:tplc="D3BC7D92" w:tentative="1">
      <w:start w:val="1"/>
      <w:numFmt w:val="bullet"/>
      <w:lvlText w:val=""/>
      <w:lvlJc w:val="left"/>
      <w:pPr>
        <w:ind w:left="4680" w:hanging="360"/>
      </w:pPr>
      <w:rPr>
        <w:rFonts w:ascii="Symbol" w:hAnsi="Symbol" w:hint="default"/>
      </w:rPr>
    </w:lvl>
    <w:lvl w:ilvl="7" w:tplc="E960A340" w:tentative="1">
      <w:start w:val="1"/>
      <w:numFmt w:val="bullet"/>
      <w:lvlText w:val="o"/>
      <w:lvlJc w:val="left"/>
      <w:pPr>
        <w:ind w:left="5400" w:hanging="360"/>
      </w:pPr>
      <w:rPr>
        <w:rFonts w:ascii="Courier New" w:hAnsi="Courier New" w:hint="default"/>
      </w:rPr>
    </w:lvl>
    <w:lvl w:ilvl="8" w:tplc="4B86A186" w:tentative="1">
      <w:start w:val="1"/>
      <w:numFmt w:val="bullet"/>
      <w:lvlText w:val=""/>
      <w:lvlJc w:val="left"/>
      <w:pPr>
        <w:ind w:left="6120" w:hanging="360"/>
      </w:pPr>
      <w:rPr>
        <w:rFonts w:ascii="Wingdings" w:hAnsi="Wingdings" w:hint="default"/>
      </w:rPr>
    </w:lvl>
  </w:abstractNum>
  <w:abstractNum w:abstractNumId="25"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6" w15:restartNumberingAfterBreak="0">
    <w:nsid w:val="3FAD7F89"/>
    <w:multiLevelType w:val="hybridMultilevel"/>
    <w:tmpl w:val="B7FE1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531147"/>
    <w:multiLevelType w:val="hybridMultilevel"/>
    <w:tmpl w:val="0CA433B2"/>
    <w:lvl w:ilvl="0" w:tplc="0C090003">
      <w:start w:val="1"/>
      <w:numFmt w:val="bullet"/>
      <w:pStyle w:val="List-bullet-2"/>
      <w:lvlText w:val="–"/>
      <w:lvlJc w:val="left"/>
      <w:pPr>
        <w:tabs>
          <w:tab w:val="num" w:pos="301"/>
        </w:tabs>
        <w:ind w:left="301" w:hanging="301"/>
      </w:pPr>
      <w:rPr>
        <w:rFonts w:hint="default"/>
        <w:color w:val="auto"/>
        <w:sz w:val="20"/>
      </w:rPr>
    </w:lvl>
    <w:lvl w:ilvl="1" w:tplc="0C090003">
      <w:start w:val="1"/>
      <w:numFmt w:val="bullet"/>
      <w:lvlText w:val="–"/>
      <w:lvlJc w:val="left"/>
      <w:pPr>
        <w:tabs>
          <w:tab w:val="num" w:pos="1004"/>
        </w:tabs>
        <w:ind w:left="1004" w:hanging="363"/>
      </w:pPr>
      <w:rPr>
        <w:rFonts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8" w15:restartNumberingAfterBreak="0">
    <w:nsid w:val="49DF4009"/>
    <w:multiLevelType w:val="hybridMultilevel"/>
    <w:tmpl w:val="1868BF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A57377"/>
    <w:multiLevelType w:val="hybridMultilevel"/>
    <w:tmpl w:val="CB9478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C33ABF"/>
    <w:multiLevelType w:val="hybridMultilevel"/>
    <w:tmpl w:val="997A8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3F2802"/>
    <w:multiLevelType w:val="hybridMultilevel"/>
    <w:tmpl w:val="9BB0141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E32215"/>
    <w:multiLevelType w:val="hybridMultilevel"/>
    <w:tmpl w:val="88B61E86"/>
    <w:lvl w:ilvl="0" w:tplc="1C090001">
      <w:start w:val="1"/>
      <w:numFmt w:val="decimal"/>
      <w:pStyle w:val="Numberedstyle"/>
      <w:lvlText w:val="%1."/>
      <w:lvlJc w:val="left"/>
      <w:pPr>
        <w:tabs>
          <w:tab w:val="num" w:pos="852"/>
        </w:tabs>
        <w:ind w:left="852" w:hanging="284"/>
      </w:pPr>
      <w:rPr>
        <w:rFonts w:hint="default"/>
      </w:r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3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598A5214"/>
    <w:multiLevelType w:val="hybridMultilevel"/>
    <w:tmpl w:val="0B5AC610"/>
    <w:lvl w:ilvl="0" w:tplc="04090001">
      <w:start w:val="1"/>
      <w:numFmt w:val="decimal"/>
      <w:pStyle w:val="TableListNumber"/>
      <w:lvlText w:val="%1."/>
      <w:lvlJc w:val="left"/>
      <w:pPr>
        <w:tabs>
          <w:tab w:val="num" w:pos="227"/>
        </w:tabs>
        <w:ind w:left="227" w:hanging="227"/>
      </w:pPr>
      <w:rPr>
        <w:rFonts w:hint="default"/>
      </w:rPr>
    </w:lvl>
    <w:lvl w:ilvl="1" w:tplc="0409000F">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76093"/>
    <w:multiLevelType w:val="hybridMultilevel"/>
    <w:tmpl w:val="7E923B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3C1EA7"/>
    <w:multiLevelType w:val="multilevel"/>
    <w:tmpl w:val="43428892"/>
    <w:numStyleLink w:val="BulletsList"/>
  </w:abstractNum>
  <w:abstractNum w:abstractNumId="3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62005F02"/>
    <w:multiLevelType w:val="multilevel"/>
    <w:tmpl w:val="069E2BAC"/>
    <w:lvl w:ilvl="0">
      <w:start w:val="1"/>
      <w:numFmt w:val="decimal"/>
      <w:pStyle w:val="CONLevela"/>
      <w:lvlText w:val="%1."/>
      <w:lvlJc w:val="left"/>
      <w:pPr>
        <w:tabs>
          <w:tab w:val="num" w:pos="720"/>
        </w:tabs>
        <w:ind w:left="720" w:hanging="720"/>
      </w:pPr>
      <w:rPr>
        <w:rFonts w:ascii="Times New Roman" w:hAnsi="Times New Roman" w:hint="default"/>
        <w:b w:val="0"/>
        <w:i w:val="0"/>
        <w:sz w:val="24"/>
      </w:rPr>
    </w:lvl>
    <w:lvl w:ilvl="1">
      <w:start w:val="1"/>
      <w:numFmt w:val="decimal"/>
      <w:pStyle w:val="CONLeveli"/>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C927938"/>
    <w:multiLevelType w:val="hybridMultilevel"/>
    <w:tmpl w:val="5BF2B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BA7A1C"/>
    <w:multiLevelType w:val="multilevel"/>
    <w:tmpl w:val="3D08B938"/>
    <w:lvl w:ilvl="0">
      <w:start w:val="1"/>
      <w:numFmt w:val="decimal"/>
      <w:pStyle w:val="Heading1numbered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85066A6"/>
    <w:multiLevelType w:val="hybridMultilevel"/>
    <w:tmpl w:val="D1C6544E"/>
    <w:lvl w:ilvl="0" w:tplc="520050B0">
      <w:start w:val="1"/>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7E4497"/>
    <w:multiLevelType w:val="hybridMultilevel"/>
    <w:tmpl w:val="56A8FFAA"/>
    <w:lvl w:ilvl="0" w:tplc="AA421402">
      <w:start w:val="1"/>
      <w:numFmt w:val="bullet"/>
      <w:pStyle w:val="BulletLis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Times New Roman" w:hint="default"/>
      </w:rPr>
    </w:lvl>
  </w:abstractNum>
  <w:abstractNum w:abstractNumId="4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F72457"/>
    <w:multiLevelType w:val="hybridMultilevel"/>
    <w:tmpl w:val="7770A7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7A528B"/>
    <w:multiLevelType w:val="hybridMultilevel"/>
    <w:tmpl w:val="6292D7F6"/>
    <w:lvl w:ilvl="0" w:tplc="71D8EE64">
      <w:start w:val="1"/>
      <w:numFmt w:val="bullet"/>
      <w:pStyle w:val="ListBullet"/>
      <w:lvlText w:val="›"/>
      <w:lvlJc w:val="left"/>
      <w:pPr>
        <w:ind w:left="644" w:hanging="360"/>
      </w:pPr>
      <w:rPr>
        <w:rFonts w:ascii="Times New Roman" w:hAnsi="Times New Roman" w:cs="Times New Roman" w:hint="default"/>
        <w:color w:val="auto"/>
        <w:position w:val="3"/>
        <w:lang w:val="en-AU"/>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41"/>
  </w:num>
  <w:num w:numId="2">
    <w:abstractNumId w:val="9"/>
  </w:num>
  <w:num w:numId="3">
    <w:abstractNumId w:val="21"/>
  </w:num>
  <w:num w:numId="4">
    <w:abstractNumId w:val="33"/>
  </w:num>
  <w:num w:numId="5">
    <w:abstractNumId w:val="37"/>
  </w:num>
  <w:num w:numId="6">
    <w:abstractNumId w:val="0"/>
  </w:num>
  <w:num w:numId="7">
    <w:abstractNumId w:val="21"/>
  </w:num>
  <w:num w:numId="8">
    <w:abstractNumId w:val="36"/>
  </w:num>
  <w:num w:numId="9">
    <w:abstractNumId w:val="9"/>
  </w:num>
  <w:num w:numId="10">
    <w:abstractNumId w:val="11"/>
  </w:num>
  <w:num w:numId="11">
    <w:abstractNumId w:val="44"/>
  </w:num>
  <w:num w:numId="12">
    <w:abstractNumId w:val="45"/>
  </w:num>
  <w:num w:numId="13">
    <w:abstractNumId w:val="47"/>
  </w:num>
  <w:num w:numId="14">
    <w:abstractNumId w:val="14"/>
  </w:num>
  <w:num w:numId="15">
    <w:abstractNumId w:val="31"/>
  </w:num>
  <w:num w:numId="16">
    <w:abstractNumId w:val="39"/>
  </w:num>
  <w:num w:numId="17">
    <w:abstractNumId w:val="17"/>
  </w:num>
  <w:num w:numId="18">
    <w:abstractNumId w:val="4"/>
  </w:num>
  <w:num w:numId="19">
    <w:abstractNumId w:val="18"/>
  </w:num>
  <w:num w:numId="20">
    <w:abstractNumId w:val="24"/>
  </w:num>
  <w:num w:numId="21">
    <w:abstractNumId w:val="32"/>
  </w:num>
  <w:num w:numId="22">
    <w:abstractNumId w:val="23"/>
  </w:num>
  <w:num w:numId="23">
    <w:abstractNumId w:val="38"/>
  </w:num>
  <w:num w:numId="24">
    <w:abstractNumId w:val="40"/>
  </w:num>
  <w:num w:numId="25">
    <w:abstractNumId w:val="34"/>
  </w:num>
  <w:num w:numId="26">
    <w:abstractNumId w:val="27"/>
  </w:num>
  <w:num w:numId="27">
    <w:abstractNumId w:val="12"/>
  </w:num>
  <w:num w:numId="28">
    <w:abstractNumId w:val="16"/>
  </w:num>
  <w:num w:numId="29">
    <w:abstractNumId w:val="43"/>
  </w:num>
  <w:num w:numId="30">
    <w:abstractNumId w:val="25"/>
  </w:num>
  <w:num w:numId="31">
    <w:abstractNumId w:val="19"/>
  </w:num>
  <w:num w:numId="32">
    <w:abstractNumId w:val="3"/>
  </w:num>
  <w:num w:numId="33">
    <w:abstractNumId w:val="10"/>
  </w:num>
  <w:num w:numId="34">
    <w:abstractNumId w:val="6"/>
  </w:num>
  <w:num w:numId="35">
    <w:abstractNumId w:val="1"/>
  </w:num>
  <w:num w:numId="36">
    <w:abstractNumId w:val="15"/>
  </w:num>
  <w:num w:numId="37">
    <w:abstractNumId w:val="42"/>
  </w:num>
  <w:num w:numId="38">
    <w:abstractNumId w:val="35"/>
  </w:num>
  <w:num w:numId="39">
    <w:abstractNumId w:val="28"/>
  </w:num>
  <w:num w:numId="40">
    <w:abstractNumId w:val="5"/>
  </w:num>
  <w:num w:numId="41">
    <w:abstractNumId w:val="20"/>
  </w:num>
  <w:num w:numId="42">
    <w:abstractNumId w:val="26"/>
  </w:num>
  <w:num w:numId="43">
    <w:abstractNumId w:val="2"/>
  </w:num>
  <w:num w:numId="44">
    <w:abstractNumId w:val="46"/>
  </w:num>
  <w:num w:numId="45">
    <w:abstractNumId w:val="22"/>
  </w:num>
  <w:num w:numId="46">
    <w:abstractNumId w:val="13"/>
  </w:num>
  <w:num w:numId="47">
    <w:abstractNumId w:val="29"/>
  </w:num>
  <w:num w:numId="48">
    <w:abstractNumId w:val="7"/>
  </w:num>
  <w:num w:numId="49">
    <w:abstractNumId w:val="8"/>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trackRevisions/>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3E8"/>
    <w:rsid w:val="00001DA8"/>
    <w:rsid w:val="000020C1"/>
    <w:rsid w:val="000042D1"/>
    <w:rsid w:val="000167A9"/>
    <w:rsid w:val="000203DF"/>
    <w:rsid w:val="0002080A"/>
    <w:rsid w:val="0002782F"/>
    <w:rsid w:val="00030F60"/>
    <w:rsid w:val="00035BBF"/>
    <w:rsid w:val="00037653"/>
    <w:rsid w:val="00042178"/>
    <w:rsid w:val="00043B12"/>
    <w:rsid w:val="0004689D"/>
    <w:rsid w:val="00046C78"/>
    <w:rsid w:val="00050806"/>
    <w:rsid w:val="000508FE"/>
    <w:rsid w:val="00052734"/>
    <w:rsid w:val="000529C4"/>
    <w:rsid w:val="000546D9"/>
    <w:rsid w:val="00054E4D"/>
    <w:rsid w:val="000559F5"/>
    <w:rsid w:val="00060073"/>
    <w:rsid w:val="000616C6"/>
    <w:rsid w:val="000830D5"/>
    <w:rsid w:val="000854FD"/>
    <w:rsid w:val="0008621C"/>
    <w:rsid w:val="000862E9"/>
    <w:rsid w:val="000871E1"/>
    <w:rsid w:val="0009005F"/>
    <w:rsid w:val="0009122B"/>
    <w:rsid w:val="00091AEA"/>
    <w:rsid w:val="00092DCB"/>
    <w:rsid w:val="00094685"/>
    <w:rsid w:val="00097DBF"/>
    <w:rsid w:val="000A03FE"/>
    <w:rsid w:val="000A28A7"/>
    <w:rsid w:val="000B1A9F"/>
    <w:rsid w:val="000B37F5"/>
    <w:rsid w:val="000B3F7A"/>
    <w:rsid w:val="000C3E0A"/>
    <w:rsid w:val="000D57CD"/>
    <w:rsid w:val="000D66D6"/>
    <w:rsid w:val="000E2533"/>
    <w:rsid w:val="000E4443"/>
    <w:rsid w:val="000E50CA"/>
    <w:rsid w:val="000F081F"/>
    <w:rsid w:val="000F59F2"/>
    <w:rsid w:val="000F6FF5"/>
    <w:rsid w:val="00105392"/>
    <w:rsid w:val="00106B51"/>
    <w:rsid w:val="00113288"/>
    <w:rsid w:val="0012089E"/>
    <w:rsid w:val="001214BE"/>
    <w:rsid w:val="00125ABF"/>
    <w:rsid w:val="00130C95"/>
    <w:rsid w:val="0013101C"/>
    <w:rsid w:val="00131317"/>
    <w:rsid w:val="00133BB7"/>
    <w:rsid w:val="001355C7"/>
    <w:rsid w:val="00141707"/>
    <w:rsid w:val="001461D6"/>
    <w:rsid w:val="00150F39"/>
    <w:rsid w:val="00152BE9"/>
    <w:rsid w:val="001541EA"/>
    <w:rsid w:val="00154834"/>
    <w:rsid w:val="001565AB"/>
    <w:rsid w:val="00157158"/>
    <w:rsid w:val="00160AB0"/>
    <w:rsid w:val="00166B27"/>
    <w:rsid w:val="00170D12"/>
    <w:rsid w:val="00171223"/>
    <w:rsid w:val="00174147"/>
    <w:rsid w:val="00181DA5"/>
    <w:rsid w:val="001876A9"/>
    <w:rsid w:val="00192743"/>
    <w:rsid w:val="00195E5F"/>
    <w:rsid w:val="001968BF"/>
    <w:rsid w:val="00197034"/>
    <w:rsid w:val="001A139E"/>
    <w:rsid w:val="001A2CD3"/>
    <w:rsid w:val="001A39FB"/>
    <w:rsid w:val="001B1755"/>
    <w:rsid w:val="001B325F"/>
    <w:rsid w:val="001B4060"/>
    <w:rsid w:val="001B4592"/>
    <w:rsid w:val="001B70D3"/>
    <w:rsid w:val="001C2BED"/>
    <w:rsid w:val="001D1813"/>
    <w:rsid w:val="001D1FFB"/>
    <w:rsid w:val="001D3D39"/>
    <w:rsid w:val="001D663E"/>
    <w:rsid w:val="001E1B82"/>
    <w:rsid w:val="001E1DC0"/>
    <w:rsid w:val="001E35E4"/>
    <w:rsid w:val="001E4EDB"/>
    <w:rsid w:val="001E762B"/>
    <w:rsid w:val="001F496A"/>
    <w:rsid w:val="001F7876"/>
    <w:rsid w:val="00203277"/>
    <w:rsid w:val="0021198B"/>
    <w:rsid w:val="00214DB5"/>
    <w:rsid w:val="00220CD6"/>
    <w:rsid w:val="0022191F"/>
    <w:rsid w:val="002220DC"/>
    <w:rsid w:val="00225261"/>
    <w:rsid w:val="002263FD"/>
    <w:rsid w:val="00227FA5"/>
    <w:rsid w:val="00232199"/>
    <w:rsid w:val="002361AB"/>
    <w:rsid w:val="00242FEA"/>
    <w:rsid w:val="002438E9"/>
    <w:rsid w:val="002446D1"/>
    <w:rsid w:val="0025195B"/>
    <w:rsid w:val="00251B88"/>
    <w:rsid w:val="00251EAA"/>
    <w:rsid w:val="00252C04"/>
    <w:rsid w:val="002607B2"/>
    <w:rsid w:val="0027306C"/>
    <w:rsid w:val="002735EA"/>
    <w:rsid w:val="00276FA3"/>
    <w:rsid w:val="00277F73"/>
    <w:rsid w:val="00280A36"/>
    <w:rsid w:val="00282871"/>
    <w:rsid w:val="002836F1"/>
    <w:rsid w:val="00285483"/>
    <w:rsid w:val="0028602A"/>
    <w:rsid w:val="0029075A"/>
    <w:rsid w:val="00290D07"/>
    <w:rsid w:val="00291348"/>
    <w:rsid w:val="00291CE6"/>
    <w:rsid w:val="00296C4E"/>
    <w:rsid w:val="002A05FB"/>
    <w:rsid w:val="002A1AB1"/>
    <w:rsid w:val="002A648F"/>
    <w:rsid w:val="002A7B9A"/>
    <w:rsid w:val="002B3663"/>
    <w:rsid w:val="002B54DE"/>
    <w:rsid w:val="002B5E10"/>
    <w:rsid w:val="002B6F2B"/>
    <w:rsid w:val="002C080B"/>
    <w:rsid w:val="002C793D"/>
    <w:rsid w:val="002D2115"/>
    <w:rsid w:val="002D5B25"/>
    <w:rsid w:val="002E198D"/>
    <w:rsid w:val="002E1D3F"/>
    <w:rsid w:val="002E3A5C"/>
    <w:rsid w:val="002E3D5E"/>
    <w:rsid w:val="002E4051"/>
    <w:rsid w:val="002E739E"/>
    <w:rsid w:val="002F4F2B"/>
    <w:rsid w:val="002F5A93"/>
    <w:rsid w:val="002F6F65"/>
    <w:rsid w:val="003002C0"/>
    <w:rsid w:val="00301144"/>
    <w:rsid w:val="0030217D"/>
    <w:rsid w:val="003031C6"/>
    <w:rsid w:val="00304984"/>
    <w:rsid w:val="0031011B"/>
    <w:rsid w:val="00312BF8"/>
    <w:rsid w:val="003143A5"/>
    <w:rsid w:val="003148B7"/>
    <w:rsid w:val="003158C3"/>
    <w:rsid w:val="00315BF2"/>
    <w:rsid w:val="003164B9"/>
    <w:rsid w:val="00324DC2"/>
    <w:rsid w:val="003274CD"/>
    <w:rsid w:val="003304C5"/>
    <w:rsid w:val="00333501"/>
    <w:rsid w:val="00335E2A"/>
    <w:rsid w:val="003370BB"/>
    <w:rsid w:val="0034039C"/>
    <w:rsid w:val="00340C09"/>
    <w:rsid w:val="00340D7B"/>
    <w:rsid w:val="00342586"/>
    <w:rsid w:val="0034258F"/>
    <w:rsid w:val="003457C4"/>
    <w:rsid w:val="00347DEB"/>
    <w:rsid w:val="0035119D"/>
    <w:rsid w:val="003531C7"/>
    <w:rsid w:val="00355D8E"/>
    <w:rsid w:val="003578DB"/>
    <w:rsid w:val="003620D4"/>
    <w:rsid w:val="0036215F"/>
    <w:rsid w:val="00363B23"/>
    <w:rsid w:val="0036492B"/>
    <w:rsid w:val="00372EB8"/>
    <w:rsid w:val="0037455C"/>
    <w:rsid w:val="003755E7"/>
    <w:rsid w:val="00384D40"/>
    <w:rsid w:val="00387864"/>
    <w:rsid w:val="0039344A"/>
    <w:rsid w:val="00395163"/>
    <w:rsid w:val="003A03A2"/>
    <w:rsid w:val="003A74FA"/>
    <w:rsid w:val="003B2C6F"/>
    <w:rsid w:val="003B384D"/>
    <w:rsid w:val="003B44BA"/>
    <w:rsid w:val="003B4F12"/>
    <w:rsid w:val="003C3819"/>
    <w:rsid w:val="003C3F98"/>
    <w:rsid w:val="003C56A3"/>
    <w:rsid w:val="003C6940"/>
    <w:rsid w:val="003D63B3"/>
    <w:rsid w:val="003E43CF"/>
    <w:rsid w:val="003E4962"/>
    <w:rsid w:val="003E7BB0"/>
    <w:rsid w:val="003F2041"/>
    <w:rsid w:val="00402ACC"/>
    <w:rsid w:val="00403355"/>
    <w:rsid w:val="00403DAD"/>
    <w:rsid w:val="00406FFF"/>
    <w:rsid w:val="004120EC"/>
    <w:rsid w:val="004133EE"/>
    <w:rsid w:val="00423F31"/>
    <w:rsid w:val="00425CB4"/>
    <w:rsid w:val="004314AD"/>
    <w:rsid w:val="00431731"/>
    <w:rsid w:val="00431899"/>
    <w:rsid w:val="004333A4"/>
    <w:rsid w:val="00435FA7"/>
    <w:rsid w:val="00442055"/>
    <w:rsid w:val="00445056"/>
    <w:rsid w:val="00446BE7"/>
    <w:rsid w:val="004529AF"/>
    <w:rsid w:val="00452E62"/>
    <w:rsid w:val="00453C09"/>
    <w:rsid w:val="004545BB"/>
    <w:rsid w:val="0045468C"/>
    <w:rsid w:val="00454E76"/>
    <w:rsid w:val="004564A1"/>
    <w:rsid w:val="00460F85"/>
    <w:rsid w:val="00461BAB"/>
    <w:rsid w:val="00472267"/>
    <w:rsid w:val="0047630A"/>
    <w:rsid w:val="004776FF"/>
    <w:rsid w:val="004777D6"/>
    <w:rsid w:val="004823C4"/>
    <w:rsid w:val="00482AE8"/>
    <w:rsid w:val="00486804"/>
    <w:rsid w:val="004901B9"/>
    <w:rsid w:val="004932DE"/>
    <w:rsid w:val="004942B8"/>
    <w:rsid w:val="004962D8"/>
    <w:rsid w:val="004A59EF"/>
    <w:rsid w:val="004B3775"/>
    <w:rsid w:val="004C1F76"/>
    <w:rsid w:val="004C4730"/>
    <w:rsid w:val="004C5AA1"/>
    <w:rsid w:val="004C5FCB"/>
    <w:rsid w:val="004D0BA0"/>
    <w:rsid w:val="004D1421"/>
    <w:rsid w:val="004D216C"/>
    <w:rsid w:val="004E022F"/>
    <w:rsid w:val="004E058F"/>
    <w:rsid w:val="004E0AB9"/>
    <w:rsid w:val="004E3B87"/>
    <w:rsid w:val="004F0831"/>
    <w:rsid w:val="004F2E9C"/>
    <w:rsid w:val="004F3E46"/>
    <w:rsid w:val="004F5055"/>
    <w:rsid w:val="00510921"/>
    <w:rsid w:val="00510AD3"/>
    <w:rsid w:val="00510D05"/>
    <w:rsid w:val="00513348"/>
    <w:rsid w:val="00513AD8"/>
    <w:rsid w:val="00514EEA"/>
    <w:rsid w:val="00515902"/>
    <w:rsid w:val="00515BE8"/>
    <w:rsid w:val="00517E56"/>
    <w:rsid w:val="005204D2"/>
    <w:rsid w:val="00522396"/>
    <w:rsid w:val="00523817"/>
    <w:rsid w:val="005239B7"/>
    <w:rsid w:val="005248F9"/>
    <w:rsid w:val="005251B5"/>
    <w:rsid w:val="0053121C"/>
    <w:rsid w:val="00533B5D"/>
    <w:rsid w:val="00535E01"/>
    <w:rsid w:val="00540CE8"/>
    <w:rsid w:val="00542399"/>
    <w:rsid w:val="00542BAE"/>
    <w:rsid w:val="00544382"/>
    <w:rsid w:val="00547A51"/>
    <w:rsid w:val="0055256B"/>
    <w:rsid w:val="00553A27"/>
    <w:rsid w:val="005559DE"/>
    <w:rsid w:val="00563114"/>
    <w:rsid w:val="0056575D"/>
    <w:rsid w:val="00570D76"/>
    <w:rsid w:val="00572569"/>
    <w:rsid w:val="005735C9"/>
    <w:rsid w:val="005825E3"/>
    <w:rsid w:val="005837FA"/>
    <w:rsid w:val="00585EB3"/>
    <w:rsid w:val="0058792D"/>
    <w:rsid w:val="00587FC7"/>
    <w:rsid w:val="00591FD5"/>
    <w:rsid w:val="005928F6"/>
    <w:rsid w:val="00593108"/>
    <w:rsid w:val="005A20F6"/>
    <w:rsid w:val="005A4E71"/>
    <w:rsid w:val="005C0F25"/>
    <w:rsid w:val="005C1FF8"/>
    <w:rsid w:val="005C5824"/>
    <w:rsid w:val="005D1C90"/>
    <w:rsid w:val="005D3655"/>
    <w:rsid w:val="005D5E2B"/>
    <w:rsid w:val="005E4830"/>
    <w:rsid w:val="005E750A"/>
    <w:rsid w:val="00600175"/>
    <w:rsid w:val="00603E48"/>
    <w:rsid w:val="00607C81"/>
    <w:rsid w:val="0061215C"/>
    <w:rsid w:val="00614DDF"/>
    <w:rsid w:val="0061659A"/>
    <w:rsid w:val="00622B86"/>
    <w:rsid w:val="00623BA1"/>
    <w:rsid w:val="00633F54"/>
    <w:rsid w:val="006346BC"/>
    <w:rsid w:val="00635942"/>
    <w:rsid w:val="00651F0A"/>
    <w:rsid w:val="00653ADF"/>
    <w:rsid w:val="006559B7"/>
    <w:rsid w:val="00656B5D"/>
    <w:rsid w:val="00656D31"/>
    <w:rsid w:val="006611D8"/>
    <w:rsid w:val="006662EA"/>
    <w:rsid w:val="0066652A"/>
    <w:rsid w:val="00666682"/>
    <w:rsid w:val="0067128F"/>
    <w:rsid w:val="006716FA"/>
    <w:rsid w:val="006719C3"/>
    <w:rsid w:val="0067423B"/>
    <w:rsid w:val="00674BE2"/>
    <w:rsid w:val="00674EAE"/>
    <w:rsid w:val="00675A54"/>
    <w:rsid w:val="00676928"/>
    <w:rsid w:val="00676EAA"/>
    <w:rsid w:val="00680522"/>
    <w:rsid w:val="00682167"/>
    <w:rsid w:val="006834F3"/>
    <w:rsid w:val="00684FF3"/>
    <w:rsid w:val="00687605"/>
    <w:rsid w:val="00692A77"/>
    <w:rsid w:val="00696B71"/>
    <w:rsid w:val="006B619B"/>
    <w:rsid w:val="006B7C69"/>
    <w:rsid w:val="006B7F72"/>
    <w:rsid w:val="006C1643"/>
    <w:rsid w:val="006C418B"/>
    <w:rsid w:val="006C42AF"/>
    <w:rsid w:val="006D16CA"/>
    <w:rsid w:val="006D510C"/>
    <w:rsid w:val="006E181F"/>
    <w:rsid w:val="006E4E73"/>
    <w:rsid w:val="006E7C7A"/>
    <w:rsid w:val="006F2C98"/>
    <w:rsid w:val="006F7314"/>
    <w:rsid w:val="006F7BD6"/>
    <w:rsid w:val="00700E1E"/>
    <w:rsid w:val="007044EE"/>
    <w:rsid w:val="00711D8E"/>
    <w:rsid w:val="00712672"/>
    <w:rsid w:val="0071338D"/>
    <w:rsid w:val="0071402A"/>
    <w:rsid w:val="00716B89"/>
    <w:rsid w:val="00717E5F"/>
    <w:rsid w:val="00720D7B"/>
    <w:rsid w:val="007221FA"/>
    <w:rsid w:val="0072601F"/>
    <w:rsid w:val="007329FD"/>
    <w:rsid w:val="00733CBA"/>
    <w:rsid w:val="00734E3F"/>
    <w:rsid w:val="00736985"/>
    <w:rsid w:val="00743B90"/>
    <w:rsid w:val="0074486E"/>
    <w:rsid w:val="00744CA8"/>
    <w:rsid w:val="00745DF5"/>
    <w:rsid w:val="00746AF7"/>
    <w:rsid w:val="0075152E"/>
    <w:rsid w:val="00752FAA"/>
    <w:rsid w:val="0076066C"/>
    <w:rsid w:val="0076190E"/>
    <w:rsid w:val="0076250F"/>
    <w:rsid w:val="00763452"/>
    <w:rsid w:val="00765DD1"/>
    <w:rsid w:val="00774508"/>
    <w:rsid w:val="00780FA5"/>
    <w:rsid w:val="00781D67"/>
    <w:rsid w:val="00783180"/>
    <w:rsid w:val="00784732"/>
    <w:rsid w:val="00785394"/>
    <w:rsid w:val="00786716"/>
    <w:rsid w:val="00793C24"/>
    <w:rsid w:val="00794C57"/>
    <w:rsid w:val="00795D2F"/>
    <w:rsid w:val="007A48C0"/>
    <w:rsid w:val="007A4C3B"/>
    <w:rsid w:val="007A4D57"/>
    <w:rsid w:val="007A7DFE"/>
    <w:rsid w:val="007B121E"/>
    <w:rsid w:val="007B296F"/>
    <w:rsid w:val="007B6200"/>
    <w:rsid w:val="007C24E3"/>
    <w:rsid w:val="007C2621"/>
    <w:rsid w:val="007C58DD"/>
    <w:rsid w:val="007C5FF7"/>
    <w:rsid w:val="007C7A12"/>
    <w:rsid w:val="007D0F85"/>
    <w:rsid w:val="007D5ED9"/>
    <w:rsid w:val="007E3621"/>
    <w:rsid w:val="007E4E48"/>
    <w:rsid w:val="007E70E1"/>
    <w:rsid w:val="007F1447"/>
    <w:rsid w:val="007F3395"/>
    <w:rsid w:val="00801B9F"/>
    <w:rsid w:val="0080204D"/>
    <w:rsid w:val="00803F3E"/>
    <w:rsid w:val="00815D03"/>
    <w:rsid w:val="00816C78"/>
    <w:rsid w:val="0081773C"/>
    <w:rsid w:val="008220EE"/>
    <w:rsid w:val="008233AF"/>
    <w:rsid w:val="00823C5F"/>
    <w:rsid w:val="0083233D"/>
    <w:rsid w:val="00833551"/>
    <w:rsid w:val="008339E4"/>
    <w:rsid w:val="00833A5C"/>
    <w:rsid w:val="00842744"/>
    <w:rsid w:val="008475F0"/>
    <w:rsid w:val="00850864"/>
    <w:rsid w:val="00851A29"/>
    <w:rsid w:val="00851E4A"/>
    <w:rsid w:val="008529F7"/>
    <w:rsid w:val="00852AAE"/>
    <w:rsid w:val="008557A7"/>
    <w:rsid w:val="0085770A"/>
    <w:rsid w:val="00864320"/>
    <w:rsid w:val="00870928"/>
    <w:rsid w:val="008759C5"/>
    <w:rsid w:val="00876F8E"/>
    <w:rsid w:val="00885CEF"/>
    <w:rsid w:val="0089405C"/>
    <w:rsid w:val="00894E1F"/>
    <w:rsid w:val="00897FA2"/>
    <w:rsid w:val="008A5AFE"/>
    <w:rsid w:val="008B2468"/>
    <w:rsid w:val="008C16C4"/>
    <w:rsid w:val="008C18E0"/>
    <w:rsid w:val="008C430B"/>
    <w:rsid w:val="008C4AF0"/>
    <w:rsid w:val="008C5A0E"/>
    <w:rsid w:val="008C7D0F"/>
    <w:rsid w:val="008D23DF"/>
    <w:rsid w:val="008D283D"/>
    <w:rsid w:val="008D3CEC"/>
    <w:rsid w:val="008E0615"/>
    <w:rsid w:val="008F1889"/>
    <w:rsid w:val="008F2412"/>
    <w:rsid w:val="008F4812"/>
    <w:rsid w:val="00901EA0"/>
    <w:rsid w:val="00916A6E"/>
    <w:rsid w:val="00921680"/>
    <w:rsid w:val="00923371"/>
    <w:rsid w:val="0092387B"/>
    <w:rsid w:val="009246CB"/>
    <w:rsid w:val="00926341"/>
    <w:rsid w:val="0092655C"/>
    <w:rsid w:val="00931DB5"/>
    <w:rsid w:val="00943730"/>
    <w:rsid w:val="0094656A"/>
    <w:rsid w:val="00957D6E"/>
    <w:rsid w:val="00960573"/>
    <w:rsid w:val="00963C90"/>
    <w:rsid w:val="0097383F"/>
    <w:rsid w:val="00975CA5"/>
    <w:rsid w:val="00981577"/>
    <w:rsid w:val="00986590"/>
    <w:rsid w:val="00991D9A"/>
    <w:rsid w:val="009926E4"/>
    <w:rsid w:val="00992C76"/>
    <w:rsid w:val="009969D6"/>
    <w:rsid w:val="009A36D1"/>
    <w:rsid w:val="009A7E1A"/>
    <w:rsid w:val="009B0FD0"/>
    <w:rsid w:val="009B392F"/>
    <w:rsid w:val="009B3AD3"/>
    <w:rsid w:val="009B44A3"/>
    <w:rsid w:val="009B4D3B"/>
    <w:rsid w:val="009B6D65"/>
    <w:rsid w:val="009B7FDF"/>
    <w:rsid w:val="009C2087"/>
    <w:rsid w:val="009D53E8"/>
    <w:rsid w:val="009D7407"/>
    <w:rsid w:val="009E009D"/>
    <w:rsid w:val="009E025E"/>
    <w:rsid w:val="009E0866"/>
    <w:rsid w:val="009E1F24"/>
    <w:rsid w:val="009E273C"/>
    <w:rsid w:val="009E2850"/>
    <w:rsid w:val="009E3025"/>
    <w:rsid w:val="009E7EB6"/>
    <w:rsid w:val="009F1350"/>
    <w:rsid w:val="009F6423"/>
    <w:rsid w:val="00A06392"/>
    <w:rsid w:val="00A148DB"/>
    <w:rsid w:val="00A173CB"/>
    <w:rsid w:val="00A17E4B"/>
    <w:rsid w:val="00A21A90"/>
    <w:rsid w:val="00A243C1"/>
    <w:rsid w:val="00A24A62"/>
    <w:rsid w:val="00A27D70"/>
    <w:rsid w:val="00A3094A"/>
    <w:rsid w:val="00A31C9F"/>
    <w:rsid w:val="00A32516"/>
    <w:rsid w:val="00A4144F"/>
    <w:rsid w:val="00A44C31"/>
    <w:rsid w:val="00A525C4"/>
    <w:rsid w:val="00A61B4D"/>
    <w:rsid w:val="00A63F9F"/>
    <w:rsid w:val="00A64173"/>
    <w:rsid w:val="00A803C7"/>
    <w:rsid w:val="00A8042D"/>
    <w:rsid w:val="00A80F95"/>
    <w:rsid w:val="00A81444"/>
    <w:rsid w:val="00A849E9"/>
    <w:rsid w:val="00A91731"/>
    <w:rsid w:val="00A91B55"/>
    <w:rsid w:val="00A95E0A"/>
    <w:rsid w:val="00A96F79"/>
    <w:rsid w:val="00A97BF1"/>
    <w:rsid w:val="00AA1E55"/>
    <w:rsid w:val="00AA298A"/>
    <w:rsid w:val="00AA30B7"/>
    <w:rsid w:val="00AB294F"/>
    <w:rsid w:val="00AB6FAE"/>
    <w:rsid w:val="00AC164A"/>
    <w:rsid w:val="00AC395F"/>
    <w:rsid w:val="00AC7503"/>
    <w:rsid w:val="00AC7910"/>
    <w:rsid w:val="00AC7CDC"/>
    <w:rsid w:val="00AD2D76"/>
    <w:rsid w:val="00AD399A"/>
    <w:rsid w:val="00AD69DB"/>
    <w:rsid w:val="00AE448A"/>
    <w:rsid w:val="00AE468C"/>
    <w:rsid w:val="00AF2050"/>
    <w:rsid w:val="00AF3C03"/>
    <w:rsid w:val="00AF3E6E"/>
    <w:rsid w:val="00AF3FAC"/>
    <w:rsid w:val="00AF5A32"/>
    <w:rsid w:val="00B03CA8"/>
    <w:rsid w:val="00B05E10"/>
    <w:rsid w:val="00B0604E"/>
    <w:rsid w:val="00B10191"/>
    <w:rsid w:val="00B1124C"/>
    <w:rsid w:val="00B128B9"/>
    <w:rsid w:val="00B20F4C"/>
    <w:rsid w:val="00B27ECE"/>
    <w:rsid w:val="00B32139"/>
    <w:rsid w:val="00B32842"/>
    <w:rsid w:val="00B33C0A"/>
    <w:rsid w:val="00B345E1"/>
    <w:rsid w:val="00B34996"/>
    <w:rsid w:val="00B37806"/>
    <w:rsid w:val="00B37929"/>
    <w:rsid w:val="00B409C8"/>
    <w:rsid w:val="00B42BA4"/>
    <w:rsid w:val="00B45AF4"/>
    <w:rsid w:val="00B47387"/>
    <w:rsid w:val="00B51F1C"/>
    <w:rsid w:val="00B54708"/>
    <w:rsid w:val="00B550B3"/>
    <w:rsid w:val="00B55E19"/>
    <w:rsid w:val="00B65660"/>
    <w:rsid w:val="00B67D96"/>
    <w:rsid w:val="00B71D37"/>
    <w:rsid w:val="00B71E8E"/>
    <w:rsid w:val="00B75519"/>
    <w:rsid w:val="00B7748C"/>
    <w:rsid w:val="00B866CD"/>
    <w:rsid w:val="00B86BF0"/>
    <w:rsid w:val="00B900C3"/>
    <w:rsid w:val="00B938CE"/>
    <w:rsid w:val="00B94758"/>
    <w:rsid w:val="00B94BA3"/>
    <w:rsid w:val="00B952A1"/>
    <w:rsid w:val="00BA4B6D"/>
    <w:rsid w:val="00BA7E6F"/>
    <w:rsid w:val="00BB0188"/>
    <w:rsid w:val="00BB26C5"/>
    <w:rsid w:val="00BB6D8F"/>
    <w:rsid w:val="00BC1926"/>
    <w:rsid w:val="00BC1B97"/>
    <w:rsid w:val="00BC2D8B"/>
    <w:rsid w:val="00BC367E"/>
    <w:rsid w:val="00BC48F8"/>
    <w:rsid w:val="00BC6F19"/>
    <w:rsid w:val="00BD0EB2"/>
    <w:rsid w:val="00BD38F7"/>
    <w:rsid w:val="00BE3B2B"/>
    <w:rsid w:val="00BE4F3C"/>
    <w:rsid w:val="00BE5228"/>
    <w:rsid w:val="00BE5D6C"/>
    <w:rsid w:val="00BE7C1D"/>
    <w:rsid w:val="00BF23D6"/>
    <w:rsid w:val="00BF2F0F"/>
    <w:rsid w:val="00BF4DE6"/>
    <w:rsid w:val="00BF62F4"/>
    <w:rsid w:val="00BF7774"/>
    <w:rsid w:val="00C06B13"/>
    <w:rsid w:val="00C06BE1"/>
    <w:rsid w:val="00C1272E"/>
    <w:rsid w:val="00C16999"/>
    <w:rsid w:val="00C16ECB"/>
    <w:rsid w:val="00C17BC9"/>
    <w:rsid w:val="00C22444"/>
    <w:rsid w:val="00C26098"/>
    <w:rsid w:val="00C27D25"/>
    <w:rsid w:val="00C41421"/>
    <w:rsid w:val="00C41E68"/>
    <w:rsid w:val="00C42541"/>
    <w:rsid w:val="00C42CDE"/>
    <w:rsid w:val="00C453C2"/>
    <w:rsid w:val="00C46008"/>
    <w:rsid w:val="00C46226"/>
    <w:rsid w:val="00C504DA"/>
    <w:rsid w:val="00C5182A"/>
    <w:rsid w:val="00C51F8D"/>
    <w:rsid w:val="00C55800"/>
    <w:rsid w:val="00C56B14"/>
    <w:rsid w:val="00C61AB1"/>
    <w:rsid w:val="00C63177"/>
    <w:rsid w:val="00C63D15"/>
    <w:rsid w:val="00C63EE9"/>
    <w:rsid w:val="00C65435"/>
    <w:rsid w:val="00C65C2B"/>
    <w:rsid w:val="00C72E91"/>
    <w:rsid w:val="00C74889"/>
    <w:rsid w:val="00C756C9"/>
    <w:rsid w:val="00C76BE5"/>
    <w:rsid w:val="00C800BD"/>
    <w:rsid w:val="00C82904"/>
    <w:rsid w:val="00C83715"/>
    <w:rsid w:val="00C85F32"/>
    <w:rsid w:val="00C93167"/>
    <w:rsid w:val="00C94106"/>
    <w:rsid w:val="00C952EE"/>
    <w:rsid w:val="00CA140D"/>
    <w:rsid w:val="00CA16F3"/>
    <w:rsid w:val="00CA37B1"/>
    <w:rsid w:val="00CA3C6B"/>
    <w:rsid w:val="00CB1959"/>
    <w:rsid w:val="00CB1BB4"/>
    <w:rsid w:val="00CB318C"/>
    <w:rsid w:val="00CC741B"/>
    <w:rsid w:val="00CD0E4B"/>
    <w:rsid w:val="00CD44AF"/>
    <w:rsid w:val="00CE045C"/>
    <w:rsid w:val="00CE0A0A"/>
    <w:rsid w:val="00CE387C"/>
    <w:rsid w:val="00CE4465"/>
    <w:rsid w:val="00CE4C89"/>
    <w:rsid w:val="00CF07BA"/>
    <w:rsid w:val="00CF0E57"/>
    <w:rsid w:val="00CF7F86"/>
    <w:rsid w:val="00D0296C"/>
    <w:rsid w:val="00D06865"/>
    <w:rsid w:val="00D079B1"/>
    <w:rsid w:val="00D14B43"/>
    <w:rsid w:val="00D23B1E"/>
    <w:rsid w:val="00D266FA"/>
    <w:rsid w:val="00D269B9"/>
    <w:rsid w:val="00D27746"/>
    <w:rsid w:val="00D32D6F"/>
    <w:rsid w:val="00D32FFE"/>
    <w:rsid w:val="00D35B3B"/>
    <w:rsid w:val="00D37B04"/>
    <w:rsid w:val="00D406E2"/>
    <w:rsid w:val="00D43ADA"/>
    <w:rsid w:val="00D4464E"/>
    <w:rsid w:val="00D458AD"/>
    <w:rsid w:val="00D47657"/>
    <w:rsid w:val="00D47750"/>
    <w:rsid w:val="00D52EA5"/>
    <w:rsid w:val="00D5359C"/>
    <w:rsid w:val="00D53F5E"/>
    <w:rsid w:val="00D540C6"/>
    <w:rsid w:val="00D542B3"/>
    <w:rsid w:val="00D54515"/>
    <w:rsid w:val="00D5455D"/>
    <w:rsid w:val="00D5483F"/>
    <w:rsid w:val="00D54F0E"/>
    <w:rsid w:val="00D64907"/>
    <w:rsid w:val="00D64BD1"/>
    <w:rsid w:val="00D64C26"/>
    <w:rsid w:val="00D74934"/>
    <w:rsid w:val="00D771FC"/>
    <w:rsid w:val="00D8018A"/>
    <w:rsid w:val="00D80828"/>
    <w:rsid w:val="00D85223"/>
    <w:rsid w:val="00D92254"/>
    <w:rsid w:val="00D927C4"/>
    <w:rsid w:val="00D96096"/>
    <w:rsid w:val="00DB154C"/>
    <w:rsid w:val="00DB2669"/>
    <w:rsid w:val="00DB59D3"/>
    <w:rsid w:val="00DC1ED9"/>
    <w:rsid w:val="00DC24AC"/>
    <w:rsid w:val="00DC3A80"/>
    <w:rsid w:val="00DD090A"/>
    <w:rsid w:val="00DD1D5B"/>
    <w:rsid w:val="00DD41D0"/>
    <w:rsid w:val="00DD52AA"/>
    <w:rsid w:val="00DD56C1"/>
    <w:rsid w:val="00DD6995"/>
    <w:rsid w:val="00DE084C"/>
    <w:rsid w:val="00DE3743"/>
    <w:rsid w:val="00DE675C"/>
    <w:rsid w:val="00DE75FE"/>
    <w:rsid w:val="00DF1389"/>
    <w:rsid w:val="00DF4A7E"/>
    <w:rsid w:val="00E01000"/>
    <w:rsid w:val="00E0638A"/>
    <w:rsid w:val="00E14F51"/>
    <w:rsid w:val="00E22285"/>
    <w:rsid w:val="00E2531B"/>
    <w:rsid w:val="00E31779"/>
    <w:rsid w:val="00E31ABE"/>
    <w:rsid w:val="00E357B7"/>
    <w:rsid w:val="00E35EF6"/>
    <w:rsid w:val="00E412E0"/>
    <w:rsid w:val="00E51323"/>
    <w:rsid w:val="00E53800"/>
    <w:rsid w:val="00E560AA"/>
    <w:rsid w:val="00E6081F"/>
    <w:rsid w:val="00E71FAA"/>
    <w:rsid w:val="00E80449"/>
    <w:rsid w:val="00E8296D"/>
    <w:rsid w:val="00E83ECA"/>
    <w:rsid w:val="00E8457B"/>
    <w:rsid w:val="00E91A44"/>
    <w:rsid w:val="00E92440"/>
    <w:rsid w:val="00EA04B2"/>
    <w:rsid w:val="00EA20F3"/>
    <w:rsid w:val="00EA2939"/>
    <w:rsid w:val="00EB554B"/>
    <w:rsid w:val="00EB5E00"/>
    <w:rsid w:val="00EC0AF2"/>
    <w:rsid w:val="00EC56B2"/>
    <w:rsid w:val="00ED2831"/>
    <w:rsid w:val="00ED353E"/>
    <w:rsid w:val="00ED43D1"/>
    <w:rsid w:val="00ED533E"/>
    <w:rsid w:val="00EE1337"/>
    <w:rsid w:val="00EE2DD9"/>
    <w:rsid w:val="00EE4EE1"/>
    <w:rsid w:val="00EE7096"/>
    <w:rsid w:val="00EF4574"/>
    <w:rsid w:val="00F13DAC"/>
    <w:rsid w:val="00F16DFC"/>
    <w:rsid w:val="00F20F83"/>
    <w:rsid w:val="00F235EA"/>
    <w:rsid w:val="00F23FDC"/>
    <w:rsid w:val="00F248FC"/>
    <w:rsid w:val="00F25A39"/>
    <w:rsid w:val="00F25A93"/>
    <w:rsid w:val="00F2684E"/>
    <w:rsid w:val="00F27755"/>
    <w:rsid w:val="00F32306"/>
    <w:rsid w:val="00F36F15"/>
    <w:rsid w:val="00F43DC5"/>
    <w:rsid w:val="00F44A02"/>
    <w:rsid w:val="00F44EA2"/>
    <w:rsid w:val="00F4531E"/>
    <w:rsid w:val="00F51D7F"/>
    <w:rsid w:val="00F52D4C"/>
    <w:rsid w:val="00F52DAC"/>
    <w:rsid w:val="00F5404C"/>
    <w:rsid w:val="00F57BCB"/>
    <w:rsid w:val="00F6098A"/>
    <w:rsid w:val="00F60B85"/>
    <w:rsid w:val="00F6216C"/>
    <w:rsid w:val="00F6507E"/>
    <w:rsid w:val="00F67C5A"/>
    <w:rsid w:val="00F67DCA"/>
    <w:rsid w:val="00F7052D"/>
    <w:rsid w:val="00F705D3"/>
    <w:rsid w:val="00F70DA2"/>
    <w:rsid w:val="00F729EF"/>
    <w:rsid w:val="00F7515C"/>
    <w:rsid w:val="00F76896"/>
    <w:rsid w:val="00F7764B"/>
    <w:rsid w:val="00F77CAE"/>
    <w:rsid w:val="00F82271"/>
    <w:rsid w:val="00F83428"/>
    <w:rsid w:val="00F8501E"/>
    <w:rsid w:val="00F86DA7"/>
    <w:rsid w:val="00F90435"/>
    <w:rsid w:val="00F92224"/>
    <w:rsid w:val="00F93B5F"/>
    <w:rsid w:val="00F96BB9"/>
    <w:rsid w:val="00FA4116"/>
    <w:rsid w:val="00FA4ACD"/>
    <w:rsid w:val="00FA4EAA"/>
    <w:rsid w:val="00FA4FBF"/>
    <w:rsid w:val="00FA57BD"/>
    <w:rsid w:val="00FA5D22"/>
    <w:rsid w:val="00FB132F"/>
    <w:rsid w:val="00FB7D88"/>
    <w:rsid w:val="00FC145E"/>
    <w:rsid w:val="00FC322F"/>
    <w:rsid w:val="00FC333C"/>
    <w:rsid w:val="00FD34FC"/>
    <w:rsid w:val="00FD41B2"/>
    <w:rsid w:val="00FD7CD5"/>
    <w:rsid w:val="00FE08F6"/>
    <w:rsid w:val="00FE137D"/>
    <w:rsid w:val="00FE29F7"/>
    <w:rsid w:val="00FE5C00"/>
    <w:rsid w:val="00FE6D51"/>
    <w:rsid w:val="00FE6F2A"/>
    <w:rsid w:val="00FF79D5"/>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D2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0" w:unhideWhenUsed="1"/>
    <w:lsdException w:name="footer" w:locked="0" w:semiHidden="1" w:unhideWhenUsed="1" w:qFormat="1"/>
    <w:lsdException w:name="index heading" w:locked="0"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locked="0" w:semiHidden="1" w:uiPriority="0"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iPriority="0"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aliases w:val="ERF 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RF 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9"/>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9"/>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99"/>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qFormat/>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19"/>
    <w:qFormat/>
    <w:rsid w:val="00D64BD1"/>
    <w:pPr>
      <w:spacing w:before="0" w:after="180" w:line="320" w:lineRule="atLeast"/>
    </w:pPr>
    <w:rPr>
      <w:iCs/>
      <w:sz w:val="28"/>
    </w:rPr>
  </w:style>
  <w:style w:type="character" w:customStyle="1" w:styleId="QuoteChar">
    <w:name w:val="Quote Char"/>
    <w:basedOn w:val="DefaultParagraphFont"/>
    <w:link w:val="Quote"/>
    <w:uiPriority w:val="1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Geneva 9,Boston 10"/>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Geneva 9 Char"/>
    <w:basedOn w:val="DefaultParagraphFont"/>
    <w:link w:val="FootnoteText"/>
    <w:uiPriority w:val="99"/>
    <w:rsid w:val="008C5A0E"/>
    <w:rPr>
      <w:color w:val="495965" w:themeColor="text2"/>
      <w:sz w:val="12"/>
      <w:szCs w:val="20"/>
    </w:rPr>
  </w:style>
  <w:style w:type="character" w:styleId="FootnoteReference">
    <w:name w:val="footnote reference"/>
    <w:aliases w:val="ftref,footnote ref,16 Point,Superscript 6 Point,footnote number Char,BVI fnr,BVI fnr Car Car,BVI fnr Car,BVI fnr Car Car Car Car Char Char,BVI fnr Car Car Car Car Char Char Char Char Char,BVI fnr Car Car Car Car Char,Ref"/>
    <w:basedOn w:val="DefaultParagraphFont"/>
    <w:link w:val="footnotenumber"/>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uiPriority w:val="24"/>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aliases w:val="t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1"/>
    <w:unhideWhenUsed/>
    <w:qFormat/>
    <w:rsid w:val="000020C1"/>
  </w:style>
  <w:style w:type="character" w:customStyle="1" w:styleId="BodyTextChar">
    <w:name w:val="Body Text Char"/>
    <w:basedOn w:val="DefaultParagraphFont"/>
    <w:link w:val="BodyText"/>
    <w:uiPriority w:val="1"/>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nhideWhenUsed/>
    <w:locked/>
    <w:rsid w:val="000020C1"/>
    <w:rPr>
      <w:sz w:val="16"/>
      <w:szCs w:val="16"/>
    </w:rPr>
  </w:style>
  <w:style w:type="character" w:customStyle="1" w:styleId="BodyText3Char">
    <w:name w:val="Body Text 3 Char"/>
    <w:basedOn w:val="DefaultParagraphFont"/>
    <w:link w:val="BodyText3"/>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uiPriority w:val="99"/>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aliases w:val="Bullets level 1,Recommendation,List Paragraph1"/>
    <w:basedOn w:val="Normal"/>
    <w:link w:val="ListParagraphChar"/>
    <w:uiPriority w:val="34"/>
    <w:qFormat/>
    <w:locked/>
    <w:rsid w:val="00A81444"/>
    <w:pPr>
      <w:suppressAutoHyphens w:val="0"/>
      <w:spacing w:before="0" w:after="0" w:line="240" w:lineRule="auto"/>
      <w:ind w:left="720"/>
    </w:pPr>
    <w:rPr>
      <w:rFonts w:ascii="Calibri" w:eastAsia="Times New Roman" w:hAnsi="Calibri" w:cs="Times New Roman"/>
      <w:color w:val="auto"/>
      <w:lang w:val="en-AU"/>
    </w:rPr>
  </w:style>
  <w:style w:type="paragraph" w:customStyle="1" w:styleId="Default">
    <w:name w:val="Default"/>
    <w:rsid w:val="0076190E"/>
    <w:pPr>
      <w:autoSpaceDE w:val="0"/>
      <w:autoSpaceDN w:val="0"/>
      <w:adjustRightInd w:val="0"/>
      <w:spacing w:after="0" w:line="240" w:lineRule="auto"/>
    </w:pPr>
    <w:rPr>
      <w:rFonts w:ascii="Arial" w:hAnsi="Arial" w:cs="Arial"/>
      <w:color w:val="000000"/>
      <w:sz w:val="24"/>
      <w:szCs w:val="24"/>
    </w:rPr>
  </w:style>
  <w:style w:type="paragraph" w:customStyle="1" w:styleId="PFNum">
    <w:name w:val="PF (Num)"/>
    <w:basedOn w:val="Normal"/>
    <w:rsid w:val="00D5483F"/>
    <w:pPr>
      <w:tabs>
        <w:tab w:val="num" w:pos="924"/>
        <w:tab w:val="right" w:pos="9214"/>
      </w:tabs>
      <w:suppressAutoHyphens w:val="0"/>
      <w:spacing w:after="120" w:line="240" w:lineRule="auto"/>
      <w:ind w:left="924" w:hanging="924"/>
    </w:pPr>
    <w:rPr>
      <w:rFonts w:ascii="Arial" w:eastAsia="Times New Roman" w:hAnsi="Arial" w:cs="Times New Roman"/>
      <w:iCs/>
      <w:color w:val="000000"/>
      <w:szCs w:val="20"/>
      <w:lang w:val="en-AU"/>
    </w:rPr>
  </w:style>
  <w:style w:type="paragraph" w:customStyle="1" w:styleId="PFNumLevel3">
    <w:name w:val="PF (Num) Level 3"/>
    <w:basedOn w:val="Normal"/>
    <w:rsid w:val="00D5483F"/>
    <w:pPr>
      <w:tabs>
        <w:tab w:val="num" w:pos="1848"/>
        <w:tab w:val="right" w:pos="9214"/>
      </w:tabs>
      <w:suppressAutoHyphens w:val="0"/>
      <w:spacing w:after="120" w:line="240" w:lineRule="auto"/>
      <w:ind w:left="1848" w:hanging="924"/>
    </w:pPr>
    <w:rPr>
      <w:rFonts w:ascii="Arial" w:eastAsia="Times New Roman" w:hAnsi="Arial" w:cs="Times New Roman"/>
      <w:iCs/>
      <w:color w:val="000000"/>
      <w:szCs w:val="20"/>
      <w:lang w:val="en-AU"/>
    </w:rPr>
  </w:style>
  <w:style w:type="paragraph" w:customStyle="1" w:styleId="PFNumLevel4">
    <w:name w:val="PF (Num) Level 4"/>
    <w:basedOn w:val="Normal"/>
    <w:rsid w:val="00D5483F"/>
    <w:pPr>
      <w:tabs>
        <w:tab w:val="num" w:pos="2772"/>
        <w:tab w:val="right" w:pos="6804"/>
      </w:tabs>
      <w:suppressAutoHyphens w:val="0"/>
      <w:spacing w:after="120" w:line="240" w:lineRule="auto"/>
      <w:ind w:left="2772" w:hanging="924"/>
    </w:pPr>
    <w:rPr>
      <w:rFonts w:ascii="Arial" w:eastAsia="Times New Roman" w:hAnsi="Arial" w:cs="Times New Roman"/>
      <w:i/>
      <w:iCs/>
      <w:color w:val="000000"/>
      <w:sz w:val="21"/>
      <w:szCs w:val="20"/>
      <w:lang w:val="en-AU"/>
    </w:rPr>
  </w:style>
  <w:style w:type="paragraph" w:customStyle="1" w:styleId="PFNumLevel5">
    <w:name w:val="PF (Num) Level 5"/>
    <w:basedOn w:val="Normal"/>
    <w:rsid w:val="00D5483F"/>
    <w:pPr>
      <w:tabs>
        <w:tab w:val="num" w:pos="1848"/>
        <w:tab w:val="left" w:pos="2773"/>
        <w:tab w:val="left" w:pos="3697"/>
        <w:tab w:val="right" w:pos="9214"/>
      </w:tabs>
      <w:suppressAutoHyphens w:val="0"/>
      <w:spacing w:after="120" w:line="240" w:lineRule="auto"/>
      <w:ind w:left="1848" w:hanging="924"/>
    </w:pPr>
    <w:rPr>
      <w:rFonts w:ascii="Arial" w:eastAsia="Times New Roman" w:hAnsi="Arial" w:cs="Times New Roman"/>
      <w:iCs/>
      <w:color w:val="000000"/>
      <w:szCs w:val="20"/>
      <w:lang w:val="en-AU"/>
    </w:rPr>
  </w:style>
  <w:style w:type="character" w:customStyle="1" w:styleId="ListParagraphChar">
    <w:name w:val="List Paragraph Char"/>
    <w:aliases w:val="Bullets level 1 Char,Recommendation Char,List Paragraph1 Char"/>
    <w:basedOn w:val="DefaultParagraphFont"/>
    <w:link w:val="ListParagraph"/>
    <w:uiPriority w:val="34"/>
    <w:rsid w:val="00D43ADA"/>
    <w:rPr>
      <w:rFonts w:ascii="Calibri" w:eastAsia="Times New Roman" w:hAnsi="Calibri" w:cs="Times New Roman"/>
    </w:rPr>
  </w:style>
  <w:style w:type="paragraph" w:customStyle="1" w:styleId="List-bullet-1">
    <w:name w:val="List-bullet-1"/>
    <w:basedOn w:val="Normal"/>
    <w:rsid w:val="00D43ADA"/>
    <w:pPr>
      <w:numPr>
        <w:numId w:val="17"/>
      </w:numPr>
      <w:suppressAutoHyphens w:val="0"/>
      <w:spacing w:after="0" w:line="240" w:lineRule="auto"/>
    </w:pPr>
    <w:rPr>
      <w:rFonts w:ascii="Arial" w:eastAsia="Times New Roman" w:hAnsi="Arial" w:cs="Arial"/>
      <w:color w:val="auto"/>
      <w:sz w:val="20"/>
      <w:lang w:val="en-AU"/>
    </w:rPr>
  </w:style>
  <w:style w:type="paragraph" w:styleId="EndnoteText">
    <w:name w:val="endnote text"/>
    <w:basedOn w:val="Normal"/>
    <w:link w:val="EndnoteTextChar"/>
    <w:uiPriority w:val="99"/>
    <w:unhideWhenUsed/>
    <w:rsid w:val="00D43ADA"/>
    <w:pPr>
      <w:suppressAutoHyphens w:val="0"/>
      <w:spacing w:before="0" w:after="120" w:line="240" w:lineRule="auto"/>
    </w:pPr>
    <w:rPr>
      <w:rFonts w:ascii="Arial" w:eastAsia="Times New Roman" w:hAnsi="Arial" w:cs="Arial"/>
      <w:color w:val="auto"/>
      <w:sz w:val="20"/>
      <w:szCs w:val="20"/>
      <w:lang w:val="en-AU" w:eastAsia="en-AU"/>
    </w:rPr>
  </w:style>
  <w:style w:type="character" w:customStyle="1" w:styleId="EndnoteTextChar">
    <w:name w:val="Endnote Text Char"/>
    <w:basedOn w:val="DefaultParagraphFont"/>
    <w:link w:val="EndnoteText"/>
    <w:uiPriority w:val="99"/>
    <w:rsid w:val="00D43ADA"/>
    <w:rPr>
      <w:rFonts w:ascii="Arial" w:eastAsia="Times New Roman" w:hAnsi="Arial" w:cs="Arial"/>
      <w:sz w:val="20"/>
      <w:szCs w:val="20"/>
      <w:lang w:eastAsia="en-AU"/>
    </w:rPr>
  </w:style>
  <w:style w:type="character" w:styleId="EndnoteReference">
    <w:name w:val="endnote reference"/>
    <w:basedOn w:val="DefaultParagraphFont"/>
    <w:uiPriority w:val="99"/>
    <w:unhideWhenUsed/>
    <w:rsid w:val="00D43ADA"/>
    <w:rPr>
      <w:vertAlign w:val="superscript"/>
    </w:rPr>
  </w:style>
  <w:style w:type="table" w:customStyle="1" w:styleId="TableGrid6">
    <w:name w:val="Table Grid6"/>
    <w:basedOn w:val="TableNormal"/>
    <w:next w:val="TableGrid"/>
    <w:rsid w:val="009C2087"/>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19"/>
    <w:qFormat/>
    <w:rsid w:val="009C2087"/>
    <w:pPr>
      <w:keepNext/>
      <w:spacing w:before="140" w:after="113" w:line="240" w:lineRule="auto"/>
    </w:pPr>
    <w:rPr>
      <w:rFonts w:ascii="Arial" w:hAnsi="Arial" w:cstheme="minorHAnsi"/>
      <w:b/>
      <w:color w:val="D3875F" w:themeColor="accent3"/>
      <w:spacing w:val="-3"/>
      <w:sz w:val="20"/>
      <w:szCs w:val="24"/>
    </w:rPr>
  </w:style>
  <w:style w:type="paragraph" w:customStyle="1" w:styleId="ColorfulList-Accent11">
    <w:name w:val="Colorful List - Accent 11"/>
    <w:aliases w:val="List Paragraph - Dani,List Paragraph 1 - Dani"/>
    <w:basedOn w:val="Normal"/>
    <w:uiPriority w:val="34"/>
    <w:qFormat/>
    <w:rsid w:val="000167A9"/>
    <w:pPr>
      <w:numPr>
        <w:numId w:val="20"/>
      </w:numPr>
      <w:suppressAutoHyphens w:val="0"/>
      <w:spacing w:before="0" w:after="120" w:line="240" w:lineRule="auto"/>
      <w:contextualSpacing/>
    </w:pPr>
    <w:rPr>
      <w:rFonts w:ascii="Arial" w:eastAsia="Calibri" w:hAnsi="Arial" w:cs="Arial"/>
      <w:color w:val="auto"/>
      <w:lang w:val="en-NZ" w:eastAsia="en-AU"/>
    </w:rPr>
  </w:style>
  <w:style w:type="paragraph" w:customStyle="1" w:styleId="TOCHeading1">
    <w:name w:val="TOC Heading1"/>
    <w:basedOn w:val="Heading1"/>
    <w:next w:val="Normal"/>
    <w:uiPriority w:val="39"/>
    <w:semiHidden/>
    <w:unhideWhenUsed/>
    <w:qFormat/>
    <w:rsid w:val="000167A9"/>
    <w:pPr>
      <w:keepNext w:val="0"/>
      <w:keepLines w:val="0"/>
      <w:suppressAutoHyphens w:val="0"/>
      <w:spacing w:before="240" w:after="120" w:line="240" w:lineRule="auto"/>
      <w:ind w:left="432" w:hanging="432"/>
      <w:outlineLvl w:val="9"/>
    </w:pPr>
    <w:rPr>
      <w:rFonts w:ascii="Arial" w:eastAsia="Times New Roman" w:hAnsi="Arial" w:cs="Arial"/>
      <w:caps w:val="0"/>
      <w:color w:val="9BBB59"/>
      <w:sz w:val="28"/>
      <w:lang w:val="en-AU" w:eastAsia="en-AU"/>
    </w:rPr>
  </w:style>
  <w:style w:type="paragraph" w:customStyle="1" w:styleId="Numberedstyle">
    <w:name w:val="Numbered style"/>
    <w:basedOn w:val="ColorfulList-Accent11"/>
    <w:link w:val="NumberedstyleChar"/>
    <w:rsid w:val="000167A9"/>
    <w:pPr>
      <w:numPr>
        <w:numId w:val="21"/>
      </w:numPr>
      <w:jc w:val="both"/>
    </w:pPr>
  </w:style>
  <w:style w:type="character" w:customStyle="1" w:styleId="NumberedstyleChar">
    <w:name w:val="Numbered style Char"/>
    <w:link w:val="Numberedstyle"/>
    <w:rsid w:val="000167A9"/>
    <w:rPr>
      <w:rFonts w:ascii="Arial" w:eastAsia="Calibri" w:hAnsi="Arial" w:cs="Arial"/>
      <w:lang w:val="en-NZ" w:eastAsia="en-AU"/>
    </w:rPr>
  </w:style>
  <w:style w:type="paragraph" w:customStyle="1" w:styleId="ERFHeading">
    <w:name w:val="ERF Heading"/>
    <w:qFormat/>
    <w:rsid w:val="000167A9"/>
    <w:pPr>
      <w:spacing w:after="0" w:line="240" w:lineRule="auto"/>
      <w:jc w:val="center"/>
    </w:pPr>
    <w:rPr>
      <w:rFonts w:ascii="Arial" w:eastAsia="Times New Roman" w:hAnsi="Arial" w:cs="Times New Roman"/>
      <w:b/>
      <w:bCs/>
      <w:color w:val="9BBB59"/>
      <w:sz w:val="40"/>
      <w:szCs w:val="28"/>
      <w:lang w:val="en-US" w:bidi="en-US"/>
    </w:rPr>
  </w:style>
  <w:style w:type="paragraph" w:customStyle="1" w:styleId="footnotenumber">
    <w:name w:val="footnote number"/>
    <w:basedOn w:val="Normal"/>
    <w:next w:val="FootnoteText"/>
    <w:link w:val="FootnoteReference"/>
    <w:uiPriority w:val="99"/>
    <w:rsid w:val="000167A9"/>
    <w:pPr>
      <w:suppressAutoHyphens w:val="0"/>
      <w:spacing w:before="0" w:after="160" w:line="240" w:lineRule="exact"/>
    </w:pPr>
    <w:rPr>
      <w:color w:val="auto"/>
      <w:vertAlign w:val="superscript"/>
      <w:lang w:val="en-AU"/>
    </w:rPr>
  </w:style>
  <w:style w:type="table" w:customStyle="1" w:styleId="TableGrid1">
    <w:name w:val="Table Grid1"/>
    <w:basedOn w:val="TableNormal"/>
    <w:next w:val="TableGrid"/>
    <w:rsid w:val="000167A9"/>
    <w:pPr>
      <w:spacing w:after="0" w:line="240" w:lineRule="auto"/>
    </w:pPr>
    <w:rPr>
      <w:rFonts w:ascii="Calibri" w:eastAsia="Calibri" w:hAnsi="Calibri" w:cs="Times New Roman"/>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2">
    <w:name w:val="List-number-2"/>
    <w:basedOn w:val="Normal"/>
    <w:qFormat/>
    <w:rsid w:val="000167A9"/>
    <w:pPr>
      <w:numPr>
        <w:ilvl w:val="1"/>
        <w:numId w:val="22"/>
      </w:numPr>
      <w:suppressAutoHyphens w:val="0"/>
      <w:spacing w:after="120" w:line="240" w:lineRule="auto"/>
    </w:pPr>
    <w:rPr>
      <w:rFonts w:ascii="Arial" w:eastAsia="Times New Roman" w:hAnsi="Arial" w:cs="Arial"/>
      <w:color w:val="auto"/>
      <w:szCs w:val="24"/>
      <w:lang w:val="en-AU" w:eastAsia="en-AU"/>
    </w:rPr>
  </w:style>
  <w:style w:type="paragraph" w:customStyle="1" w:styleId="List-number-1">
    <w:name w:val="List-number-1"/>
    <w:basedOn w:val="Normal"/>
    <w:link w:val="List-number-1Char"/>
    <w:qFormat/>
    <w:rsid w:val="000167A9"/>
    <w:pPr>
      <w:tabs>
        <w:tab w:val="num" w:pos="360"/>
      </w:tabs>
      <w:suppressAutoHyphens w:val="0"/>
      <w:spacing w:after="120" w:line="240" w:lineRule="auto"/>
      <w:ind w:left="360" w:hanging="360"/>
    </w:pPr>
    <w:rPr>
      <w:rFonts w:ascii="Arial" w:eastAsia="Times New Roman" w:hAnsi="Arial" w:cs="Arial"/>
      <w:color w:val="auto"/>
      <w:szCs w:val="24"/>
      <w:lang w:val="en-AU" w:eastAsia="en-AU"/>
    </w:rPr>
  </w:style>
  <w:style w:type="character" w:customStyle="1" w:styleId="List-number-1Char">
    <w:name w:val="List-number-1 Char"/>
    <w:link w:val="List-number-1"/>
    <w:rsid w:val="000167A9"/>
    <w:rPr>
      <w:rFonts w:ascii="Arial" w:eastAsia="Times New Roman" w:hAnsi="Arial" w:cs="Arial"/>
      <w:szCs w:val="24"/>
      <w:lang w:eastAsia="en-AU"/>
    </w:rPr>
  </w:style>
  <w:style w:type="table" w:customStyle="1" w:styleId="TableGrid2">
    <w:name w:val="Table Grid2"/>
    <w:basedOn w:val="TableNormal"/>
    <w:next w:val="TableGrid"/>
    <w:rsid w:val="000167A9"/>
    <w:pPr>
      <w:spacing w:after="0" w:line="240" w:lineRule="auto"/>
    </w:pPr>
    <w:rPr>
      <w:rFonts w:ascii="Calibri" w:eastAsia="Calibri" w:hAnsi="Calibri" w:cs="Times New Roman"/>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bullet">
    <w:name w:val="Table-list-bullet"/>
    <w:basedOn w:val="Normal"/>
    <w:rsid w:val="000167A9"/>
    <w:pPr>
      <w:suppressAutoHyphens w:val="0"/>
      <w:spacing w:before="60" w:after="120" w:line="240" w:lineRule="auto"/>
    </w:pPr>
    <w:rPr>
      <w:rFonts w:ascii="Arial" w:eastAsia="Times New Roman" w:hAnsi="Arial" w:cs="Arial"/>
      <w:color w:val="auto"/>
      <w:szCs w:val="24"/>
      <w:lang w:val="en-AU" w:eastAsia="en-AU"/>
    </w:rPr>
  </w:style>
  <w:style w:type="paragraph" w:customStyle="1" w:styleId="CONLevela">
    <w:name w:val=".CON  Level  (a)"/>
    <w:basedOn w:val="Normal"/>
    <w:next w:val="Normal"/>
    <w:rsid w:val="000167A9"/>
    <w:pPr>
      <w:numPr>
        <w:ilvl w:val="2"/>
        <w:numId w:val="23"/>
      </w:numPr>
      <w:suppressAutoHyphens w:val="0"/>
      <w:spacing w:before="240" w:after="120" w:line="240" w:lineRule="auto"/>
      <w:outlineLvl w:val="3"/>
    </w:pPr>
    <w:rPr>
      <w:rFonts w:ascii="Times New Roman" w:eastAsia="Times New Roman" w:hAnsi="Times New Roman" w:cs="Arial"/>
      <w:color w:val="auto"/>
      <w:sz w:val="24"/>
      <w:lang w:val="en-AU" w:eastAsia="en-AU"/>
    </w:rPr>
  </w:style>
  <w:style w:type="paragraph" w:customStyle="1" w:styleId="CONLeveli">
    <w:name w:val=".CON  Level  (i)"/>
    <w:basedOn w:val="Normal"/>
    <w:next w:val="Normal"/>
    <w:rsid w:val="000167A9"/>
    <w:pPr>
      <w:numPr>
        <w:ilvl w:val="3"/>
        <w:numId w:val="23"/>
      </w:numPr>
      <w:suppressAutoHyphens w:val="0"/>
      <w:spacing w:before="240" w:after="120" w:line="240" w:lineRule="auto"/>
      <w:outlineLvl w:val="4"/>
    </w:pPr>
    <w:rPr>
      <w:rFonts w:ascii="Times New Roman" w:eastAsia="Times New Roman" w:hAnsi="Times New Roman" w:cs="Arial"/>
      <w:color w:val="auto"/>
      <w:sz w:val="24"/>
      <w:lang w:val="en-AU" w:eastAsia="en-AU"/>
    </w:rPr>
  </w:style>
  <w:style w:type="paragraph" w:customStyle="1" w:styleId="CONLevel1">
    <w:name w:val=".CON  Level   1."/>
    <w:basedOn w:val="Normal"/>
    <w:next w:val="Normal"/>
    <w:rsid w:val="000167A9"/>
    <w:pPr>
      <w:keepNext/>
      <w:tabs>
        <w:tab w:val="num" w:pos="720"/>
      </w:tabs>
      <w:suppressAutoHyphens w:val="0"/>
      <w:spacing w:before="240" w:after="120" w:line="240" w:lineRule="auto"/>
      <w:ind w:left="720" w:right="1701" w:hanging="720"/>
      <w:outlineLvl w:val="1"/>
    </w:pPr>
    <w:rPr>
      <w:rFonts w:ascii="Times New Roman" w:eastAsia="Times New Roman" w:hAnsi="Times New Roman" w:cs="Arial"/>
      <w:b/>
      <w:color w:val="auto"/>
      <w:sz w:val="24"/>
      <w:lang w:val="en-AU" w:eastAsia="en-AU"/>
    </w:rPr>
  </w:style>
  <w:style w:type="paragraph" w:customStyle="1" w:styleId="CONLevel11">
    <w:name w:val=".CON  Level   1.1"/>
    <w:basedOn w:val="Normal"/>
    <w:next w:val="Normal"/>
    <w:link w:val="CONLevel11Char"/>
    <w:rsid w:val="000167A9"/>
    <w:pPr>
      <w:tabs>
        <w:tab w:val="num" w:pos="720"/>
      </w:tabs>
      <w:suppressAutoHyphens w:val="0"/>
      <w:spacing w:before="240" w:after="120" w:line="240" w:lineRule="auto"/>
      <w:ind w:left="720" w:hanging="706"/>
      <w:outlineLvl w:val="2"/>
    </w:pPr>
    <w:rPr>
      <w:rFonts w:ascii="Times New Roman" w:eastAsia="Times New Roman" w:hAnsi="Times New Roman" w:cs="Arial"/>
      <w:color w:val="auto"/>
      <w:sz w:val="24"/>
      <w:lang w:val="en-AU" w:eastAsia="en-AU"/>
    </w:rPr>
  </w:style>
  <w:style w:type="character" w:customStyle="1" w:styleId="CONLevel11Char">
    <w:name w:val=".CON  Level   1.1 Char"/>
    <w:link w:val="CONLevel11"/>
    <w:rsid w:val="000167A9"/>
    <w:rPr>
      <w:rFonts w:ascii="Times New Roman" w:eastAsia="Times New Roman" w:hAnsi="Times New Roman" w:cs="Arial"/>
      <w:sz w:val="24"/>
      <w:lang w:eastAsia="en-AU"/>
    </w:rPr>
  </w:style>
  <w:style w:type="paragraph" w:customStyle="1" w:styleId="CONLevelA0">
    <w:name w:val=".CON  Level (A)"/>
    <w:basedOn w:val="Normal"/>
    <w:next w:val="Normal"/>
    <w:rsid w:val="000167A9"/>
    <w:pPr>
      <w:tabs>
        <w:tab w:val="num" w:pos="2880"/>
      </w:tabs>
      <w:suppressAutoHyphens w:val="0"/>
      <w:spacing w:before="240" w:after="120" w:line="240" w:lineRule="auto"/>
      <w:ind w:left="2880" w:hanging="720"/>
      <w:outlineLvl w:val="5"/>
    </w:pPr>
    <w:rPr>
      <w:rFonts w:ascii="Times New Roman" w:eastAsia="Times New Roman" w:hAnsi="Times New Roman" w:cs="Arial"/>
      <w:color w:val="auto"/>
      <w:sz w:val="24"/>
      <w:lang w:val="en-AU" w:eastAsia="en-AU"/>
    </w:rPr>
  </w:style>
  <w:style w:type="paragraph" w:customStyle="1" w:styleId="CONLevelI0">
    <w:name w:val=".CON  Level (I)"/>
    <w:basedOn w:val="Normal"/>
    <w:next w:val="Normal"/>
    <w:rsid w:val="000167A9"/>
    <w:pPr>
      <w:tabs>
        <w:tab w:val="num" w:pos="3600"/>
      </w:tabs>
      <w:suppressAutoHyphens w:val="0"/>
      <w:spacing w:before="240" w:after="120" w:line="240" w:lineRule="auto"/>
      <w:ind w:left="3600" w:hanging="720"/>
      <w:outlineLvl w:val="6"/>
    </w:pPr>
    <w:rPr>
      <w:rFonts w:ascii="Times New Roman" w:eastAsia="Times New Roman" w:hAnsi="Times New Roman" w:cs="Arial"/>
      <w:color w:val="auto"/>
      <w:sz w:val="24"/>
      <w:lang w:val="en-AU" w:eastAsia="en-AU"/>
    </w:rPr>
  </w:style>
  <w:style w:type="paragraph" w:styleId="DocumentMap">
    <w:name w:val="Document Map"/>
    <w:basedOn w:val="Normal"/>
    <w:link w:val="DocumentMapChar"/>
    <w:uiPriority w:val="99"/>
    <w:semiHidden/>
    <w:unhideWhenUsed/>
    <w:locked/>
    <w:rsid w:val="000167A9"/>
    <w:pPr>
      <w:suppressAutoHyphens w:val="0"/>
      <w:spacing w:before="0" w:after="120" w:line="240" w:lineRule="auto"/>
    </w:pPr>
    <w:rPr>
      <w:rFonts w:ascii="Tahoma" w:eastAsia="Times New Roman" w:hAnsi="Tahoma" w:cs="Tahoma"/>
      <w:color w:val="auto"/>
      <w:sz w:val="16"/>
      <w:szCs w:val="16"/>
      <w:lang w:val="en-AU" w:eastAsia="en-AU"/>
    </w:rPr>
  </w:style>
  <w:style w:type="character" w:customStyle="1" w:styleId="DocumentMapChar">
    <w:name w:val="Document Map Char"/>
    <w:basedOn w:val="DefaultParagraphFont"/>
    <w:link w:val="DocumentMap"/>
    <w:uiPriority w:val="99"/>
    <w:semiHidden/>
    <w:rsid w:val="000167A9"/>
    <w:rPr>
      <w:rFonts w:ascii="Tahoma" w:eastAsia="Times New Roman" w:hAnsi="Tahoma" w:cs="Tahoma"/>
      <w:sz w:val="16"/>
      <w:szCs w:val="16"/>
      <w:lang w:eastAsia="en-AU"/>
    </w:rPr>
  </w:style>
  <w:style w:type="paragraph" w:customStyle="1" w:styleId="Tabletext0">
    <w:name w:val="Table text"/>
    <w:basedOn w:val="Normal"/>
    <w:qFormat/>
    <w:rsid w:val="000167A9"/>
    <w:pPr>
      <w:suppressAutoHyphens w:val="0"/>
      <w:spacing w:before="0" w:after="120" w:line="240" w:lineRule="auto"/>
    </w:pPr>
    <w:rPr>
      <w:rFonts w:ascii="Arial" w:eastAsia="Times New Roman" w:hAnsi="Arial" w:cs="Arial"/>
      <w:color w:val="auto"/>
      <w:lang w:val="en-AU" w:eastAsia="en-AU"/>
    </w:rPr>
  </w:style>
  <w:style w:type="paragraph" w:styleId="PlainText">
    <w:name w:val="Plain Text"/>
    <w:basedOn w:val="Normal"/>
    <w:link w:val="PlainTextChar"/>
    <w:uiPriority w:val="99"/>
    <w:unhideWhenUsed/>
    <w:locked/>
    <w:rsid w:val="000167A9"/>
    <w:pPr>
      <w:suppressAutoHyphens w:val="0"/>
      <w:spacing w:before="0" w:after="120" w:line="240" w:lineRule="auto"/>
    </w:pPr>
    <w:rPr>
      <w:rFonts w:ascii="Consolas" w:eastAsia="Times New Roman" w:hAnsi="Consolas" w:cs="Calibri"/>
      <w:color w:val="auto"/>
      <w:sz w:val="21"/>
      <w:szCs w:val="21"/>
      <w:lang w:val="en-AU" w:eastAsia="en-AU"/>
    </w:rPr>
  </w:style>
  <w:style w:type="character" w:customStyle="1" w:styleId="PlainTextChar">
    <w:name w:val="Plain Text Char"/>
    <w:basedOn w:val="DefaultParagraphFont"/>
    <w:link w:val="PlainText"/>
    <w:uiPriority w:val="99"/>
    <w:rsid w:val="000167A9"/>
    <w:rPr>
      <w:rFonts w:ascii="Consolas" w:eastAsia="Times New Roman" w:hAnsi="Consolas" w:cs="Calibri"/>
      <w:sz w:val="21"/>
      <w:szCs w:val="21"/>
      <w:lang w:eastAsia="en-AU"/>
    </w:rPr>
  </w:style>
  <w:style w:type="paragraph" w:styleId="Revision">
    <w:name w:val="Revision"/>
    <w:hidden/>
    <w:uiPriority w:val="99"/>
    <w:rsid w:val="000167A9"/>
    <w:pPr>
      <w:spacing w:after="0" w:line="240" w:lineRule="auto"/>
    </w:pPr>
    <w:rPr>
      <w:rFonts w:ascii="Arial" w:eastAsia="Times New Roman" w:hAnsi="Arial" w:cs="Arial"/>
      <w:lang w:eastAsia="en-AU"/>
    </w:rPr>
  </w:style>
  <w:style w:type="table" w:customStyle="1" w:styleId="TableGrid11">
    <w:name w:val="Table Grid11"/>
    <w:basedOn w:val="TableNormal"/>
    <w:rsid w:val="000167A9"/>
    <w:pPr>
      <w:spacing w:after="0" w:line="240" w:lineRule="auto"/>
    </w:pPr>
    <w:rPr>
      <w:rFonts w:ascii="Arial" w:eastAsia="Times New Roman" w:hAnsi="Arial"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0167A9"/>
  </w:style>
  <w:style w:type="table" w:customStyle="1" w:styleId="TableGrid3">
    <w:name w:val="Table Grid3"/>
    <w:basedOn w:val="TableNormal"/>
    <w:next w:val="TableGrid"/>
    <w:uiPriority w:val="59"/>
    <w:rsid w:val="0001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0">
    <w:name w:val="Heading 1 numbered"/>
    <w:basedOn w:val="Heading1"/>
    <w:qFormat/>
    <w:rsid w:val="000167A9"/>
    <w:pPr>
      <w:keepLines w:val="0"/>
      <w:numPr>
        <w:numId w:val="24"/>
      </w:numPr>
      <w:pBdr>
        <w:bottom w:val="single" w:sz="6" w:space="1" w:color="999999"/>
      </w:pBdr>
      <w:suppressAutoHyphens w:val="0"/>
      <w:spacing w:before="240" w:after="60" w:line="240" w:lineRule="auto"/>
      <w:contextualSpacing w:val="0"/>
    </w:pPr>
    <w:rPr>
      <w:rFonts w:ascii="Arial" w:eastAsia="Times New Roman" w:hAnsi="Arial" w:cs="Arial"/>
      <w:bCs w:val="0"/>
      <w:caps w:val="0"/>
      <w:color w:val="auto"/>
      <w:sz w:val="26"/>
      <w:szCs w:val="32"/>
      <w:lang w:val="en-AU" w:eastAsia="en-AU"/>
    </w:rPr>
  </w:style>
  <w:style w:type="paragraph" w:styleId="NoSpacing">
    <w:name w:val="No Spacing"/>
    <w:basedOn w:val="NormalWeb"/>
    <w:link w:val="NoSpacingChar"/>
    <w:uiPriority w:val="1"/>
    <w:qFormat/>
    <w:rsid w:val="000167A9"/>
    <w:rPr>
      <w:rFonts w:ascii="Arial" w:eastAsiaTheme="minorEastAsia" w:hAnsi="Arial" w:cs="Arial"/>
      <w:sz w:val="20"/>
      <w:szCs w:val="20"/>
      <w:lang w:val="en-US" w:eastAsia="en-US"/>
    </w:rPr>
  </w:style>
  <w:style w:type="paragraph" w:styleId="NormalWeb">
    <w:name w:val="Normal (Web)"/>
    <w:basedOn w:val="Normal"/>
    <w:uiPriority w:val="99"/>
    <w:unhideWhenUsed/>
    <w:rsid w:val="000167A9"/>
    <w:pPr>
      <w:suppressAutoHyphens w:val="0"/>
      <w:spacing w:before="0" w:after="120" w:line="240" w:lineRule="auto"/>
    </w:pPr>
    <w:rPr>
      <w:rFonts w:ascii="Times New Roman" w:eastAsia="Times New Roman" w:hAnsi="Times New Roman" w:cs="Times New Roman"/>
      <w:color w:val="auto"/>
      <w:sz w:val="24"/>
      <w:szCs w:val="24"/>
      <w:lang w:val="en-AU" w:eastAsia="en-AU"/>
    </w:rPr>
  </w:style>
  <w:style w:type="paragraph" w:customStyle="1" w:styleId="TableListNumber">
    <w:name w:val="Table List Number"/>
    <w:basedOn w:val="Normal"/>
    <w:rsid w:val="000167A9"/>
    <w:pPr>
      <w:keepLines/>
      <w:numPr>
        <w:numId w:val="25"/>
      </w:numPr>
      <w:suppressAutoHyphens w:val="0"/>
      <w:spacing w:before="40" w:after="40" w:line="200" w:lineRule="atLeast"/>
    </w:pPr>
    <w:rPr>
      <w:rFonts w:ascii="Franklin Gothic Book" w:eastAsia="Times New Roman" w:hAnsi="Franklin Gothic Book" w:cs="Times New Roman"/>
      <w:color w:val="000000" w:themeColor="text1"/>
      <w:sz w:val="17"/>
      <w:szCs w:val="17"/>
      <w:lang w:val="en-AU"/>
    </w:rPr>
  </w:style>
  <w:style w:type="table" w:customStyle="1" w:styleId="TableGrid4">
    <w:name w:val="Table Grid4"/>
    <w:basedOn w:val="TableNormal"/>
    <w:next w:val="TableGrid"/>
    <w:uiPriority w:val="59"/>
    <w:rsid w:val="000167A9"/>
    <w:pPr>
      <w:spacing w:before="200"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basedOn w:val="DefaultParagraphFont"/>
    <w:rsid w:val="000167A9"/>
  </w:style>
  <w:style w:type="paragraph" w:customStyle="1" w:styleId="List-bullet-2">
    <w:name w:val="List-bullet-2"/>
    <w:basedOn w:val="Normal"/>
    <w:rsid w:val="000167A9"/>
    <w:pPr>
      <w:numPr>
        <w:numId w:val="26"/>
      </w:numPr>
      <w:suppressAutoHyphens w:val="0"/>
      <w:spacing w:before="80" w:after="120" w:line="240" w:lineRule="auto"/>
    </w:pPr>
    <w:rPr>
      <w:rFonts w:ascii="Arial" w:eastAsia="Times New Roman" w:hAnsi="Arial" w:cs="Arial"/>
      <w:color w:val="auto"/>
      <w:lang w:val="en-US"/>
    </w:rPr>
  </w:style>
  <w:style w:type="paragraph" w:styleId="ListBullet2">
    <w:name w:val="List Bullet 2"/>
    <w:basedOn w:val="ListBullet"/>
    <w:locked/>
    <w:rsid w:val="000167A9"/>
    <w:pPr>
      <w:numPr>
        <w:numId w:val="28"/>
      </w:numPr>
      <w:tabs>
        <w:tab w:val="clear" w:pos="284"/>
      </w:tabs>
      <w:spacing w:after="0" w:line="240" w:lineRule="exact"/>
    </w:pPr>
    <w:rPr>
      <w:rFonts w:ascii="Times New Roman" w:hAnsi="Times New Roman"/>
      <w:color w:val="auto"/>
      <w:sz w:val="22"/>
      <w:szCs w:val="19"/>
    </w:rPr>
  </w:style>
  <w:style w:type="paragraph" w:customStyle="1" w:styleId="TableListNumber2">
    <w:name w:val="Table List Number 2"/>
    <w:basedOn w:val="TableListNumber"/>
    <w:rsid w:val="000167A9"/>
    <w:pPr>
      <w:numPr>
        <w:numId w:val="27"/>
      </w:numPr>
    </w:pPr>
    <w:rPr>
      <w:rFonts w:ascii="Arial" w:hAnsi="Arial"/>
      <w:color w:val="auto"/>
      <w:lang w:val="en-NZ"/>
    </w:rPr>
  </w:style>
  <w:style w:type="paragraph" w:customStyle="1" w:styleId="more">
    <w:name w:val="more"/>
    <w:basedOn w:val="Normal"/>
    <w:rsid w:val="000167A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NZ" w:eastAsia="en-AU"/>
    </w:rPr>
  </w:style>
  <w:style w:type="character" w:customStyle="1" w:styleId="storytext1">
    <w:name w:val="story_text_1"/>
    <w:basedOn w:val="DefaultParagraphFont"/>
    <w:rsid w:val="000167A9"/>
  </w:style>
  <w:style w:type="paragraph" w:customStyle="1" w:styleId="BulletList">
    <w:name w:val="Bullet List"/>
    <w:basedOn w:val="Normal"/>
    <w:autoRedefine/>
    <w:qFormat/>
    <w:rsid w:val="000167A9"/>
    <w:pPr>
      <w:numPr>
        <w:numId w:val="29"/>
      </w:numPr>
      <w:spacing w:after="120" w:line="240" w:lineRule="auto"/>
    </w:pPr>
    <w:rPr>
      <w:rFonts w:ascii="Garamond" w:eastAsia="MS Mincho" w:hAnsi="Garamond" w:cs="Times New Roman"/>
      <w:noProof/>
      <w:color w:val="auto"/>
      <w:sz w:val="24"/>
      <w:szCs w:val="24"/>
      <w:lang w:val="en-AU"/>
    </w:rPr>
  </w:style>
  <w:style w:type="numbering" w:customStyle="1" w:styleId="NoList1">
    <w:name w:val="No List1"/>
    <w:next w:val="NoList"/>
    <w:uiPriority w:val="99"/>
    <w:semiHidden/>
    <w:unhideWhenUsed/>
    <w:rsid w:val="000167A9"/>
  </w:style>
  <w:style w:type="table" w:customStyle="1" w:styleId="TableGrid41">
    <w:name w:val="Table Grid41"/>
    <w:basedOn w:val="TableNormal"/>
    <w:next w:val="TableGrid"/>
    <w:uiPriority w:val="59"/>
    <w:rsid w:val="000167A9"/>
    <w:pPr>
      <w:spacing w:after="0" w:line="240" w:lineRule="auto"/>
    </w:pPr>
    <w:rPr>
      <w:rFonts w:ascii="Arial" w:hAnsi="Arial" w:cs="Times New Roman"/>
      <w:sz w:val="24"/>
      <w:szCs w:val="24"/>
    </w:rPr>
    <w:tblPr>
      <w:tblCellMar>
        <w:left w:w="0" w:type="dxa"/>
        <w:right w:w="0" w:type="dxa"/>
      </w:tblCellMar>
    </w:tblPr>
  </w:style>
  <w:style w:type="paragraph" w:styleId="Date">
    <w:name w:val="Date"/>
    <w:link w:val="DateChar"/>
    <w:semiHidden/>
    <w:rsid w:val="000167A9"/>
    <w:pPr>
      <w:spacing w:after="0" w:line="240" w:lineRule="auto"/>
    </w:pPr>
    <w:rPr>
      <w:rFonts w:cs="Times New Roman"/>
      <w:sz w:val="24"/>
      <w:szCs w:val="24"/>
    </w:rPr>
  </w:style>
  <w:style w:type="character" w:customStyle="1" w:styleId="DateChar">
    <w:name w:val="Date Char"/>
    <w:basedOn w:val="DefaultParagraphFont"/>
    <w:link w:val="Date"/>
    <w:semiHidden/>
    <w:rsid w:val="000167A9"/>
    <w:rPr>
      <w:rFonts w:cs="Times New Roman"/>
      <w:sz w:val="24"/>
      <w:szCs w:val="24"/>
    </w:rPr>
  </w:style>
  <w:style w:type="numbering" w:customStyle="1" w:styleId="Headings">
    <w:name w:val="Headings"/>
    <w:basedOn w:val="NoList"/>
    <w:uiPriority w:val="99"/>
    <w:rsid w:val="000167A9"/>
    <w:pPr>
      <w:numPr>
        <w:numId w:val="30"/>
      </w:numPr>
    </w:pPr>
  </w:style>
  <w:style w:type="numbering" w:customStyle="1" w:styleId="BulletNumberStarter">
    <w:name w:val="Bullet/Number Starter"/>
    <w:basedOn w:val="NoList"/>
    <w:uiPriority w:val="99"/>
    <w:rsid w:val="000167A9"/>
    <w:pPr>
      <w:numPr>
        <w:numId w:val="31"/>
      </w:numPr>
    </w:pPr>
  </w:style>
  <w:style w:type="paragraph" w:customStyle="1" w:styleId="BodyCopy">
    <w:name w:val="Body Copy"/>
    <w:link w:val="BodyCopyChar"/>
    <w:qFormat/>
    <w:rsid w:val="000167A9"/>
    <w:pPr>
      <w:spacing w:before="57" w:after="113" w:line="240" w:lineRule="atLeast"/>
    </w:pPr>
    <w:rPr>
      <w:rFonts w:cs="Times New Roman"/>
      <w:spacing w:val="-2"/>
      <w:sz w:val="24"/>
      <w:szCs w:val="24"/>
    </w:rPr>
  </w:style>
  <w:style w:type="numbering" w:customStyle="1" w:styleId="Bullets">
    <w:name w:val="Bullets"/>
    <w:basedOn w:val="NoList"/>
    <w:uiPriority w:val="99"/>
    <w:rsid w:val="000167A9"/>
    <w:pPr>
      <w:numPr>
        <w:numId w:val="32"/>
      </w:numPr>
    </w:pPr>
  </w:style>
  <w:style w:type="paragraph" w:customStyle="1" w:styleId="Bullet">
    <w:name w:val="Bullet"/>
    <w:aliases w:val="b"/>
    <w:basedOn w:val="BodyCopy"/>
    <w:qFormat/>
    <w:rsid w:val="000167A9"/>
    <w:pPr>
      <w:numPr>
        <w:numId w:val="32"/>
      </w:numPr>
      <w:tabs>
        <w:tab w:val="clear" w:pos="284"/>
      </w:tabs>
      <w:ind w:left="0" w:firstLine="0"/>
    </w:pPr>
  </w:style>
  <w:style w:type="character" w:styleId="LineNumber">
    <w:name w:val="line number"/>
    <w:basedOn w:val="DefaultParagraphFont"/>
    <w:uiPriority w:val="99"/>
    <w:semiHidden/>
    <w:rsid w:val="000167A9"/>
  </w:style>
  <w:style w:type="paragraph" w:customStyle="1" w:styleId="HeaderText">
    <w:name w:val="Header Text"/>
    <w:semiHidden/>
    <w:rsid w:val="000167A9"/>
    <w:pPr>
      <w:spacing w:after="0" w:line="240" w:lineRule="auto"/>
    </w:pPr>
    <w:rPr>
      <w:rFonts w:asciiTheme="majorHAnsi" w:hAnsiTheme="majorHAnsi" w:cs="Times New Roman"/>
      <w:color w:val="495965" w:themeColor="text2"/>
      <w:spacing w:val="-1"/>
      <w:sz w:val="16"/>
      <w:szCs w:val="24"/>
    </w:rPr>
  </w:style>
  <w:style w:type="paragraph" w:customStyle="1" w:styleId="Note">
    <w:name w:val="Note"/>
    <w:basedOn w:val="BodyCopy"/>
    <w:uiPriority w:val="14"/>
    <w:qFormat/>
    <w:rsid w:val="000167A9"/>
  </w:style>
  <w:style w:type="paragraph" w:customStyle="1" w:styleId="TableBold">
    <w:name w:val="Table Bold"/>
    <w:basedOn w:val="TableCopy"/>
    <w:uiPriority w:val="19"/>
    <w:qFormat/>
    <w:rsid w:val="000167A9"/>
  </w:style>
  <w:style w:type="paragraph" w:customStyle="1" w:styleId="TableCopy">
    <w:name w:val="Table Copy"/>
    <w:uiPriority w:val="19"/>
    <w:qFormat/>
    <w:rsid w:val="000167A9"/>
    <w:pPr>
      <w:spacing w:before="60" w:after="113" w:line="220" w:lineRule="atLeast"/>
    </w:pPr>
    <w:rPr>
      <w:rFonts w:cs="Times New Roman"/>
      <w:color w:val="65C5B4" w:themeColor="accent1"/>
      <w:spacing w:val="-2"/>
      <w:sz w:val="18"/>
      <w:szCs w:val="24"/>
    </w:rPr>
  </w:style>
  <w:style w:type="table" w:customStyle="1" w:styleId="Table">
    <w:name w:val="Table"/>
    <w:basedOn w:val="TableGrid"/>
    <w:uiPriority w:val="99"/>
    <w:rsid w:val="000167A9"/>
    <w:rPr>
      <w:rFonts w:cs="Times New Roman"/>
      <w:sz w:val="24"/>
      <w:szCs w:val="24"/>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65C5B4" w:themeColor="accent1"/>
        </w:tcBorders>
      </w:tcPr>
    </w:tblStylePr>
    <w:tblStylePr w:type="firstCol">
      <w:rPr>
        <w:rFonts w:ascii="Gill Sans MT" w:hAnsi="Gill Sans MT"/>
        <w:b w:val="0"/>
      </w:rPr>
    </w:tblStylePr>
  </w:style>
  <w:style w:type="paragraph" w:customStyle="1" w:styleId="ChartTitle">
    <w:name w:val="Chart Title"/>
    <w:basedOn w:val="BodyCopy"/>
    <w:uiPriority w:val="24"/>
    <w:qFormat/>
    <w:rsid w:val="000167A9"/>
  </w:style>
  <w:style w:type="paragraph" w:customStyle="1" w:styleId="CoverTitleWhite">
    <w:name w:val="Cover Title (White)"/>
    <w:next w:val="CoverSubtitle"/>
    <w:uiPriority w:val="29"/>
    <w:qFormat/>
    <w:rsid w:val="000167A9"/>
    <w:pPr>
      <w:spacing w:after="280" w:line="240" w:lineRule="auto"/>
    </w:pPr>
    <w:rPr>
      <w:rFonts w:ascii="Times New Roman" w:eastAsiaTheme="majorEastAsia" w:hAnsi="Times New Roman" w:cstheme="majorBidi"/>
      <w:bCs/>
      <w:color w:val="FFFFFF" w:themeColor="background1"/>
      <w:spacing w:val="-8"/>
      <w:sz w:val="80"/>
      <w:szCs w:val="28"/>
    </w:rPr>
  </w:style>
  <w:style w:type="paragraph" w:customStyle="1" w:styleId="CoverSubtitle">
    <w:name w:val="Cover Subtitle"/>
    <w:uiPriority w:val="29"/>
    <w:qFormat/>
    <w:rsid w:val="000167A9"/>
    <w:pPr>
      <w:spacing w:after="0" w:line="240" w:lineRule="auto"/>
    </w:pPr>
    <w:rPr>
      <w:rFonts w:ascii="Times New Roman" w:eastAsiaTheme="majorEastAsia" w:hAnsi="Times New Roman" w:cstheme="majorBidi"/>
      <w:bCs/>
      <w:color w:val="D8DCDB" w:themeColor="background2"/>
      <w:spacing w:val="-6"/>
      <w:sz w:val="56"/>
      <w:szCs w:val="24"/>
    </w:rPr>
  </w:style>
  <w:style w:type="paragraph" w:customStyle="1" w:styleId="CoverTitleBlue">
    <w:name w:val="Cover Title (Blue)"/>
    <w:basedOn w:val="CoverTitleWhite"/>
    <w:next w:val="CoverSubtitle"/>
    <w:uiPriority w:val="29"/>
    <w:rsid w:val="000167A9"/>
  </w:style>
  <w:style w:type="table" w:customStyle="1" w:styleId="NoteTable">
    <w:name w:val="Note Table"/>
    <w:basedOn w:val="TableGrid"/>
    <w:uiPriority w:val="99"/>
    <w:rsid w:val="000167A9"/>
    <w:rPr>
      <w:rFonts w:ascii="NimbusSanNov" w:hAnsi="NimbusSanNov" w:cs="Times New Roman"/>
      <w:b/>
      <w:sz w:val="24"/>
      <w:szCs w:val="24"/>
    </w:rPr>
    <w:tblPr>
      <w:tblInd w:w="170" w:type="dxa"/>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locked/>
    <w:rsid w:val="000167A9"/>
    <w:rPr>
      <w:color w:val="808080"/>
    </w:rPr>
  </w:style>
  <w:style w:type="paragraph" w:customStyle="1" w:styleId="Heading1alternate">
    <w:name w:val="Heading 1 (alternate)"/>
    <w:basedOn w:val="Heading1"/>
    <w:next w:val="BodyCopy"/>
    <w:uiPriority w:val="9"/>
    <w:rsid w:val="000167A9"/>
    <w:pPr>
      <w:pageBreakBefore/>
      <w:suppressAutoHyphens w:val="0"/>
      <w:spacing w:after="567" w:line="560" w:lineRule="exact"/>
      <w:contextualSpacing w:val="0"/>
    </w:pPr>
    <w:rPr>
      <w:b w:val="0"/>
      <w:caps w:val="0"/>
      <w:color w:val="409F68" w:themeColor="accent5"/>
      <w:spacing w:val="-6"/>
      <w:sz w:val="56"/>
      <w:lang w:val="en-AU"/>
    </w:rPr>
  </w:style>
  <w:style w:type="paragraph" w:customStyle="1" w:styleId="Heading2alternate">
    <w:name w:val="Heading 2 (alternate)"/>
    <w:basedOn w:val="Heading2"/>
    <w:next w:val="BodyCopy"/>
    <w:uiPriority w:val="9"/>
    <w:rsid w:val="000167A9"/>
    <w:pPr>
      <w:suppressAutoHyphens w:val="0"/>
      <w:spacing w:before="170" w:after="113" w:line="280" w:lineRule="exact"/>
      <w:contextualSpacing w:val="0"/>
    </w:pPr>
    <w:rPr>
      <w:bCs/>
      <w:caps w:val="0"/>
      <w:spacing w:val="-3"/>
      <w:sz w:val="28"/>
      <w:lang w:val="en-AU"/>
    </w:rPr>
  </w:style>
  <w:style w:type="paragraph" w:customStyle="1" w:styleId="Heading3alternate">
    <w:name w:val="Heading 3 (alternate)"/>
    <w:basedOn w:val="Heading3"/>
    <w:uiPriority w:val="9"/>
    <w:rsid w:val="000167A9"/>
    <w:pPr>
      <w:suppressAutoHyphens w:val="0"/>
      <w:spacing w:before="113" w:after="57" w:line="240" w:lineRule="atLeast"/>
      <w:contextualSpacing w:val="0"/>
    </w:pPr>
    <w:rPr>
      <w:rFonts w:asciiTheme="minorHAnsi" w:hAnsiTheme="minorHAnsi"/>
      <w:b/>
      <w:color w:val="409F68" w:themeColor="accent5"/>
      <w:spacing w:val="-2"/>
      <w:sz w:val="22"/>
      <w:szCs w:val="22"/>
      <w:lang w:val="en-AU"/>
    </w:rPr>
  </w:style>
  <w:style w:type="paragraph" w:customStyle="1" w:styleId="Heading4alternate">
    <w:name w:val="Heading 4 (alternate)"/>
    <w:basedOn w:val="Heading4"/>
    <w:uiPriority w:val="9"/>
    <w:rsid w:val="000167A9"/>
    <w:pPr>
      <w:suppressAutoHyphens w:val="0"/>
      <w:spacing w:before="113" w:after="57" w:line="240" w:lineRule="atLeast"/>
      <w:contextualSpacing w:val="0"/>
    </w:pPr>
    <w:rPr>
      <w:rFonts w:asciiTheme="minorHAnsi" w:hAnsiTheme="minorHAnsi"/>
      <w:i/>
      <w:color w:val="000000" w:themeColor="text1"/>
      <w:sz w:val="22"/>
      <w:szCs w:val="20"/>
      <w:lang w:val="en-AU"/>
    </w:rPr>
  </w:style>
  <w:style w:type="numbering" w:customStyle="1" w:styleId="NumberedList0">
    <w:name w:val="Numbered List"/>
    <w:basedOn w:val="NoList"/>
    <w:uiPriority w:val="99"/>
    <w:rsid w:val="000167A9"/>
    <w:pPr>
      <w:numPr>
        <w:numId w:val="33"/>
      </w:numPr>
    </w:pPr>
  </w:style>
  <w:style w:type="table" w:customStyle="1" w:styleId="AustraliaAwards">
    <w:name w:val="Australia Awards"/>
    <w:basedOn w:val="TableNormal"/>
    <w:uiPriority w:val="99"/>
    <w:rsid w:val="000167A9"/>
    <w:pPr>
      <w:spacing w:before="60" w:after="60" w:line="260" w:lineRule="atLeast"/>
    </w:pPr>
    <w:rPr>
      <w:rFonts w:ascii="Arial" w:hAnsi="Arial" w:cs="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Theme="minorHAnsi" w:hAnsiTheme="minorHAnsi"/>
        <w:b/>
        <w:color w:val="FFFFFF" w:themeColor="background1"/>
        <w:sz w:val="20"/>
      </w:rPr>
      <w:tblPr/>
      <w:tcPr>
        <w:shd w:val="clear" w:color="auto" w:fill="D8DCDB" w:themeFill="background2"/>
      </w:tcPr>
    </w:tblStylePr>
  </w:style>
  <w:style w:type="table" w:customStyle="1" w:styleId="TableGrid12">
    <w:name w:val="Table Grid12"/>
    <w:basedOn w:val="TableNormal"/>
    <w:next w:val="TableGrid"/>
    <w:uiPriority w:val="59"/>
    <w:rsid w:val="000167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TableHeading"/>
    <w:rsid w:val="000167A9"/>
  </w:style>
  <w:style w:type="table" w:customStyle="1" w:styleId="LightList-Accent11">
    <w:name w:val="Light List - Accent 11"/>
    <w:basedOn w:val="TableNormal"/>
    <w:uiPriority w:val="61"/>
    <w:rsid w:val="000167A9"/>
    <w:pPr>
      <w:spacing w:after="0" w:line="240" w:lineRule="auto"/>
    </w:pPr>
    <w:rPr>
      <w:rFonts w:eastAsiaTheme="minorEastAsia"/>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tblBorders>
    </w:tblPr>
    <w:tblStylePr w:type="firstRow">
      <w:pPr>
        <w:spacing w:before="0" w:after="0" w:line="240" w:lineRule="auto"/>
      </w:pPr>
      <w:rPr>
        <w:b/>
        <w:bCs/>
        <w:color w:val="FFFFFF" w:themeColor="background1"/>
      </w:rPr>
      <w:tblPr/>
      <w:tcPr>
        <w:shd w:val="clear" w:color="auto" w:fill="65C5B4" w:themeFill="accent1"/>
      </w:tcPr>
    </w:tblStylePr>
    <w:tblStylePr w:type="lastRow">
      <w:pPr>
        <w:spacing w:before="0" w:after="0" w:line="240" w:lineRule="auto"/>
      </w:pPr>
      <w:rPr>
        <w:b/>
        <w:bCs/>
      </w:rPr>
      <w:tblPr/>
      <w:tcPr>
        <w:tcBorders>
          <w:top w:val="double" w:sz="6" w:space="0" w:color="65C5B4" w:themeColor="accent1"/>
          <w:left w:val="single" w:sz="8" w:space="0" w:color="65C5B4" w:themeColor="accent1"/>
          <w:bottom w:val="single" w:sz="8" w:space="0" w:color="65C5B4" w:themeColor="accent1"/>
          <w:right w:val="single" w:sz="8" w:space="0" w:color="65C5B4" w:themeColor="accent1"/>
        </w:tcBorders>
      </w:tcPr>
    </w:tblStylePr>
    <w:tblStylePr w:type="firstCol">
      <w:rPr>
        <w:b/>
        <w:bCs/>
      </w:rPr>
    </w:tblStylePr>
    <w:tblStylePr w:type="lastCol">
      <w:rPr>
        <w:b/>
        <w:bCs/>
      </w:rPr>
    </w:tblStylePr>
    <w:tblStylePr w:type="band1Vert">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tblStylePr w:type="band1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style>
  <w:style w:type="table" w:customStyle="1" w:styleId="LightShading-Accent11">
    <w:name w:val="Light Shading - Accent 11"/>
    <w:basedOn w:val="TableNormal"/>
    <w:uiPriority w:val="60"/>
    <w:rsid w:val="000167A9"/>
    <w:pPr>
      <w:spacing w:after="0" w:line="240" w:lineRule="auto"/>
    </w:pPr>
    <w:rPr>
      <w:rFonts w:eastAsiaTheme="minorEastAsia"/>
      <w:color w:val="3DA18F" w:themeColor="accent1" w:themeShade="BF"/>
      <w:lang w:eastAsia="en-AU"/>
    </w:rPr>
    <w:tblPr>
      <w:tblStyleRowBandSize w:val="1"/>
      <w:tblStyleColBandSize w:val="1"/>
      <w:tblBorders>
        <w:top w:val="single" w:sz="8" w:space="0" w:color="65C5B4" w:themeColor="accent1"/>
        <w:bottom w:val="single" w:sz="8" w:space="0" w:color="65C5B4" w:themeColor="accent1"/>
      </w:tblBorders>
    </w:tblPr>
    <w:tblStylePr w:type="fir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la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0EC" w:themeFill="accent1" w:themeFillTint="3F"/>
      </w:tcPr>
    </w:tblStylePr>
    <w:tblStylePr w:type="band1Horz">
      <w:tblPr/>
      <w:tcPr>
        <w:tcBorders>
          <w:left w:val="nil"/>
          <w:right w:val="nil"/>
          <w:insideH w:val="nil"/>
          <w:insideV w:val="nil"/>
        </w:tcBorders>
        <w:shd w:val="clear" w:color="auto" w:fill="D8F0EC" w:themeFill="accent1" w:themeFillTint="3F"/>
      </w:tcPr>
    </w:tblStylePr>
  </w:style>
  <w:style w:type="table" w:customStyle="1" w:styleId="MediumShading2-Accent11">
    <w:name w:val="Medium Shading 2 - Accent 11"/>
    <w:basedOn w:val="TableNormal"/>
    <w:uiPriority w:val="64"/>
    <w:rsid w:val="000167A9"/>
    <w:pPr>
      <w:spacing w:after="0" w:line="240" w:lineRule="auto"/>
    </w:pPr>
    <w:rPr>
      <w:rFonts w:eastAsiaTheme="minorEastAsia"/>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C5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C5B4" w:themeFill="accent1"/>
      </w:tcPr>
    </w:tblStylePr>
    <w:tblStylePr w:type="lastCol">
      <w:rPr>
        <w:b/>
        <w:bCs/>
        <w:color w:val="FFFFFF" w:themeColor="background1"/>
      </w:rPr>
      <w:tblPr/>
      <w:tcPr>
        <w:tcBorders>
          <w:left w:val="nil"/>
          <w:right w:val="nil"/>
          <w:insideH w:val="nil"/>
          <w:insideV w:val="nil"/>
        </w:tcBorders>
        <w:shd w:val="clear" w:color="auto" w:fill="65C5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locked/>
    <w:rsid w:val="000167A9"/>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tblBorders>
    </w:tblPr>
    <w:tblStylePr w:type="firstRow">
      <w:rPr>
        <w:sz w:val="24"/>
        <w:szCs w:val="24"/>
      </w:rPr>
      <w:tblPr/>
      <w:tcPr>
        <w:tcBorders>
          <w:top w:val="nil"/>
          <w:left w:val="nil"/>
          <w:bottom w:val="single" w:sz="24" w:space="0" w:color="65C5B4" w:themeColor="accent1"/>
          <w:right w:val="nil"/>
          <w:insideH w:val="nil"/>
          <w:insideV w:val="nil"/>
        </w:tcBorders>
        <w:shd w:val="clear" w:color="auto" w:fill="FFFFFF" w:themeFill="background1"/>
      </w:tcPr>
    </w:tblStylePr>
    <w:tblStylePr w:type="lastRow">
      <w:tblPr/>
      <w:tcPr>
        <w:tcBorders>
          <w:top w:val="single" w:sz="8" w:space="0" w:color="65C5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C5B4" w:themeColor="accent1"/>
          <w:insideH w:val="nil"/>
          <w:insideV w:val="nil"/>
        </w:tcBorders>
        <w:shd w:val="clear" w:color="auto" w:fill="FFFFFF" w:themeFill="background1"/>
      </w:tcPr>
    </w:tblStylePr>
    <w:tblStylePr w:type="lastCol">
      <w:tblPr/>
      <w:tcPr>
        <w:tcBorders>
          <w:top w:val="nil"/>
          <w:left w:val="single" w:sz="8" w:space="0" w:color="65C5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0EC" w:themeFill="accent1" w:themeFillTint="3F"/>
      </w:tcPr>
    </w:tblStylePr>
    <w:tblStylePr w:type="band1Horz">
      <w:tblPr/>
      <w:tcPr>
        <w:tcBorders>
          <w:top w:val="nil"/>
          <w:bottom w:val="nil"/>
          <w:insideH w:val="nil"/>
          <w:insideV w:val="nil"/>
        </w:tcBorders>
        <w:shd w:val="clear" w:color="auto" w:fill="D8F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TableNormal"/>
    <w:uiPriority w:val="65"/>
    <w:rsid w:val="000167A9"/>
    <w:pPr>
      <w:spacing w:after="0" w:line="240" w:lineRule="auto"/>
    </w:pPr>
    <w:rPr>
      <w:rFonts w:eastAsiaTheme="minorEastAsia"/>
      <w:color w:val="000000" w:themeColor="text1"/>
      <w:lang w:eastAsia="en-AU"/>
    </w:rPr>
    <w:tblPr>
      <w:tblStyleRowBandSize w:val="1"/>
      <w:tblStyleColBandSize w:val="1"/>
      <w:tblBorders>
        <w:top w:val="single" w:sz="8" w:space="0" w:color="65C5B4" w:themeColor="accent1"/>
        <w:bottom w:val="single" w:sz="8" w:space="0" w:color="65C5B4" w:themeColor="accent1"/>
      </w:tblBorders>
    </w:tblPr>
    <w:tblStylePr w:type="firstRow">
      <w:rPr>
        <w:rFonts w:asciiTheme="majorHAnsi" w:eastAsiaTheme="majorEastAsia" w:hAnsiTheme="majorHAnsi" w:cstheme="majorBidi"/>
      </w:rPr>
      <w:tblPr/>
      <w:tcPr>
        <w:tcBorders>
          <w:top w:val="nil"/>
          <w:bottom w:val="single" w:sz="8" w:space="0" w:color="65C5B4" w:themeColor="accent1"/>
        </w:tcBorders>
      </w:tcPr>
    </w:tblStylePr>
    <w:tblStylePr w:type="lastRow">
      <w:rPr>
        <w:b/>
        <w:bCs/>
        <w:color w:val="495965" w:themeColor="text2"/>
      </w:rPr>
      <w:tblPr/>
      <w:tcPr>
        <w:tcBorders>
          <w:top w:val="single" w:sz="8" w:space="0" w:color="65C5B4" w:themeColor="accent1"/>
          <w:bottom w:val="single" w:sz="8" w:space="0" w:color="65C5B4" w:themeColor="accent1"/>
        </w:tcBorders>
      </w:tcPr>
    </w:tblStylePr>
    <w:tblStylePr w:type="firstCol">
      <w:rPr>
        <w:b/>
        <w:bCs/>
      </w:rPr>
    </w:tblStylePr>
    <w:tblStylePr w:type="lastCol">
      <w:rPr>
        <w:b/>
        <w:bCs/>
      </w:rPr>
      <w:tblPr/>
      <w:tcPr>
        <w:tcBorders>
          <w:top w:val="single" w:sz="8" w:space="0" w:color="65C5B4" w:themeColor="accent1"/>
          <w:bottom w:val="single" w:sz="8" w:space="0" w:color="65C5B4" w:themeColor="accent1"/>
        </w:tcBorders>
      </w:tcPr>
    </w:tblStylePr>
    <w:tblStylePr w:type="band1Vert">
      <w:tblPr/>
      <w:tcPr>
        <w:shd w:val="clear" w:color="auto" w:fill="D8F0EC" w:themeFill="accent1" w:themeFillTint="3F"/>
      </w:tcPr>
    </w:tblStylePr>
    <w:tblStylePr w:type="band1Horz">
      <w:tblPr/>
      <w:tcPr>
        <w:shd w:val="clear" w:color="auto" w:fill="D8F0EC" w:themeFill="accent1" w:themeFillTint="3F"/>
      </w:tcPr>
    </w:tblStylePr>
  </w:style>
  <w:style w:type="table" w:styleId="MediumShading2-Accent5">
    <w:name w:val="Medium Shading 2 Accent 5"/>
    <w:basedOn w:val="TableNormal"/>
    <w:uiPriority w:val="64"/>
    <w:locked/>
    <w:rsid w:val="000167A9"/>
    <w:pPr>
      <w:spacing w:after="0" w:line="240" w:lineRule="auto"/>
    </w:pPr>
    <w:rPr>
      <w:rFonts w:eastAsiaTheme="minorEastAsia"/>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F6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F68" w:themeFill="accent5"/>
      </w:tcPr>
    </w:tblStylePr>
    <w:tblStylePr w:type="lastCol">
      <w:rPr>
        <w:b/>
        <w:bCs/>
        <w:color w:val="FFFFFF" w:themeColor="background1"/>
      </w:rPr>
      <w:tblPr/>
      <w:tcPr>
        <w:tcBorders>
          <w:left w:val="nil"/>
          <w:right w:val="nil"/>
          <w:insideH w:val="nil"/>
          <w:insideV w:val="nil"/>
        </w:tcBorders>
        <w:shd w:val="clear" w:color="auto" w:fill="409F6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0167A9"/>
    <w:pPr>
      <w:spacing w:after="0" w:line="240" w:lineRule="auto"/>
    </w:pPr>
    <w:rPr>
      <w:rFonts w:eastAsiaTheme="minorEastAsia"/>
      <w:lang w:eastAsia="en-AU"/>
    </w:rPr>
    <w:tblPr>
      <w:tblStyleRowBandSize w:val="1"/>
      <w:tblStyleColBandSize w:val="1"/>
      <w:tbl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single" w:sz="8" w:space="0" w:color="8BD3C6" w:themeColor="accent1" w:themeTint="BF"/>
      </w:tblBorders>
    </w:tblPr>
    <w:tblStylePr w:type="firstRow">
      <w:pPr>
        <w:spacing w:before="0" w:after="0" w:line="240" w:lineRule="auto"/>
      </w:pPr>
      <w:rPr>
        <w:b/>
        <w:bCs/>
        <w:color w:val="FFFFFF" w:themeColor="background1"/>
      </w:rPr>
      <w:tblPr/>
      <w:tcPr>
        <w:tc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shd w:val="clear" w:color="auto" w:fill="65C5B4" w:themeFill="accent1"/>
      </w:tcPr>
    </w:tblStylePr>
    <w:tblStylePr w:type="lastRow">
      <w:pPr>
        <w:spacing w:before="0" w:after="0" w:line="240" w:lineRule="auto"/>
      </w:pPr>
      <w:rPr>
        <w:b/>
        <w:bCs/>
      </w:rPr>
      <w:tblPr/>
      <w:tcPr>
        <w:tcBorders>
          <w:top w:val="double" w:sz="6"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F0EC" w:themeFill="accent1" w:themeFillTint="3F"/>
      </w:tcPr>
    </w:tblStylePr>
    <w:tblStylePr w:type="band1Horz">
      <w:tblPr/>
      <w:tcPr>
        <w:tcBorders>
          <w:insideH w:val="nil"/>
          <w:insideV w:val="nil"/>
        </w:tcBorders>
        <w:shd w:val="clear" w:color="auto" w:fill="D8F0EC"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locked/>
    <w:rsid w:val="000167A9"/>
    <w:pPr>
      <w:spacing w:after="0" w:line="240" w:lineRule="auto"/>
    </w:pPr>
    <w:rPr>
      <w:rFonts w:eastAsiaTheme="minorEastAsia"/>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C5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C5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C5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C5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2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2D9" w:themeFill="accent1" w:themeFillTint="7F"/>
      </w:tcPr>
    </w:tblStylePr>
  </w:style>
  <w:style w:type="table" w:customStyle="1" w:styleId="LightGrid-Accent11">
    <w:name w:val="Light Grid - Accent 11"/>
    <w:basedOn w:val="TableNormal"/>
    <w:uiPriority w:val="62"/>
    <w:rsid w:val="000167A9"/>
    <w:pPr>
      <w:spacing w:after="0" w:line="240" w:lineRule="auto"/>
    </w:pPr>
    <w:rPr>
      <w:rFonts w:eastAsiaTheme="minorEastAsia"/>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insideH w:val="single" w:sz="8" w:space="0" w:color="65C5B4" w:themeColor="accent1"/>
        <w:insideV w:val="single" w:sz="8" w:space="0" w:color="65C5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18" w:space="0" w:color="65C5B4" w:themeColor="accent1"/>
          <w:right w:val="single" w:sz="8" w:space="0" w:color="65C5B4" w:themeColor="accent1"/>
          <w:insideH w:val="nil"/>
          <w:insideV w:val="single" w:sz="8" w:space="0" w:color="65C5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C5B4" w:themeColor="accent1"/>
          <w:left w:val="single" w:sz="8" w:space="0" w:color="65C5B4" w:themeColor="accent1"/>
          <w:bottom w:val="single" w:sz="8" w:space="0" w:color="65C5B4" w:themeColor="accent1"/>
          <w:right w:val="single" w:sz="8" w:space="0" w:color="65C5B4" w:themeColor="accent1"/>
          <w:insideH w:val="nil"/>
          <w:insideV w:val="single" w:sz="8" w:space="0" w:color="65C5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tblStylePr w:type="band1Vert">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shd w:val="clear" w:color="auto" w:fill="D8F0EC" w:themeFill="accent1" w:themeFillTint="3F"/>
      </w:tcPr>
    </w:tblStylePr>
    <w:tblStylePr w:type="band1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shd w:val="clear" w:color="auto" w:fill="D8F0EC" w:themeFill="accent1" w:themeFillTint="3F"/>
      </w:tcPr>
    </w:tblStylePr>
    <w:tblStylePr w:type="band2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tcPr>
    </w:tblStylePr>
  </w:style>
  <w:style w:type="table" w:customStyle="1" w:styleId="Style1">
    <w:name w:val="Style1"/>
    <w:basedOn w:val="TableGrid10"/>
    <w:uiPriority w:val="99"/>
    <w:rsid w:val="000167A9"/>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locked/>
    <w:rsid w:val="000167A9"/>
    <w:pPr>
      <w:spacing w:after="200" w:line="276" w:lineRule="auto"/>
    </w:pPr>
    <w:rPr>
      <w:rFonts w:eastAsiaTheme="minorEastAsia"/>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Accent5">
    <w:name w:val="Light List Accent 5"/>
    <w:basedOn w:val="TableNormal"/>
    <w:uiPriority w:val="61"/>
    <w:locked/>
    <w:rsid w:val="000167A9"/>
    <w:pPr>
      <w:spacing w:after="0" w:line="240" w:lineRule="auto"/>
    </w:pPr>
    <w:rPr>
      <w:rFonts w:eastAsiaTheme="minorEastAsia"/>
      <w:lang w:eastAsia="en-AU"/>
    </w:rPr>
    <w:tblPr>
      <w:tblStyleRowBandSize w:val="1"/>
      <w:tblStyleColBandSize w:val="1"/>
      <w:tblBorders>
        <w:top w:val="single" w:sz="8" w:space="0" w:color="409F68" w:themeColor="accent5"/>
        <w:left w:val="single" w:sz="8" w:space="0" w:color="409F68" w:themeColor="accent5"/>
        <w:bottom w:val="single" w:sz="8" w:space="0" w:color="409F68" w:themeColor="accent5"/>
        <w:right w:val="single" w:sz="8" w:space="0" w:color="409F68" w:themeColor="accent5"/>
      </w:tblBorders>
    </w:tblPr>
    <w:tblStylePr w:type="firstRow">
      <w:pPr>
        <w:spacing w:before="0" w:after="0" w:line="240" w:lineRule="auto"/>
      </w:pPr>
      <w:rPr>
        <w:b/>
        <w:bCs/>
        <w:color w:val="FFFFFF" w:themeColor="background1"/>
      </w:rPr>
      <w:tblPr/>
      <w:tcPr>
        <w:shd w:val="clear" w:color="auto" w:fill="409F68" w:themeFill="accent5"/>
      </w:tcPr>
    </w:tblStylePr>
    <w:tblStylePr w:type="lastRow">
      <w:pPr>
        <w:spacing w:before="0" w:after="0" w:line="240" w:lineRule="auto"/>
      </w:pPr>
      <w:rPr>
        <w:b/>
        <w:bCs/>
      </w:rPr>
      <w:tblPr/>
      <w:tcPr>
        <w:tcBorders>
          <w:top w:val="double" w:sz="6" w:space="0" w:color="409F68" w:themeColor="accent5"/>
          <w:left w:val="single" w:sz="8" w:space="0" w:color="409F68" w:themeColor="accent5"/>
          <w:bottom w:val="single" w:sz="8" w:space="0" w:color="409F68" w:themeColor="accent5"/>
          <w:right w:val="single" w:sz="8" w:space="0" w:color="409F68" w:themeColor="accent5"/>
        </w:tcBorders>
      </w:tcPr>
    </w:tblStylePr>
    <w:tblStylePr w:type="firstCol">
      <w:rPr>
        <w:b/>
        <w:bCs/>
      </w:rPr>
    </w:tblStylePr>
    <w:tblStylePr w:type="lastCol">
      <w:rPr>
        <w:b/>
        <w:bCs/>
      </w:rPr>
    </w:tblStylePr>
    <w:tblStylePr w:type="band1Vert">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tcPr>
    </w:tblStylePr>
    <w:tblStylePr w:type="band1Horz">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tcPr>
    </w:tblStylePr>
  </w:style>
  <w:style w:type="paragraph" w:customStyle="1" w:styleId="GLHeading1">
    <w:name w:val="GL Heading 1"/>
    <w:basedOn w:val="ListParagraph"/>
    <w:link w:val="GLHeading1Char"/>
    <w:qFormat/>
    <w:rsid w:val="000167A9"/>
    <w:pPr>
      <w:numPr>
        <w:numId w:val="34"/>
      </w:numPr>
      <w:tabs>
        <w:tab w:val="num" w:pos="360"/>
      </w:tabs>
      <w:spacing w:before="240" w:after="120"/>
      <w:ind w:left="454" w:hanging="454"/>
    </w:pPr>
    <w:rPr>
      <w:rFonts w:asciiTheme="minorHAnsi" w:eastAsia="Calibri" w:hAnsiTheme="minorHAnsi" w:cstheme="minorHAnsi"/>
      <w:b/>
      <w:caps/>
      <w:color w:val="000066"/>
      <w:spacing w:val="-2"/>
      <w:szCs w:val="20"/>
    </w:rPr>
  </w:style>
  <w:style w:type="character" w:customStyle="1" w:styleId="GLHeading1Char">
    <w:name w:val="GL Heading 1 Char"/>
    <w:basedOn w:val="DefaultParagraphFont"/>
    <w:link w:val="GLHeading1"/>
    <w:rsid w:val="000167A9"/>
    <w:rPr>
      <w:rFonts w:eastAsia="Calibri" w:cstheme="minorHAnsi"/>
      <w:b/>
      <w:caps/>
      <w:color w:val="000066"/>
      <w:spacing w:val="-2"/>
      <w:szCs w:val="20"/>
    </w:rPr>
  </w:style>
  <w:style w:type="paragraph" w:customStyle="1" w:styleId="GLHeading2">
    <w:name w:val="GL Heading 2"/>
    <w:basedOn w:val="Normal"/>
    <w:link w:val="GLHeading2Char"/>
    <w:qFormat/>
    <w:rsid w:val="000167A9"/>
    <w:pPr>
      <w:suppressAutoHyphens w:val="0"/>
      <w:spacing w:after="120" w:line="240" w:lineRule="auto"/>
      <w:ind w:left="788" w:hanging="431"/>
      <w:jc w:val="both"/>
    </w:pPr>
    <w:rPr>
      <w:rFonts w:eastAsia="Calibri" w:cstheme="minorHAnsi"/>
      <w:b/>
      <w:color w:val="auto"/>
      <w:lang w:val="en-AU"/>
    </w:rPr>
  </w:style>
  <w:style w:type="character" w:customStyle="1" w:styleId="GLHeading2Char">
    <w:name w:val="GL Heading 2 Char"/>
    <w:basedOn w:val="DefaultParagraphFont"/>
    <w:link w:val="GLHeading2"/>
    <w:rsid w:val="000167A9"/>
    <w:rPr>
      <w:rFonts w:eastAsia="Calibri" w:cstheme="minorHAnsi"/>
      <w:b/>
    </w:rPr>
  </w:style>
  <w:style w:type="paragraph" w:customStyle="1" w:styleId="AppendixDividerText">
    <w:name w:val="Appendix Divider Text"/>
    <w:basedOn w:val="Normal"/>
    <w:rsid w:val="000167A9"/>
    <w:pPr>
      <w:suppressAutoHyphens w:val="0"/>
      <w:spacing w:before="4000" w:after="120" w:line="240" w:lineRule="auto"/>
    </w:pPr>
    <w:rPr>
      <w:rFonts w:asciiTheme="majorHAnsi" w:eastAsiaTheme="majorEastAsia" w:hAnsiTheme="majorHAnsi" w:cstheme="majorBidi"/>
      <w:bCs/>
      <w:sz w:val="48"/>
      <w:szCs w:val="48"/>
      <w:lang w:val="en-AU"/>
    </w:rPr>
  </w:style>
  <w:style w:type="paragraph" w:customStyle="1" w:styleId="MASPII3">
    <w:name w:val="MASP II #3"/>
    <w:basedOn w:val="Normal"/>
    <w:link w:val="MASPII3Char"/>
    <w:qFormat/>
    <w:rsid w:val="000167A9"/>
    <w:pPr>
      <w:suppressAutoHyphens w:val="0"/>
      <w:spacing w:before="0" w:after="120" w:line="240" w:lineRule="auto"/>
    </w:pPr>
    <w:rPr>
      <w:rFonts w:ascii="Calibri" w:eastAsia="Calibri" w:hAnsi="Calibri" w:cs="Calibri"/>
      <w:b/>
      <w:color w:val="auto"/>
      <w:sz w:val="24"/>
      <w:szCs w:val="24"/>
      <w:lang w:val="en-AU"/>
    </w:rPr>
  </w:style>
  <w:style w:type="character" w:customStyle="1" w:styleId="BodyCopyChar">
    <w:name w:val="Body Copy Char"/>
    <w:link w:val="BodyCopy"/>
    <w:locked/>
    <w:rsid w:val="000167A9"/>
    <w:rPr>
      <w:rFonts w:cs="Times New Roman"/>
      <w:spacing w:val="-2"/>
      <w:sz w:val="24"/>
      <w:szCs w:val="24"/>
    </w:rPr>
  </w:style>
  <w:style w:type="paragraph" w:customStyle="1" w:styleId="MASPII2">
    <w:name w:val="MASP II #2"/>
    <w:basedOn w:val="Normal"/>
    <w:link w:val="MASPII2Char"/>
    <w:qFormat/>
    <w:rsid w:val="000167A9"/>
    <w:pPr>
      <w:pBdr>
        <w:top w:val="single" w:sz="12" w:space="1" w:color="auto"/>
      </w:pBdr>
      <w:suppressAutoHyphens w:val="0"/>
      <w:spacing w:before="240" w:after="120" w:line="240" w:lineRule="auto"/>
    </w:pPr>
    <w:rPr>
      <w:rFonts w:ascii="Calibri" w:eastAsia="Calibri" w:hAnsi="Calibri" w:cs="Calibri"/>
      <w:b/>
      <w:caps/>
      <w:color w:val="auto"/>
      <w:sz w:val="24"/>
      <w:lang w:val="en-AU"/>
    </w:rPr>
  </w:style>
  <w:style w:type="character" w:customStyle="1" w:styleId="MASPII2Char">
    <w:name w:val="MASP II #2 Char"/>
    <w:link w:val="MASPII2"/>
    <w:rsid w:val="000167A9"/>
    <w:rPr>
      <w:rFonts w:ascii="Calibri" w:eastAsia="Calibri" w:hAnsi="Calibri" w:cs="Calibri"/>
      <w:b/>
      <w:caps/>
      <w:sz w:val="24"/>
    </w:rPr>
  </w:style>
  <w:style w:type="paragraph" w:customStyle="1" w:styleId="MASPII-Figure">
    <w:name w:val="MASP II - Figure"/>
    <w:basedOn w:val="Normal"/>
    <w:link w:val="MASPII-FigureChar"/>
    <w:qFormat/>
    <w:rsid w:val="000167A9"/>
    <w:pPr>
      <w:suppressAutoHyphens w:val="0"/>
      <w:spacing w:before="0" w:after="120" w:line="240" w:lineRule="auto"/>
      <w:jc w:val="both"/>
    </w:pPr>
    <w:rPr>
      <w:rFonts w:ascii="Calibri" w:eastAsia="Calibri" w:hAnsi="Calibri" w:cs="Calibri"/>
      <w:b/>
      <w:color w:val="auto"/>
      <w:sz w:val="18"/>
      <w:szCs w:val="18"/>
      <w:lang w:val="en-AU"/>
    </w:rPr>
  </w:style>
  <w:style w:type="character" w:customStyle="1" w:styleId="MASPII-FigureChar">
    <w:name w:val="MASP II - Figure Char"/>
    <w:link w:val="MASPII-Figure"/>
    <w:rsid w:val="000167A9"/>
    <w:rPr>
      <w:rFonts w:ascii="Calibri" w:eastAsia="Calibri" w:hAnsi="Calibri" w:cs="Calibri"/>
      <w:b/>
      <w:sz w:val="18"/>
      <w:szCs w:val="18"/>
    </w:rPr>
  </w:style>
  <w:style w:type="paragraph" w:customStyle="1" w:styleId="MASPIIAnnualPlanMEsectionheading">
    <w:name w:val="MASP II Annual Plan M&amp;E section heading"/>
    <w:basedOn w:val="Normal"/>
    <w:link w:val="MASPIIAnnualPlanMEsectionheadingChar"/>
    <w:qFormat/>
    <w:rsid w:val="000167A9"/>
    <w:pPr>
      <w:suppressAutoHyphens w:val="0"/>
      <w:spacing w:after="120" w:line="240" w:lineRule="auto"/>
      <w:ind w:left="567" w:hanging="567"/>
    </w:pPr>
    <w:rPr>
      <w:rFonts w:ascii="Calibri" w:eastAsia="Calibri" w:hAnsi="Calibri" w:cs="Calibri"/>
      <w:b/>
      <w:color w:val="auto"/>
      <w:lang w:val="en-AU"/>
    </w:rPr>
  </w:style>
  <w:style w:type="character" w:customStyle="1" w:styleId="MASPIIAnnualPlanMEsectionheadingChar">
    <w:name w:val="MASP II Annual Plan M&amp;E section heading Char"/>
    <w:basedOn w:val="DefaultParagraphFont"/>
    <w:link w:val="MASPIIAnnualPlanMEsectionheading"/>
    <w:rsid w:val="000167A9"/>
    <w:rPr>
      <w:rFonts w:ascii="Calibri" w:eastAsia="Calibri" w:hAnsi="Calibri" w:cs="Calibri"/>
      <w:b/>
    </w:rPr>
  </w:style>
  <w:style w:type="paragraph" w:customStyle="1" w:styleId="BodyBullets">
    <w:name w:val="Body Bullets"/>
    <w:basedOn w:val="Bullet"/>
    <w:qFormat/>
    <w:rsid w:val="000167A9"/>
    <w:pPr>
      <w:numPr>
        <w:numId w:val="0"/>
      </w:numPr>
      <w:tabs>
        <w:tab w:val="num" w:pos="360"/>
      </w:tabs>
    </w:pPr>
  </w:style>
  <w:style w:type="character" w:customStyle="1" w:styleId="Heading7Char1">
    <w:name w:val="Heading 7 Char1"/>
    <w:basedOn w:val="DefaultParagraphFont"/>
    <w:uiPriority w:val="9"/>
    <w:semiHidden/>
    <w:rsid w:val="000167A9"/>
    <w:rPr>
      <w:rFonts w:asciiTheme="majorHAnsi" w:eastAsiaTheme="majorEastAsia" w:hAnsiTheme="majorHAnsi" w:cstheme="majorBidi"/>
      <w:i/>
      <w:iCs/>
      <w:color w:val="404040" w:themeColor="text1" w:themeTint="BF"/>
    </w:rPr>
  </w:style>
  <w:style w:type="character" w:customStyle="1" w:styleId="Heading1Char1">
    <w:name w:val="Heading 1 Char1"/>
    <w:uiPriority w:val="9"/>
    <w:rsid w:val="000167A9"/>
    <w:rPr>
      <w:rFonts w:ascii="Arial" w:eastAsia="Times New Roman" w:hAnsi="Arial"/>
      <w:b/>
      <w:caps/>
      <w:color w:val="00204E"/>
      <w:sz w:val="24"/>
      <w:szCs w:val="36"/>
    </w:rPr>
  </w:style>
  <w:style w:type="character" w:customStyle="1" w:styleId="NoSpacingChar">
    <w:name w:val="No Spacing Char"/>
    <w:link w:val="NoSpacing"/>
    <w:uiPriority w:val="1"/>
    <w:rsid w:val="000167A9"/>
    <w:rPr>
      <w:rFonts w:ascii="Arial" w:eastAsiaTheme="minorEastAsia" w:hAnsi="Arial" w:cs="Arial"/>
      <w:sz w:val="20"/>
      <w:szCs w:val="20"/>
      <w:lang w:val="en-US"/>
    </w:rPr>
  </w:style>
  <w:style w:type="character" w:customStyle="1" w:styleId="null">
    <w:name w:val="null"/>
    <w:rsid w:val="000167A9"/>
  </w:style>
  <w:style w:type="numbering" w:customStyle="1" w:styleId="NoList11">
    <w:name w:val="No List11"/>
    <w:next w:val="NoList"/>
    <w:uiPriority w:val="99"/>
    <w:semiHidden/>
    <w:unhideWhenUsed/>
    <w:rsid w:val="000167A9"/>
  </w:style>
  <w:style w:type="table" w:customStyle="1" w:styleId="TableGrid21">
    <w:name w:val="Table Grid21"/>
    <w:basedOn w:val="TableNormal"/>
    <w:next w:val="TableGrid"/>
    <w:uiPriority w:val="59"/>
    <w:rsid w:val="000167A9"/>
    <w:pPr>
      <w:spacing w:after="0" w:line="240" w:lineRule="auto"/>
    </w:pPr>
    <w:rPr>
      <w:rFonts w:ascii="Calibri" w:eastAsia="Calibri" w:hAnsi="Calibri" w:cs="Calibri"/>
      <w:sz w:val="24"/>
      <w:szCs w:val="24"/>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locked/>
    <w:rsid w:val="000167A9"/>
    <w:pPr>
      <w:spacing w:after="0" w:line="240" w:lineRule="auto"/>
    </w:pPr>
    <w:rPr>
      <w:rFonts w:ascii="Calibri" w:eastAsia="Calibri" w:hAnsi="Calibri" w:cs="Calibri"/>
      <w:sz w:val="24"/>
      <w:szCs w:val="24"/>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initionTerm">
    <w:name w:val="Definition Term"/>
    <w:basedOn w:val="Normal"/>
    <w:next w:val="DefinitionList"/>
    <w:uiPriority w:val="99"/>
    <w:rsid w:val="000167A9"/>
    <w:pPr>
      <w:suppressAutoHyphens w:val="0"/>
      <w:autoSpaceDE w:val="0"/>
      <w:autoSpaceDN w:val="0"/>
      <w:adjustRightInd w:val="0"/>
      <w:spacing w:before="0" w:after="120" w:line="240" w:lineRule="auto"/>
    </w:pPr>
    <w:rPr>
      <w:rFonts w:ascii="Times New Roman" w:eastAsia="Calibri" w:hAnsi="Times New Roman" w:cs="Times New Roman"/>
      <w:color w:val="auto"/>
      <w:sz w:val="24"/>
      <w:szCs w:val="24"/>
      <w:lang w:val="en-AU" w:eastAsia="en-AU"/>
    </w:rPr>
  </w:style>
  <w:style w:type="paragraph" w:customStyle="1" w:styleId="DefinitionList">
    <w:name w:val="Definition List"/>
    <w:basedOn w:val="Normal"/>
    <w:next w:val="DefinitionTerm"/>
    <w:uiPriority w:val="99"/>
    <w:rsid w:val="000167A9"/>
    <w:pPr>
      <w:suppressAutoHyphens w:val="0"/>
      <w:autoSpaceDE w:val="0"/>
      <w:autoSpaceDN w:val="0"/>
      <w:adjustRightInd w:val="0"/>
      <w:spacing w:before="0" w:after="120" w:line="240" w:lineRule="auto"/>
      <w:ind w:left="360"/>
    </w:pPr>
    <w:rPr>
      <w:rFonts w:ascii="Times New Roman" w:eastAsia="Calibri" w:hAnsi="Times New Roman" w:cs="Times New Roman"/>
      <w:color w:val="auto"/>
      <w:sz w:val="24"/>
      <w:szCs w:val="24"/>
      <w:lang w:val="en-AU" w:eastAsia="en-AU"/>
    </w:rPr>
  </w:style>
  <w:style w:type="character" w:customStyle="1" w:styleId="Definition">
    <w:name w:val="Definition"/>
    <w:uiPriority w:val="99"/>
    <w:rsid w:val="000167A9"/>
    <w:rPr>
      <w:i/>
      <w:iCs/>
    </w:rPr>
  </w:style>
  <w:style w:type="paragraph" w:customStyle="1" w:styleId="H1">
    <w:name w:val="H1"/>
    <w:basedOn w:val="Normal"/>
    <w:next w:val="Normal"/>
    <w:uiPriority w:val="99"/>
    <w:rsid w:val="000167A9"/>
    <w:pPr>
      <w:keepNext/>
      <w:suppressAutoHyphens w:val="0"/>
      <w:autoSpaceDE w:val="0"/>
      <w:autoSpaceDN w:val="0"/>
      <w:adjustRightInd w:val="0"/>
      <w:spacing w:before="100" w:after="100" w:line="240" w:lineRule="auto"/>
      <w:outlineLvl w:val="1"/>
    </w:pPr>
    <w:rPr>
      <w:rFonts w:ascii="Times New Roman" w:eastAsia="Calibri" w:hAnsi="Times New Roman" w:cs="Times New Roman"/>
      <w:b/>
      <w:bCs/>
      <w:color w:val="auto"/>
      <w:kern w:val="36"/>
      <w:sz w:val="48"/>
      <w:szCs w:val="48"/>
      <w:lang w:val="en-AU" w:eastAsia="en-AU"/>
    </w:rPr>
  </w:style>
  <w:style w:type="paragraph" w:customStyle="1" w:styleId="H2">
    <w:name w:val="H2"/>
    <w:basedOn w:val="Normal"/>
    <w:next w:val="Normal"/>
    <w:uiPriority w:val="99"/>
    <w:rsid w:val="000167A9"/>
    <w:pPr>
      <w:keepNext/>
      <w:suppressAutoHyphens w:val="0"/>
      <w:autoSpaceDE w:val="0"/>
      <w:autoSpaceDN w:val="0"/>
      <w:adjustRightInd w:val="0"/>
      <w:spacing w:before="100" w:after="100" w:line="240" w:lineRule="auto"/>
      <w:outlineLvl w:val="2"/>
    </w:pPr>
    <w:rPr>
      <w:rFonts w:ascii="Times New Roman" w:eastAsia="Calibri" w:hAnsi="Times New Roman" w:cs="Times New Roman"/>
      <w:b/>
      <w:bCs/>
      <w:color w:val="auto"/>
      <w:sz w:val="36"/>
      <w:szCs w:val="36"/>
      <w:lang w:val="en-AU" w:eastAsia="en-AU"/>
    </w:rPr>
  </w:style>
  <w:style w:type="paragraph" w:customStyle="1" w:styleId="H3">
    <w:name w:val="H3"/>
    <w:basedOn w:val="Normal"/>
    <w:next w:val="Normal"/>
    <w:uiPriority w:val="99"/>
    <w:rsid w:val="000167A9"/>
    <w:pPr>
      <w:keepNext/>
      <w:suppressAutoHyphens w:val="0"/>
      <w:autoSpaceDE w:val="0"/>
      <w:autoSpaceDN w:val="0"/>
      <w:adjustRightInd w:val="0"/>
      <w:spacing w:before="100" w:after="100" w:line="240" w:lineRule="auto"/>
      <w:outlineLvl w:val="3"/>
    </w:pPr>
    <w:rPr>
      <w:rFonts w:ascii="Times New Roman" w:eastAsia="Calibri" w:hAnsi="Times New Roman" w:cs="Times New Roman"/>
      <w:b/>
      <w:bCs/>
      <w:color w:val="auto"/>
      <w:sz w:val="28"/>
      <w:szCs w:val="28"/>
      <w:lang w:val="en-AU" w:eastAsia="en-AU"/>
    </w:rPr>
  </w:style>
  <w:style w:type="paragraph" w:customStyle="1" w:styleId="H4">
    <w:name w:val="H4"/>
    <w:basedOn w:val="Normal"/>
    <w:next w:val="Normal"/>
    <w:uiPriority w:val="99"/>
    <w:rsid w:val="000167A9"/>
    <w:pPr>
      <w:keepNext/>
      <w:suppressAutoHyphens w:val="0"/>
      <w:autoSpaceDE w:val="0"/>
      <w:autoSpaceDN w:val="0"/>
      <w:adjustRightInd w:val="0"/>
      <w:spacing w:before="100" w:after="100" w:line="240" w:lineRule="auto"/>
      <w:outlineLvl w:val="4"/>
    </w:pPr>
    <w:rPr>
      <w:rFonts w:ascii="Times New Roman" w:eastAsia="Calibri" w:hAnsi="Times New Roman" w:cs="Times New Roman"/>
      <w:b/>
      <w:bCs/>
      <w:color w:val="auto"/>
      <w:sz w:val="24"/>
      <w:szCs w:val="24"/>
      <w:lang w:val="en-AU" w:eastAsia="en-AU"/>
    </w:rPr>
  </w:style>
  <w:style w:type="paragraph" w:customStyle="1" w:styleId="H5">
    <w:name w:val="H5"/>
    <w:basedOn w:val="Normal"/>
    <w:next w:val="Normal"/>
    <w:uiPriority w:val="99"/>
    <w:rsid w:val="000167A9"/>
    <w:pPr>
      <w:keepNext/>
      <w:suppressAutoHyphens w:val="0"/>
      <w:autoSpaceDE w:val="0"/>
      <w:autoSpaceDN w:val="0"/>
      <w:adjustRightInd w:val="0"/>
      <w:spacing w:before="100" w:after="100" w:line="240" w:lineRule="auto"/>
      <w:outlineLvl w:val="5"/>
    </w:pPr>
    <w:rPr>
      <w:rFonts w:ascii="Times New Roman" w:eastAsia="Calibri" w:hAnsi="Times New Roman" w:cs="Times New Roman"/>
      <w:b/>
      <w:bCs/>
      <w:color w:val="auto"/>
      <w:szCs w:val="20"/>
      <w:lang w:val="en-AU" w:eastAsia="en-AU"/>
    </w:rPr>
  </w:style>
  <w:style w:type="paragraph" w:customStyle="1" w:styleId="H6">
    <w:name w:val="H6"/>
    <w:basedOn w:val="Normal"/>
    <w:next w:val="Normal"/>
    <w:uiPriority w:val="99"/>
    <w:rsid w:val="000167A9"/>
    <w:pPr>
      <w:keepNext/>
      <w:suppressAutoHyphens w:val="0"/>
      <w:autoSpaceDE w:val="0"/>
      <w:autoSpaceDN w:val="0"/>
      <w:adjustRightInd w:val="0"/>
      <w:spacing w:before="100" w:after="100" w:line="240" w:lineRule="auto"/>
      <w:outlineLvl w:val="6"/>
    </w:pPr>
    <w:rPr>
      <w:rFonts w:ascii="Times New Roman" w:eastAsia="Calibri" w:hAnsi="Times New Roman" w:cs="Times New Roman"/>
      <w:b/>
      <w:bCs/>
      <w:color w:val="auto"/>
      <w:sz w:val="16"/>
      <w:szCs w:val="16"/>
      <w:lang w:val="en-AU" w:eastAsia="en-AU"/>
    </w:rPr>
  </w:style>
  <w:style w:type="paragraph" w:customStyle="1" w:styleId="Address">
    <w:name w:val="Address"/>
    <w:basedOn w:val="Normal"/>
    <w:next w:val="Normal"/>
    <w:uiPriority w:val="99"/>
    <w:rsid w:val="000167A9"/>
    <w:pPr>
      <w:suppressAutoHyphens w:val="0"/>
      <w:autoSpaceDE w:val="0"/>
      <w:autoSpaceDN w:val="0"/>
      <w:adjustRightInd w:val="0"/>
      <w:spacing w:before="0" w:after="120" w:line="240" w:lineRule="auto"/>
    </w:pPr>
    <w:rPr>
      <w:rFonts w:ascii="Times New Roman" w:eastAsia="Calibri" w:hAnsi="Times New Roman" w:cs="Times New Roman"/>
      <w:i/>
      <w:iCs/>
      <w:color w:val="auto"/>
      <w:sz w:val="24"/>
      <w:szCs w:val="24"/>
      <w:lang w:val="en-AU" w:eastAsia="en-AU"/>
    </w:rPr>
  </w:style>
  <w:style w:type="paragraph" w:customStyle="1" w:styleId="Blockquote">
    <w:name w:val="Blockquote"/>
    <w:basedOn w:val="Normal"/>
    <w:uiPriority w:val="99"/>
    <w:rsid w:val="000167A9"/>
    <w:pPr>
      <w:suppressAutoHyphens w:val="0"/>
      <w:autoSpaceDE w:val="0"/>
      <w:autoSpaceDN w:val="0"/>
      <w:adjustRightInd w:val="0"/>
      <w:spacing w:before="100" w:after="100" w:line="240" w:lineRule="auto"/>
      <w:ind w:left="360" w:right="360"/>
    </w:pPr>
    <w:rPr>
      <w:rFonts w:ascii="Times New Roman" w:eastAsia="Calibri" w:hAnsi="Times New Roman" w:cs="Times New Roman"/>
      <w:color w:val="auto"/>
      <w:sz w:val="24"/>
      <w:szCs w:val="24"/>
      <w:lang w:val="en-AU" w:eastAsia="en-AU"/>
    </w:rPr>
  </w:style>
  <w:style w:type="character" w:customStyle="1" w:styleId="CITE">
    <w:name w:val="CITE"/>
    <w:uiPriority w:val="99"/>
    <w:rsid w:val="000167A9"/>
    <w:rPr>
      <w:i/>
      <w:iCs/>
    </w:rPr>
  </w:style>
  <w:style w:type="character" w:customStyle="1" w:styleId="CODE">
    <w:name w:val="CODE"/>
    <w:uiPriority w:val="99"/>
    <w:rsid w:val="000167A9"/>
    <w:rPr>
      <w:rFonts w:ascii="Courier New" w:hAnsi="Courier New" w:cs="Courier New"/>
      <w:sz w:val="20"/>
      <w:szCs w:val="20"/>
    </w:rPr>
  </w:style>
  <w:style w:type="character" w:styleId="FollowedHyperlink">
    <w:name w:val="FollowedHyperlink"/>
    <w:uiPriority w:val="99"/>
    <w:rsid w:val="000167A9"/>
    <w:rPr>
      <w:color w:val="800080"/>
      <w:u w:val="single"/>
    </w:rPr>
  </w:style>
  <w:style w:type="character" w:customStyle="1" w:styleId="Keyboard">
    <w:name w:val="Keyboard"/>
    <w:uiPriority w:val="99"/>
    <w:rsid w:val="000167A9"/>
    <w:rPr>
      <w:rFonts w:ascii="Courier New" w:hAnsi="Courier New" w:cs="Courier New"/>
      <w:b/>
      <w:bCs/>
      <w:sz w:val="20"/>
      <w:szCs w:val="20"/>
    </w:rPr>
  </w:style>
  <w:style w:type="paragraph" w:customStyle="1" w:styleId="Preformatted">
    <w:name w:val="Preformatted"/>
    <w:basedOn w:val="Normal"/>
    <w:uiPriority w:val="99"/>
    <w:rsid w:val="000167A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val="0"/>
      <w:autoSpaceDN w:val="0"/>
      <w:adjustRightInd w:val="0"/>
      <w:spacing w:before="0" w:after="120" w:line="240" w:lineRule="auto"/>
    </w:pPr>
    <w:rPr>
      <w:rFonts w:ascii="Courier New" w:eastAsia="Calibri" w:hAnsi="Courier New" w:cs="Courier New"/>
      <w:color w:val="auto"/>
      <w:szCs w:val="20"/>
      <w:lang w:val="en-AU" w:eastAsia="en-AU"/>
    </w:rPr>
  </w:style>
  <w:style w:type="paragraph" w:styleId="z-BottomofForm">
    <w:name w:val="HTML Bottom of Form"/>
    <w:basedOn w:val="Normal"/>
    <w:next w:val="Normal"/>
    <w:link w:val="z-BottomofFormChar"/>
    <w:hidden/>
    <w:uiPriority w:val="99"/>
    <w:rsid w:val="000167A9"/>
    <w:pPr>
      <w:pBdr>
        <w:top w:val="double" w:sz="2" w:space="0" w:color="000000"/>
      </w:pBdr>
      <w:suppressAutoHyphens w:val="0"/>
      <w:autoSpaceDE w:val="0"/>
      <w:autoSpaceDN w:val="0"/>
      <w:adjustRightInd w:val="0"/>
      <w:spacing w:before="0" w:after="120" w:line="240" w:lineRule="auto"/>
      <w:jc w:val="center"/>
    </w:pPr>
    <w:rPr>
      <w:rFonts w:ascii="Arial" w:eastAsia="Calibri" w:hAnsi="Arial" w:cs="Arial"/>
      <w:vanish/>
      <w:color w:val="auto"/>
      <w:sz w:val="16"/>
      <w:szCs w:val="16"/>
      <w:lang w:val="en-AU" w:eastAsia="en-AU"/>
    </w:rPr>
  </w:style>
  <w:style w:type="character" w:customStyle="1" w:styleId="z-BottomofFormChar">
    <w:name w:val="z-Bottom of Form Char"/>
    <w:basedOn w:val="DefaultParagraphFont"/>
    <w:link w:val="z-BottomofForm"/>
    <w:uiPriority w:val="99"/>
    <w:rsid w:val="000167A9"/>
    <w:rPr>
      <w:rFonts w:ascii="Arial" w:eastAsia="Calibri" w:hAnsi="Arial" w:cs="Arial"/>
      <w:vanish/>
      <w:sz w:val="16"/>
      <w:szCs w:val="16"/>
      <w:lang w:eastAsia="en-AU"/>
    </w:rPr>
  </w:style>
  <w:style w:type="paragraph" w:styleId="z-TopofForm">
    <w:name w:val="HTML Top of Form"/>
    <w:basedOn w:val="Normal"/>
    <w:next w:val="Normal"/>
    <w:link w:val="z-TopofFormChar"/>
    <w:hidden/>
    <w:uiPriority w:val="99"/>
    <w:rsid w:val="000167A9"/>
    <w:pPr>
      <w:pBdr>
        <w:bottom w:val="double" w:sz="2" w:space="0" w:color="000000"/>
      </w:pBdr>
      <w:suppressAutoHyphens w:val="0"/>
      <w:autoSpaceDE w:val="0"/>
      <w:autoSpaceDN w:val="0"/>
      <w:adjustRightInd w:val="0"/>
      <w:spacing w:before="0" w:after="120" w:line="240" w:lineRule="auto"/>
      <w:jc w:val="center"/>
    </w:pPr>
    <w:rPr>
      <w:rFonts w:ascii="Arial" w:eastAsia="Calibri" w:hAnsi="Arial" w:cs="Arial"/>
      <w:vanish/>
      <w:color w:val="auto"/>
      <w:sz w:val="16"/>
      <w:szCs w:val="16"/>
      <w:lang w:val="en-AU" w:eastAsia="en-AU"/>
    </w:rPr>
  </w:style>
  <w:style w:type="character" w:customStyle="1" w:styleId="z-TopofFormChar">
    <w:name w:val="z-Top of Form Char"/>
    <w:basedOn w:val="DefaultParagraphFont"/>
    <w:link w:val="z-TopofForm"/>
    <w:uiPriority w:val="99"/>
    <w:rsid w:val="000167A9"/>
    <w:rPr>
      <w:rFonts w:ascii="Arial" w:eastAsia="Calibri" w:hAnsi="Arial" w:cs="Arial"/>
      <w:vanish/>
      <w:sz w:val="16"/>
      <w:szCs w:val="16"/>
      <w:lang w:eastAsia="en-AU"/>
    </w:rPr>
  </w:style>
  <w:style w:type="character" w:customStyle="1" w:styleId="Sample">
    <w:name w:val="Sample"/>
    <w:uiPriority w:val="99"/>
    <w:rsid w:val="000167A9"/>
    <w:rPr>
      <w:rFonts w:ascii="Courier New" w:hAnsi="Courier New" w:cs="Courier New"/>
    </w:rPr>
  </w:style>
  <w:style w:type="character" w:customStyle="1" w:styleId="Typewriter">
    <w:name w:val="Typewriter"/>
    <w:uiPriority w:val="99"/>
    <w:rsid w:val="000167A9"/>
    <w:rPr>
      <w:rFonts w:ascii="Courier New" w:hAnsi="Courier New" w:cs="Courier New"/>
      <w:sz w:val="20"/>
      <w:szCs w:val="20"/>
    </w:rPr>
  </w:style>
  <w:style w:type="character" w:customStyle="1" w:styleId="Variable">
    <w:name w:val="Variable"/>
    <w:uiPriority w:val="99"/>
    <w:rsid w:val="000167A9"/>
    <w:rPr>
      <w:i/>
      <w:iCs/>
    </w:rPr>
  </w:style>
  <w:style w:type="character" w:customStyle="1" w:styleId="HTMLMarkup">
    <w:name w:val="HTML Markup"/>
    <w:uiPriority w:val="99"/>
    <w:rsid w:val="000167A9"/>
    <w:rPr>
      <w:vanish/>
      <w:color w:val="FF0000"/>
    </w:rPr>
  </w:style>
  <w:style w:type="character" w:customStyle="1" w:styleId="Comment">
    <w:name w:val="Comment"/>
    <w:uiPriority w:val="99"/>
    <w:rsid w:val="000167A9"/>
    <w:rPr>
      <w:vanish/>
    </w:rPr>
  </w:style>
  <w:style w:type="paragraph" w:customStyle="1" w:styleId="MASPACRHeading2">
    <w:name w:val="MASP ACR Heading #2"/>
    <w:basedOn w:val="Normal"/>
    <w:qFormat/>
    <w:rsid w:val="000167A9"/>
    <w:pPr>
      <w:numPr>
        <w:numId w:val="35"/>
      </w:numPr>
      <w:tabs>
        <w:tab w:val="left" w:pos="567"/>
      </w:tabs>
      <w:suppressAutoHyphens w:val="0"/>
      <w:spacing w:after="120" w:line="276" w:lineRule="auto"/>
      <w:outlineLvl w:val="0"/>
    </w:pPr>
    <w:rPr>
      <w:rFonts w:ascii="Arial" w:eastAsia="ヒラギノ角ゴ Pro W3" w:hAnsi="Arial" w:cs="Times New Roman"/>
      <w:b/>
      <w:color w:val="6399B8"/>
      <w:sz w:val="24"/>
      <w:szCs w:val="24"/>
      <w:lang w:val="en-NZ"/>
    </w:rPr>
  </w:style>
  <w:style w:type="paragraph" w:customStyle="1" w:styleId="MASPACRHeading3">
    <w:name w:val="MASP ACR Heading #3"/>
    <w:basedOn w:val="Heading2"/>
    <w:link w:val="MASPACRHeading3Char"/>
    <w:qFormat/>
    <w:rsid w:val="000167A9"/>
    <w:pPr>
      <w:keepNext w:val="0"/>
      <w:keepLines w:val="0"/>
      <w:numPr>
        <w:ilvl w:val="1"/>
        <w:numId w:val="35"/>
      </w:numPr>
      <w:suppressAutoHyphens w:val="0"/>
      <w:spacing w:before="120" w:line="276" w:lineRule="auto"/>
      <w:ind w:left="567" w:hanging="567"/>
      <w:contextualSpacing w:val="0"/>
    </w:pPr>
    <w:rPr>
      <w:rFonts w:ascii="Arial" w:eastAsia="Helvetica" w:hAnsi="Arial" w:cs="Times New Roman"/>
      <w:b/>
      <w:i/>
      <w:caps w:val="0"/>
      <w:color w:val="000000"/>
      <w:sz w:val="20"/>
      <w:szCs w:val="20"/>
      <w:lang w:val="en-US" w:eastAsia="en-AU"/>
    </w:rPr>
  </w:style>
  <w:style w:type="character" w:customStyle="1" w:styleId="MASPACRHeading3Char">
    <w:name w:val="MASP ACR Heading #3 Char"/>
    <w:link w:val="MASPACRHeading3"/>
    <w:rsid w:val="000167A9"/>
    <w:rPr>
      <w:rFonts w:ascii="Arial" w:eastAsia="Helvetica" w:hAnsi="Arial" w:cs="Times New Roman"/>
      <w:b/>
      <w:i/>
      <w:color w:val="000000"/>
      <w:sz w:val="20"/>
      <w:szCs w:val="20"/>
      <w:lang w:val="en-US" w:eastAsia="en-AU"/>
    </w:rPr>
  </w:style>
  <w:style w:type="character" w:customStyle="1" w:styleId="BulletChar">
    <w:name w:val="Bullet Char"/>
    <w:aliases w:val="b Char"/>
    <w:rsid w:val="000167A9"/>
    <w:rPr>
      <w:rFonts w:ascii="Arial" w:hAnsi="Arial" w:cs="Arial"/>
      <w:lang w:val="en-AU" w:eastAsia="en-US" w:bidi="ar-SA"/>
    </w:rPr>
  </w:style>
  <w:style w:type="table" w:customStyle="1" w:styleId="Style11">
    <w:name w:val="Style11"/>
    <w:basedOn w:val="TableProfessional"/>
    <w:uiPriority w:val="99"/>
    <w:rsid w:val="000167A9"/>
    <w:pPr>
      <w:spacing w:after="0" w:line="240" w:lineRule="auto"/>
    </w:pPr>
    <w:rPr>
      <w:sz w:val="20"/>
      <w:szCs w:val="20"/>
      <w:lang w:val="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unhideWhenUsed/>
    <w:locked/>
    <w:rsid w:val="000167A9"/>
    <w:pPr>
      <w:spacing w:after="200" w:line="276" w:lineRule="auto"/>
    </w:pPr>
    <w:rPr>
      <w:rFonts w:eastAsiaTheme="minorEastAsia"/>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yle12">
    <w:name w:val="Style12"/>
    <w:basedOn w:val="TableProfessional"/>
    <w:uiPriority w:val="99"/>
    <w:rsid w:val="000167A9"/>
    <w:pPr>
      <w:spacing w:after="0" w:line="240" w:lineRule="auto"/>
    </w:pPr>
    <w:rPr>
      <w:rFonts w:eastAsiaTheme="minorHAnsi"/>
      <w:lang w:val="en-US"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1">
    <w:name w:val="Table Grid111"/>
    <w:basedOn w:val="TableNormal"/>
    <w:next w:val="TableGrid"/>
    <w:rsid w:val="000167A9"/>
    <w:pPr>
      <w:spacing w:after="0" w:line="240" w:lineRule="auto"/>
    </w:pPr>
    <w:rPr>
      <w:rFonts w:ascii="Calibri" w:eastAsia="Times New Roman" w:hAnsi="Calibri" w:cs="Times New Roman"/>
      <w:sz w:val="24"/>
      <w:szCs w:val="24"/>
      <w:lang w:val="en-PH"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rsid w:val="000167A9"/>
    <w:pPr>
      <w:spacing w:before="77" w:after="113" w:line="250" w:lineRule="exac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0167A9"/>
  </w:style>
  <w:style w:type="character" w:customStyle="1" w:styleId="go">
    <w:name w:val="go"/>
    <w:basedOn w:val="DefaultParagraphFont"/>
    <w:rsid w:val="000167A9"/>
  </w:style>
  <w:style w:type="table" w:styleId="TableGrid8">
    <w:name w:val="Table Grid 8"/>
    <w:basedOn w:val="TableNormal"/>
    <w:locked/>
    <w:rsid w:val="000167A9"/>
    <w:pPr>
      <w:spacing w:before="77" w:after="113" w:line="250" w:lineRule="exact"/>
    </w:pPr>
    <w:rPr>
      <w:rFonts w:ascii="Times New Roman" w:eastAsia="Times New Roman" w:hAnsi="Times New Roman" w:cs="Times New Roman"/>
      <w:sz w:val="24"/>
      <w:szCs w:val="24"/>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5">
    <w:name w:val="Table Grid5"/>
    <w:basedOn w:val="TableNormal"/>
    <w:next w:val="TableGrid"/>
    <w:uiPriority w:val="59"/>
    <w:rsid w:val="000167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SPII3Char">
    <w:name w:val="MASP II #3 Char"/>
    <w:link w:val="MASPII3"/>
    <w:rsid w:val="000167A9"/>
    <w:rPr>
      <w:rFonts w:ascii="Calibri" w:eastAsia="Calibri" w:hAnsi="Calibri" w:cs="Calibri"/>
      <w:b/>
      <w:sz w:val="24"/>
      <w:szCs w:val="24"/>
    </w:rPr>
  </w:style>
  <w:style w:type="paragraph" w:customStyle="1" w:styleId="Heading1ANNEXONLY">
    <w:name w:val="Heading 1 ANNEX ONLY"/>
    <w:basedOn w:val="Normal"/>
    <w:rsid w:val="000167A9"/>
    <w:pPr>
      <w:suppressAutoHyphens w:val="0"/>
      <w:spacing w:before="240" w:after="120" w:line="240" w:lineRule="auto"/>
    </w:pPr>
    <w:rPr>
      <w:rFonts w:asciiTheme="majorHAnsi" w:eastAsia="Calibri" w:hAnsiTheme="majorHAnsi" w:cstheme="majorHAnsi"/>
      <w:b/>
      <w:sz w:val="24"/>
      <w:szCs w:val="24"/>
      <w:lang w:val="en-AU"/>
    </w:rPr>
  </w:style>
  <w:style w:type="paragraph" w:customStyle="1" w:styleId="HEADING1HRDONLY">
    <w:name w:val="HEADING 1 HRD ONLY"/>
    <w:basedOn w:val="Heading1"/>
    <w:rsid w:val="000167A9"/>
    <w:pPr>
      <w:suppressAutoHyphens w:val="0"/>
      <w:spacing w:before="300" w:after="200" w:line="560" w:lineRule="exact"/>
      <w:contextualSpacing w:val="0"/>
    </w:pPr>
    <w:rPr>
      <w:rFonts w:eastAsia="MS Gothic"/>
      <w:b w:val="0"/>
      <w:caps w:val="0"/>
      <w:spacing w:val="-6"/>
      <w:sz w:val="56"/>
      <w:lang w:val="en-AU"/>
    </w:rPr>
  </w:style>
  <w:style w:type="paragraph" w:customStyle="1" w:styleId="HEADING2HRDONLY">
    <w:name w:val="HEADING 2 HRD ONLY"/>
    <w:basedOn w:val="Normal"/>
    <w:rsid w:val="000167A9"/>
    <w:pPr>
      <w:suppressAutoHyphens w:val="0"/>
      <w:spacing w:before="200" w:after="200" w:line="250" w:lineRule="atLeast"/>
      <w:contextualSpacing/>
      <w:jc w:val="both"/>
    </w:pPr>
    <w:rPr>
      <w:rFonts w:asciiTheme="majorHAnsi" w:eastAsia="MS Mincho" w:hAnsiTheme="majorHAnsi" w:cstheme="majorHAnsi"/>
      <w:b/>
      <w:color w:val="65C5B4" w:themeColor="accent1"/>
      <w:sz w:val="32"/>
      <w:szCs w:val="32"/>
      <w:lang w:val="en-AU"/>
    </w:rPr>
  </w:style>
  <w:style w:type="paragraph" w:customStyle="1" w:styleId="TABLEHEADINGHRDONLY">
    <w:name w:val="TABLE HEADING HRD ONLY"/>
    <w:basedOn w:val="TableHeading"/>
    <w:rsid w:val="000167A9"/>
  </w:style>
  <w:style w:type="paragraph" w:customStyle="1" w:styleId="FIGUREHEADINGHRDONLY">
    <w:name w:val="FIGURE HEADING HRD ONLY"/>
    <w:basedOn w:val="TABLEHEADINGHRDONLY"/>
    <w:rsid w:val="000167A9"/>
  </w:style>
  <w:style w:type="paragraph" w:customStyle="1" w:styleId="HEADING3HRDONLY">
    <w:name w:val="HEADING 3 HRD ONLY"/>
    <w:basedOn w:val="Heading3"/>
    <w:rsid w:val="000167A9"/>
    <w:pPr>
      <w:suppressAutoHyphens w:val="0"/>
      <w:spacing w:before="200" w:after="57" w:line="240" w:lineRule="atLeast"/>
      <w:contextualSpacing w:val="0"/>
    </w:pPr>
    <w:rPr>
      <w:rFonts w:asciiTheme="minorHAnsi" w:hAnsiTheme="minorHAnsi"/>
      <w:b/>
      <w:spacing w:val="-2"/>
      <w:sz w:val="22"/>
      <w:szCs w:val="22"/>
      <w:lang w:val="en-AU"/>
    </w:rPr>
  </w:style>
  <w:style w:type="paragraph" w:customStyle="1" w:styleId="HEADING1ELTONLY">
    <w:name w:val="*HEADING 1 ELT ONLY"/>
    <w:basedOn w:val="Normal"/>
    <w:rsid w:val="000167A9"/>
    <w:pPr>
      <w:suppressAutoHyphens w:val="0"/>
      <w:spacing w:before="0" w:after="120" w:line="240" w:lineRule="auto"/>
      <w:ind w:right="518"/>
    </w:pPr>
    <w:rPr>
      <w:rFonts w:asciiTheme="majorHAnsi" w:eastAsia="MS Gothic" w:hAnsiTheme="majorHAnsi" w:cstheme="majorBidi"/>
      <w:bCs/>
      <w:spacing w:val="-6"/>
      <w:sz w:val="56"/>
      <w:szCs w:val="28"/>
      <w:lang w:val="en-AU"/>
    </w:rPr>
  </w:style>
  <w:style w:type="paragraph" w:customStyle="1" w:styleId="HEADING2ELTONLY">
    <w:name w:val="*HEADING 2 ELT ONLY"/>
    <w:basedOn w:val="HEADING2HRDONLY"/>
    <w:rsid w:val="000167A9"/>
    <w:pPr>
      <w:jc w:val="left"/>
    </w:pPr>
    <w:rPr>
      <w:sz w:val="29"/>
      <w:szCs w:val="29"/>
    </w:rPr>
  </w:style>
  <w:style w:type="paragraph" w:customStyle="1" w:styleId="HEADING3ELTONLY">
    <w:name w:val="*HEADING 3 ELT ONLY"/>
    <w:basedOn w:val="HEADING3HRDONLY"/>
    <w:rsid w:val="000167A9"/>
    <w:rPr>
      <w:shd w:val="clear" w:color="auto" w:fill="FFFFFF"/>
    </w:rPr>
  </w:style>
  <w:style w:type="paragraph" w:customStyle="1" w:styleId="ANNEXHEADERELTONLY">
    <w:name w:val="*ANNEX HEADER ELT ONLY"/>
    <w:basedOn w:val="HEADING1HRDONLY"/>
    <w:rsid w:val="000167A9"/>
  </w:style>
  <w:style w:type="paragraph" w:customStyle="1" w:styleId="MELPlanInsert1">
    <w:name w:val="ME&amp;L Plan Insert #1"/>
    <w:basedOn w:val="Normal"/>
    <w:link w:val="MELPlanInsert1Char"/>
    <w:qFormat/>
    <w:rsid w:val="000167A9"/>
    <w:pPr>
      <w:suppressAutoHyphens w:val="0"/>
      <w:spacing w:before="0" w:after="120" w:line="240" w:lineRule="auto"/>
    </w:pPr>
    <w:rPr>
      <w:rFonts w:asciiTheme="majorHAnsi" w:eastAsia="Calibri" w:hAnsiTheme="majorHAnsi" w:cstheme="majorHAnsi"/>
      <w:b/>
      <w:sz w:val="24"/>
      <w:szCs w:val="24"/>
      <w:lang w:val="en-AU"/>
    </w:rPr>
  </w:style>
  <w:style w:type="paragraph" w:customStyle="1" w:styleId="MELPlanasinsert2">
    <w:name w:val="ME&amp;L Plan as insert #2"/>
    <w:basedOn w:val="Normal"/>
    <w:link w:val="MELPlanasinsert2Char"/>
    <w:qFormat/>
    <w:rsid w:val="000167A9"/>
    <w:pPr>
      <w:suppressAutoHyphens w:val="0"/>
      <w:spacing w:before="0" w:after="120" w:line="240" w:lineRule="auto"/>
    </w:pPr>
    <w:rPr>
      <w:rFonts w:eastAsia="Calibri" w:cstheme="minorHAnsi"/>
      <w:b/>
      <w:color w:val="auto"/>
      <w:szCs w:val="20"/>
      <w:lang w:val="en-AU"/>
    </w:rPr>
  </w:style>
  <w:style w:type="character" w:customStyle="1" w:styleId="MELPlanInsert1Char">
    <w:name w:val="ME&amp;L Plan Insert #1 Char"/>
    <w:basedOn w:val="DefaultParagraphFont"/>
    <w:link w:val="MELPlanInsert1"/>
    <w:rsid w:val="000167A9"/>
    <w:rPr>
      <w:rFonts w:asciiTheme="majorHAnsi" w:eastAsia="Calibri" w:hAnsiTheme="majorHAnsi" w:cstheme="majorHAnsi"/>
      <w:b/>
      <w:color w:val="495965" w:themeColor="text2"/>
      <w:sz w:val="24"/>
      <w:szCs w:val="24"/>
    </w:rPr>
  </w:style>
  <w:style w:type="character" w:customStyle="1" w:styleId="MELPlanasinsert2Char">
    <w:name w:val="ME&amp;L Plan as insert #2 Char"/>
    <w:basedOn w:val="DefaultParagraphFont"/>
    <w:link w:val="MELPlanasinsert2"/>
    <w:rsid w:val="000167A9"/>
    <w:rPr>
      <w:rFonts w:eastAsia="Calibri" w:cstheme="minorHAnsi"/>
      <w:b/>
      <w:szCs w:val="20"/>
    </w:rPr>
  </w:style>
  <w:style w:type="paragraph" w:customStyle="1" w:styleId="LaosPDDFigure">
    <w:name w:val="Laos PDD Figure"/>
    <w:basedOn w:val="Normal"/>
    <w:link w:val="LaosPDDFigureChar"/>
    <w:qFormat/>
    <w:rsid w:val="000167A9"/>
    <w:pPr>
      <w:suppressAutoHyphens w:val="0"/>
      <w:spacing w:after="120" w:line="240" w:lineRule="auto"/>
      <w:ind w:left="567"/>
    </w:pPr>
    <w:rPr>
      <w:rFonts w:ascii="Arial Narrow" w:eastAsia="Times New Roman" w:hAnsi="Arial Narrow" w:cstheme="minorHAnsi"/>
      <w:b/>
      <w:color w:val="auto"/>
      <w:szCs w:val="20"/>
      <w:lang w:val="en-AU" w:eastAsia="en-AU"/>
    </w:rPr>
  </w:style>
  <w:style w:type="character" w:customStyle="1" w:styleId="LaosPDDFigureChar">
    <w:name w:val="Laos PDD Figure Char"/>
    <w:basedOn w:val="DefaultParagraphFont"/>
    <w:link w:val="LaosPDDFigure"/>
    <w:rsid w:val="000167A9"/>
    <w:rPr>
      <w:rFonts w:ascii="Arial Narrow" w:eastAsia="Times New Roman" w:hAnsi="Arial Narrow" w:cstheme="minorHAnsi"/>
      <w:b/>
      <w:szCs w:val="20"/>
      <w:lang w:eastAsia="en-AU"/>
    </w:rPr>
  </w:style>
  <w:style w:type="character" w:customStyle="1" w:styleId="yiv4648801938">
    <w:name w:val="yiv4648801938"/>
    <w:basedOn w:val="DefaultParagraphFont"/>
    <w:rsid w:val="000167A9"/>
  </w:style>
  <w:style w:type="table" w:customStyle="1" w:styleId="LightList-Accent111">
    <w:name w:val="Light List - Accent 111"/>
    <w:basedOn w:val="TableNormal"/>
    <w:uiPriority w:val="61"/>
    <w:rsid w:val="000167A9"/>
    <w:pPr>
      <w:spacing w:after="0" w:line="240" w:lineRule="auto"/>
    </w:pPr>
    <w:rPr>
      <w:rFonts w:eastAsiaTheme="minorEastAsia"/>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tblBorders>
    </w:tblPr>
    <w:tblStylePr w:type="firstRow">
      <w:pPr>
        <w:spacing w:before="0" w:after="0" w:line="240" w:lineRule="auto"/>
      </w:pPr>
      <w:rPr>
        <w:b/>
        <w:bCs/>
        <w:color w:val="FFFFFF" w:themeColor="background1"/>
      </w:rPr>
      <w:tblPr/>
      <w:tcPr>
        <w:shd w:val="clear" w:color="auto" w:fill="65C5B4" w:themeFill="accent1"/>
      </w:tcPr>
    </w:tblStylePr>
    <w:tblStylePr w:type="lastRow">
      <w:pPr>
        <w:spacing w:before="0" w:after="0" w:line="240" w:lineRule="auto"/>
      </w:pPr>
      <w:rPr>
        <w:b/>
        <w:bCs/>
      </w:rPr>
      <w:tblPr/>
      <w:tcPr>
        <w:tcBorders>
          <w:top w:val="double" w:sz="6" w:space="0" w:color="65C5B4" w:themeColor="accent1"/>
          <w:left w:val="single" w:sz="8" w:space="0" w:color="65C5B4" w:themeColor="accent1"/>
          <w:bottom w:val="single" w:sz="8" w:space="0" w:color="65C5B4" w:themeColor="accent1"/>
          <w:right w:val="single" w:sz="8" w:space="0" w:color="65C5B4" w:themeColor="accent1"/>
        </w:tcBorders>
      </w:tcPr>
    </w:tblStylePr>
    <w:tblStylePr w:type="firstCol">
      <w:rPr>
        <w:b/>
        <w:bCs/>
      </w:rPr>
    </w:tblStylePr>
    <w:tblStylePr w:type="lastCol">
      <w:rPr>
        <w:b/>
        <w:bCs/>
      </w:rPr>
    </w:tblStylePr>
    <w:tblStylePr w:type="band1Vert">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tblStylePr w:type="band1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style>
  <w:style w:type="table" w:customStyle="1" w:styleId="LightShading-Accent111">
    <w:name w:val="Light Shading - Accent 111"/>
    <w:basedOn w:val="TableNormal"/>
    <w:uiPriority w:val="60"/>
    <w:rsid w:val="000167A9"/>
    <w:pPr>
      <w:spacing w:after="0" w:line="240" w:lineRule="auto"/>
    </w:pPr>
    <w:rPr>
      <w:rFonts w:eastAsiaTheme="minorEastAsia"/>
      <w:color w:val="3DA18F" w:themeColor="accent1" w:themeShade="BF"/>
      <w:lang w:eastAsia="en-AU"/>
    </w:rPr>
    <w:tblPr>
      <w:tblStyleRowBandSize w:val="1"/>
      <w:tblStyleColBandSize w:val="1"/>
      <w:tblBorders>
        <w:top w:val="single" w:sz="8" w:space="0" w:color="65C5B4" w:themeColor="accent1"/>
        <w:bottom w:val="single" w:sz="8" w:space="0" w:color="65C5B4" w:themeColor="accent1"/>
      </w:tblBorders>
    </w:tblPr>
    <w:tblStylePr w:type="fir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la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0EC" w:themeFill="accent1" w:themeFillTint="3F"/>
      </w:tcPr>
    </w:tblStylePr>
    <w:tblStylePr w:type="band1Horz">
      <w:tblPr/>
      <w:tcPr>
        <w:tcBorders>
          <w:left w:val="nil"/>
          <w:right w:val="nil"/>
          <w:insideH w:val="nil"/>
          <w:insideV w:val="nil"/>
        </w:tcBorders>
        <w:shd w:val="clear" w:color="auto" w:fill="D8F0EC" w:themeFill="accent1" w:themeFillTint="3F"/>
      </w:tcPr>
    </w:tblStylePr>
  </w:style>
  <w:style w:type="table" w:customStyle="1" w:styleId="MediumShading2-Accent111">
    <w:name w:val="Medium Shading 2 - Accent 111"/>
    <w:basedOn w:val="TableNormal"/>
    <w:uiPriority w:val="64"/>
    <w:rsid w:val="000167A9"/>
    <w:pPr>
      <w:spacing w:after="0" w:line="240" w:lineRule="auto"/>
    </w:pPr>
    <w:rPr>
      <w:rFonts w:eastAsiaTheme="minorEastAsia"/>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C5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C5B4" w:themeFill="accent1"/>
      </w:tcPr>
    </w:tblStylePr>
    <w:tblStylePr w:type="lastCol">
      <w:rPr>
        <w:b/>
        <w:bCs/>
        <w:color w:val="FFFFFF" w:themeColor="background1"/>
      </w:rPr>
      <w:tblPr/>
      <w:tcPr>
        <w:tcBorders>
          <w:left w:val="nil"/>
          <w:right w:val="nil"/>
          <w:insideH w:val="nil"/>
          <w:insideV w:val="nil"/>
        </w:tcBorders>
        <w:shd w:val="clear" w:color="auto" w:fill="65C5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0167A9"/>
    <w:pPr>
      <w:spacing w:after="0" w:line="240" w:lineRule="auto"/>
    </w:pPr>
    <w:rPr>
      <w:rFonts w:eastAsiaTheme="minorEastAsia"/>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F6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F68" w:themeFill="accent5"/>
      </w:tcPr>
    </w:tblStylePr>
    <w:tblStylePr w:type="lastCol">
      <w:rPr>
        <w:b/>
        <w:bCs/>
        <w:color w:val="FFFFFF" w:themeColor="background1"/>
      </w:rPr>
      <w:tblPr/>
      <w:tcPr>
        <w:tcBorders>
          <w:left w:val="nil"/>
          <w:right w:val="nil"/>
          <w:insideH w:val="nil"/>
          <w:insideV w:val="nil"/>
        </w:tcBorders>
        <w:shd w:val="clear" w:color="auto" w:fill="409F6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1">
    <w:name w:val="Medium Shading 1 - Accent 111"/>
    <w:basedOn w:val="TableNormal"/>
    <w:uiPriority w:val="63"/>
    <w:rsid w:val="000167A9"/>
    <w:pPr>
      <w:spacing w:after="0" w:line="240" w:lineRule="auto"/>
    </w:pPr>
    <w:rPr>
      <w:rFonts w:eastAsiaTheme="minorEastAsia"/>
      <w:lang w:eastAsia="en-AU"/>
    </w:rPr>
    <w:tblPr>
      <w:tblStyleRowBandSize w:val="1"/>
      <w:tblStyleColBandSize w:val="1"/>
      <w:tbl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single" w:sz="8" w:space="0" w:color="8BD3C6" w:themeColor="accent1" w:themeTint="BF"/>
      </w:tblBorders>
    </w:tblPr>
    <w:tblStylePr w:type="firstRow">
      <w:pPr>
        <w:spacing w:before="0" w:after="0" w:line="240" w:lineRule="auto"/>
      </w:pPr>
      <w:rPr>
        <w:b/>
        <w:bCs/>
        <w:color w:val="FFFFFF" w:themeColor="background1"/>
      </w:rPr>
      <w:tblPr/>
      <w:tcPr>
        <w:tc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shd w:val="clear" w:color="auto" w:fill="65C5B4" w:themeFill="accent1"/>
      </w:tcPr>
    </w:tblStylePr>
    <w:tblStylePr w:type="lastRow">
      <w:pPr>
        <w:spacing w:before="0" w:after="0" w:line="240" w:lineRule="auto"/>
      </w:pPr>
      <w:rPr>
        <w:b/>
        <w:bCs/>
      </w:rPr>
      <w:tblPr/>
      <w:tcPr>
        <w:tcBorders>
          <w:top w:val="double" w:sz="6"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F0EC" w:themeFill="accent1" w:themeFillTint="3F"/>
      </w:tcPr>
    </w:tblStylePr>
    <w:tblStylePr w:type="band1Horz">
      <w:tblPr/>
      <w:tcPr>
        <w:tcBorders>
          <w:insideH w:val="nil"/>
          <w:insideV w:val="nil"/>
        </w:tcBorders>
        <w:shd w:val="clear" w:color="auto" w:fill="D8F0EC" w:themeFill="accent1" w:themeFillTint="3F"/>
      </w:tcPr>
    </w:tblStylePr>
    <w:tblStylePr w:type="band2Horz">
      <w:tblPr/>
      <w:tcPr>
        <w:tcBorders>
          <w:insideH w:val="nil"/>
          <w:insideV w:val="nil"/>
        </w:tcBorders>
      </w:tcPr>
    </w:tblStylePr>
  </w:style>
  <w:style w:type="table" w:customStyle="1" w:styleId="LightGrid-Accent111">
    <w:name w:val="Light Grid - Accent 111"/>
    <w:basedOn w:val="TableNormal"/>
    <w:uiPriority w:val="62"/>
    <w:rsid w:val="000167A9"/>
    <w:pPr>
      <w:spacing w:after="0" w:line="240" w:lineRule="auto"/>
    </w:pPr>
    <w:rPr>
      <w:rFonts w:eastAsiaTheme="minorEastAsia"/>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insideH w:val="single" w:sz="8" w:space="0" w:color="65C5B4" w:themeColor="accent1"/>
        <w:insideV w:val="single" w:sz="8" w:space="0" w:color="65C5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18" w:space="0" w:color="65C5B4" w:themeColor="accent1"/>
          <w:right w:val="single" w:sz="8" w:space="0" w:color="65C5B4" w:themeColor="accent1"/>
          <w:insideH w:val="nil"/>
          <w:insideV w:val="single" w:sz="8" w:space="0" w:color="65C5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C5B4" w:themeColor="accent1"/>
          <w:left w:val="single" w:sz="8" w:space="0" w:color="65C5B4" w:themeColor="accent1"/>
          <w:bottom w:val="single" w:sz="8" w:space="0" w:color="65C5B4" w:themeColor="accent1"/>
          <w:right w:val="single" w:sz="8" w:space="0" w:color="65C5B4" w:themeColor="accent1"/>
          <w:insideH w:val="nil"/>
          <w:insideV w:val="single" w:sz="8" w:space="0" w:color="65C5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tblStylePr w:type="band1Vert">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shd w:val="clear" w:color="auto" w:fill="D8F0EC" w:themeFill="accent1" w:themeFillTint="3F"/>
      </w:tcPr>
    </w:tblStylePr>
    <w:tblStylePr w:type="band1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shd w:val="clear" w:color="auto" w:fill="D8F0EC" w:themeFill="accent1" w:themeFillTint="3F"/>
      </w:tcPr>
    </w:tblStylePr>
    <w:tblStylePr w:type="band2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tcPr>
    </w:tblStylePr>
  </w:style>
  <w:style w:type="table" w:customStyle="1" w:styleId="LightList-Accent51">
    <w:name w:val="Light List - Accent 51"/>
    <w:basedOn w:val="TableNormal"/>
    <w:next w:val="LightList-Accent5"/>
    <w:uiPriority w:val="61"/>
    <w:rsid w:val="000167A9"/>
    <w:pPr>
      <w:spacing w:after="0" w:line="240" w:lineRule="auto"/>
    </w:pPr>
    <w:rPr>
      <w:rFonts w:eastAsiaTheme="minorEastAsia"/>
      <w:lang w:eastAsia="en-AU"/>
    </w:rPr>
    <w:tblPr>
      <w:tblStyleRowBandSize w:val="1"/>
      <w:tblStyleColBandSize w:val="1"/>
      <w:tblBorders>
        <w:top w:val="single" w:sz="8" w:space="0" w:color="409F68" w:themeColor="accent5"/>
        <w:left w:val="single" w:sz="8" w:space="0" w:color="409F68" w:themeColor="accent5"/>
        <w:bottom w:val="single" w:sz="8" w:space="0" w:color="409F68" w:themeColor="accent5"/>
        <w:right w:val="single" w:sz="8" w:space="0" w:color="409F68" w:themeColor="accent5"/>
      </w:tblBorders>
    </w:tblPr>
    <w:tblStylePr w:type="firstRow">
      <w:pPr>
        <w:spacing w:before="0" w:after="0" w:line="240" w:lineRule="auto"/>
      </w:pPr>
      <w:rPr>
        <w:b/>
        <w:bCs/>
        <w:color w:val="FFFFFF" w:themeColor="background1"/>
      </w:rPr>
      <w:tblPr/>
      <w:tcPr>
        <w:shd w:val="clear" w:color="auto" w:fill="409F68" w:themeFill="accent5"/>
      </w:tcPr>
    </w:tblStylePr>
    <w:tblStylePr w:type="lastRow">
      <w:pPr>
        <w:spacing w:before="0" w:after="0" w:line="240" w:lineRule="auto"/>
      </w:pPr>
      <w:rPr>
        <w:b/>
        <w:bCs/>
      </w:rPr>
      <w:tblPr/>
      <w:tcPr>
        <w:tcBorders>
          <w:top w:val="double" w:sz="6" w:space="0" w:color="409F68" w:themeColor="accent5"/>
          <w:left w:val="single" w:sz="8" w:space="0" w:color="409F68" w:themeColor="accent5"/>
          <w:bottom w:val="single" w:sz="8" w:space="0" w:color="409F68" w:themeColor="accent5"/>
          <w:right w:val="single" w:sz="8" w:space="0" w:color="409F68" w:themeColor="accent5"/>
        </w:tcBorders>
      </w:tcPr>
    </w:tblStylePr>
    <w:tblStylePr w:type="firstCol">
      <w:rPr>
        <w:b/>
        <w:bCs/>
      </w:rPr>
    </w:tblStylePr>
    <w:tblStylePr w:type="lastCol">
      <w:rPr>
        <w:b/>
        <w:bCs/>
      </w:rPr>
    </w:tblStylePr>
    <w:tblStylePr w:type="band1Vert">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tcPr>
    </w:tblStylePr>
    <w:tblStylePr w:type="band1Horz">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tcPr>
    </w:tblStylePr>
  </w:style>
  <w:style w:type="paragraph" w:customStyle="1" w:styleId="ASANReportbodytext">
    <w:name w:val="ASAN Report body text"/>
    <w:basedOn w:val="Normal"/>
    <w:rsid w:val="000167A9"/>
    <w:pPr>
      <w:suppressAutoHyphens w:val="0"/>
      <w:spacing w:after="120" w:line="240" w:lineRule="auto"/>
    </w:pPr>
    <w:rPr>
      <w:rFonts w:ascii="Times New Roman" w:eastAsia="MS Mincho" w:hAnsi="Times New Roman" w:cs="Times New Roman"/>
      <w:color w:val="auto"/>
      <w:lang w:val="en-AU"/>
    </w:rPr>
  </w:style>
  <w:style w:type="table" w:customStyle="1" w:styleId="TableGrid51">
    <w:name w:val="Table Grid51"/>
    <w:rsid w:val="000167A9"/>
    <w:pPr>
      <w:spacing w:line="276" w:lineRule="auto"/>
    </w:pPr>
    <w:rPr>
      <w:rFonts w:ascii="Times New Roman" w:eastAsia="Calibri" w:hAnsi="Times New Roman" w:cs="Times New Roman"/>
      <w:sz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167A9"/>
    <w:pPr>
      <w:spacing w:before="200"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0167A9"/>
    <w:rPr>
      <w:color w:val="0000FF"/>
      <w:u w:val="single"/>
    </w:rPr>
  </w:style>
  <w:style w:type="character" w:customStyle="1" w:styleId="st1">
    <w:name w:val="st1"/>
    <w:basedOn w:val="DefaultParagraphFont"/>
    <w:rsid w:val="000167A9"/>
  </w:style>
  <w:style w:type="table" w:styleId="LightGrid-Accent3">
    <w:name w:val="Light Grid Accent 3"/>
    <w:basedOn w:val="TableNormal"/>
    <w:uiPriority w:val="62"/>
    <w:locked/>
    <w:rsid w:val="000167A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D3875F" w:themeColor="accent3"/>
        <w:left w:val="single" w:sz="8" w:space="0" w:color="D3875F" w:themeColor="accent3"/>
        <w:bottom w:val="single" w:sz="8" w:space="0" w:color="D3875F" w:themeColor="accent3"/>
        <w:right w:val="single" w:sz="8" w:space="0" w:color="D3875F" w:themeColor="accent3"/>
        <w:insideH w:val="single" w:sz="8" w:space="0" w:color="D3875F" w:themeColor="accent3"/>
        <w:insideV w:val="single" w:sz="8" w:space="0" w:color="D387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875F" w:themeColor="accent3"/>
          <w:left w:val="single" w:sz="8" w:space="0" w:color="D3875F" w:themeColor="accent3"/>
          <w:bottom w:val="single" w:sz="18" w:space="0" w:color="D3875F" w:themeColor="accent3"/>
          <w:right w:val="single" w:sz="8" w:space="0" w:color="D3875F" w:themeColor="accent3"/>
          <w:insideH w:val="nil"/>
          <w:insideV w:val="single" w:sz="8" w:space="0" w:color="D387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875F" w:themeColor="accent3"/>
          <w:left w:val="single" w:sz="8" w:space="0" w:color="D3875F" w:themeColor="accent3"/>
          <w:bottom w:val="single" w:sz="8" w:space="0" w:color="D3875F" w:themeColor="accent3"/>
          <w:right w:val="single" w:sz="8" w:space="0" w:color="D3875F" w:themeColor="accent3"/>
          <w:insideH w:val="nil"/>
          <w:insideV w:val="single" w:sz="8" w:space="0" w:color="D387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875F" w:themeColor="accent3"/>
          <w:left w:val="single" w:sz="8" w:space="0" w:color="D3875F" w:themeColor="accent3"/>
          <w:bottom w:val="single" w:sz="8" w:space="0" w:color="D3875F" w:themeColor="accent3"/>
          <w:right w:val="single" w:sz="8" w:space="0" w:color="D3875F" w:themeColor="accent3"/>
        </w:tcBorders>
      </w:tcPr>
    </w:tblStylePr>
    <w:tblStylePr w:type="band1Vert">
      <w:tblPr/>
      <w:tcPr>
        <w:tcBorders>
          <w:top w:val="single" w:sz="8" w:space="0" w:color="D3875F" w:themeColor="accent3"/>
          <w:left w:val="single" w:sz="8" w:space="0" w:color="D3875F" w:themeColor="accent3"/>
          <w:bottom w:val="single" w:sz="8" w:space="0" w:color="D3875F" w:themeColor="accent3"/>
          <w:right w:val="single" w:sz="8" w:space="0" w:color="D3875F" w:themeColor="accent3"/>
        </w:tcBorders>
        <w:shd w:val="clear" w:color="auto" w:fill="F4E1D7" w:themeFill="accent3" w:themeFillTint="3F"/>
      </w:tcPr>
    </w:tblStylePr>
    <w:tblStylePr w:type="band1Horz">
      <w:tblPr/>
      <w:tcPr>
        <w:tcBorders>
          <w:top w:val="single" w:sz="8" w:space="0" w:color="D3875F" w:themeColor="accent3"/>
          <w:left w:val="single" w:sz="8" w:space="0" w:color="D3875F" w:themeColor="accent3"/>
          <w:bottom w:val="single" w:sz="8" w:space="0" w:color="D3875F" w:themeColor="accent3"/>
          <w:right w:val="single" w:sz="8" w:space="0" w:color="D3875F" w:themeColor="accent3"/>
          <w:insideV w:val="single" w:sz="8" w:space="0" w:color="D3875F" w:themeColor="accent3"/>
        </w:tcBorders>
        <w:shd w:val="clear" w:color="auto" w:fill="F4E1D7" w:themeFill="accent3" w:themeFillTint="3F"/>
      </w:tcPr>
    </w:tblStylePr>
    <w:tblStylePr w:type="band2Horz">
      <w:tblPr/>
      <w:tcPr>
        <w:tcBorders>
          <w:top w:val="single" w:sz="8" w:space="0" w:color="D3875F" w:themeColor="accent3"/>
          <w:left w:val="single" w:sz="8" w:space="0" w:color="D3875F" w:themeColor="accent3"/>
          <w:bottom w:val="single" w:sz="8" w:space="0" w:color="D3875F" w:themeColor="accent3"/>
          <w:right w:val="single" w:sz="8" w:space="0" w:color="D3875F" w:themeColor="accent3"/>
          <w:insideV w:val="single" w:sz="8" w:space="0" w:color="D3875F" w:themeColor="accent3"/>
        </w:tcBorders>
      </w:tcPr>
    </w:tblStylePr>
  </w:style>
  <w:style w:type="table" w:customStyle="1" w:styleId="GridTable3-Accent31">
    <w:name w:val="Grid Table 3 - Accent 31"/>
    <w:basedOn w:val="TableNormal"/>
    <w:uiPriority w:val="48"/>
    <w:rsid w:val="000167A9"/>
    <w:pPr>
      <w:spacing w:after="0" w:line="240" w:lineRule="auto"/>
    </w:pPr>
    <w:rPr>
      <w:rFonts w:ascii="Calibri" w:eastAsia="Times New Roman" w:hAnsi="Calibri" w:cs="Times New Roman"/>
      <w:sz w:val="24"/>
      <w:szCs w:val="24"/>
      <w:lang w:eastAsia="en-AU"/>
    </w:rPr>
    <w:tblPr>
      <w:tblStyleRowBandSize w:val="1"/>
      <w:tblStyleColBandSize w:val="1"/>
      <w:tblBorders>
        <w:top w:val="single" w:sz="4" w:space="0" w:color="E4B69E" w:themeColor="accent3" w:themeTint="99"/>
        <w:left w:val="single" w:sz="4" w:space="0" w:color="E4B69E" w:themeColor="accent3" w:themeTint="99"/>
        <w:bottom w:val="single" w:sz="4" w:space="0" w:color="E4B69E" w:themeColor="accent3" w:themeTint="99"/>
        <w:right w:val="single" w:sz="4" w:space="0" w:color="E4B69E" w:themeColor="accent3" w:themeTint="99"/>
        <w:insideH w:val="single" w:sz="4" w:space="0" w:color="E4B69E" w:themeColor="accent3" w:themeTint="99"/>
        <w:insideV w:val="single" w:sz="4" w:space="0" w:color="E4B6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6DE" w:themeFill="accent3" w:themeFillTint="33"/>
      </w:tcPr>
    </w:tblStylePr>
    <w:tblStylePr w:type="band1Horz">
      <w:tblPr/>
      <w:tcPr>
        <w:shd w:val="clear" w:color="auto" w:fill="F6E6DE" w:themeFill="accent3" w:themeFillTint="33"/>
      </w:tcPr>
    </w:tblStylePr>
    <w:tblStylePr w:type="neCell">
      <w:tblPr/>
      <w:tcPr>
        <w:tcBorders>
          <w:bottom w:val="single" w:sz="4" w:space="0" w:color="E4B69E" w:themeColor="accent3" w:themeTint="99"/>
        </w:tcBorders>
      </w:tcPr>
    </w:tblStylePr>
    <w:tblStylePr w:type="nwCell">
      <w:tblPr/>
      <w:tcPr>
        <w:tcBorders>
          <w:bottom w:val="single" w:sz="4" w:space="0" w:color="E4B69E" w:themeColor="accent3" w:themeTint="99"/>
        </w:tcBorders>
      </w:tcPr>
    </w:tblStylePr>
    <w:tblStylePr w:type="seCell">
      <w:tblPr/>
      <w:tcPr>
        <w:tcBorders>
          <w:top w:val="single" w:sz="4" w:space="0" w:color="E4B69E" w:themeColor="accent3" w:themeTint="99"/>
        </w:tcBorders>
      </w:tcPr>
    </w:tblStylePr>
    <w:tblStylePr w:type="swCell">
      <w:tblPr/>
      <w:tcPr>
        <w:tcBorders>
          <w:top w:val="single" w:sz="4" w:space="0" w:color="E4B69E" w:themeColor="accent3" w:themeTint="99"/>
        </w:tcBorders>
      </w:tcPr>
    </w:tblStylePr>
  </w:style>
  <w:style w:type="paragraph" w:customStyle="1" w:styleId="bullets0">
    <w:name w:val="bullets"/>
    <w:basedOn w:val="Normal"/>
    <w:qFormat/>
    <w:rsid w:val="000167A9"/>
    <w:pPr>
      <w:numPr>
        <w:numId w:val="36"/>
      </w:numPr>
      <w:suppressAutoHyphens w:val="0"/>
      <w:spacing w:before="0" w:after="120" w:line="220" w:lineRule="atLeast"/>
    </w:pPr>
    <w:rPr>
      <w:rFonts w:ascii="Arial" w:hAnsi="Arial" w:cs="Arial"/>
      <w:color w:val="auto"/>
      <w:lang w:val="en-NZ"/>
    </w:rPr>
  </w:style>
  <w:style w:type="numbering" w:customStyle="1" w:styleId="NoList2">
    <w:name w:val="No List2"/>
    <w:next w:val="NoList"/>
    <w:uiPriority w:val="99"/>
    <w:semiHidden/>
    <w:unhideWhenUsed/>
    <w:rsid w:val="000167A9"/>
  </w:style>
  <w:style w:type="table" w:customStyle="1" w:styleId="TableGrid80">
    <w:name w:val="Table Grid8"/>
    <w:basedOn w:val="TableNormal"/>
    <w:next w:val="TableGrid"/>
    <w:rsid w:val="000167A9"/>
    <w:pPr>
      <w:spacing w:after="0" w:line="240" w:lineRule="auto"/>
    </w:pPr>
    <w:rPr>
      <w:rFonts w:ascii="Arial" w:eastAsia="Times New Roman" w:hAnsi="Arial"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167A9"/>
    <w:pPr>
      <w:spacing w:after="0" w:line="240" w:lineRule="auto"/>
    </w:pPr>
    <w:rPr>
      <w:rFonts w:ascii="Calibri" w:eastAsia="Calibri" w:hAnsi="Calibri" w:cs="Times New Roman"/>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167A9"/>
    <w:pPr>
      <w:spacing w:after="0" w:line="240" w:lineRule="auto"/>
    </w:pPr>
    <w:rPr>
      <w:rFonts w:ascii="Calibri" w:eastAsia="Calibri" w:hAnsi="Calibri" w:cs="Times New Roman"/>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0167A9"/>
    <w:pPr>
      <w:spacing w:after="0" w:line="240" w:lineRule="auto"/>
    </w:pPr>
    <w:rPr>
      <w:rFonts w:ascii="Arial" w:eastAsia="Times New Roman" w:hAnsi="Arial"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1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167A9"/>
    <w:pPr>
      <w:spacing w:before="200"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167A9"/>
  </w:style>
  <w:style w:type="table" w:customStyle="1" w:styleId="TableGrid412">
    <w:name w:val="Table Grid412"/>
    <w:basedOn w:val="TableNormal"/>
    <w:next w:val="TableGrid"/>
    <w:uiPriority w:val="59"/>
    <w:rsid w:val="000167A9"/>
    <w:pPr>
      <w:spacing w:after="0" w:line="240" w:lineRule="auto"/>
    </w:pPr>
    <w:rPr>
      <w:rFonts w:ascii="Arial" w:hAnsi="Arial" w:cs="Times New Roman"/>
      <w:sz w:val="24"/>
      <w:szCs w:val="24"/>
    </w:rPr>
    <w:tblPr>
      <w:tblCellMar>
        <w:left w:w="0" w:type="dxa"/>
        <w:right w:w="0" w:type="dxa"/>
      </w:tblCellMar>
    </w:tblPr>
  </w:style>
  <w:style w:type="table" w:customStyle="1" w:styleId="Table1">
    <w:name w:val="Table1"/>
    <w:basedOn w:val="TableGrid"/>
    <w:uiPriority w:val="99"/>
    <w:rsid w:val="000167A9"/>
    <w:rPr>
      <w:rFonts w:cs="Times New Roman"/>
      <w:sz w:val="24"/>
      <w:szCs w:val="24"/>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65C5B4" w:themeColor="accent1"/>
        </w:tcBorders>
      </w:tcPr>
    </w:tblStylePr>
    <w:tblStylePr w:type="firstCol">
      <w:rPr>
        <w:rFonts w:ascii="Gill Sans MT" w:hAnsi="Gill Sans MT"/>
        <w:b w:val="0"/>
      </w:rPr>
    </w:tblStylePr>
  </w:style>
  <w:style w:type="table" w:customStyle="1" w:styleId="NoteTable1">
    <w:name w:val="Note Table1"/>
    <w:basedOn w:val="TableGrid"/>
    <w:uiPriority w:val="99"/>
    <w:rsid w:val="000167A9"/>
    <w:rPr>
      <w:rFonts w:ascii="NimbusSanNov" w:hAnsi="NimbusSanNov" w:cs="Times New Roman"/>
      <w:b/>
      <w:sz w:val="24"/>
      <w:szCs w:val="24"/>
    </w:rPr>
    <w:tblPr>
      <w:tblInd w:w="170" w:type="dxa"/>
      <w:tblCellMar>
        <w:top w:w="170" w:type="dxa"/>
        <w:left w:w="170" w:type="dxa"/>
        <w:bottom w:w="170" w:type="dxa"/>
        <w:right w:w="170" w:type="dxa"/>
      </w:tblCellMar>
    </w:tblPr>
    <w:tcPr>
      <w:shd w:val="clear" w:color="auto" w:fill="CFEFF7"/>
    </w:tcPr>
  </w:style>
  <w:style w:type="table" w:customStyle="1" w:styleId="AustraliaAwards1">
    <w:name w:val="Australia Awards1"/>
    <w:basedOn w:val="TableNormal"/>
    <w:uiPriority w:val="99"/>
    <w:rsid w:val="000167A9"/>
    <w:pPr>
      <w:spacing w:before="60" w:after="60" w:line="260" w:lineRule="atLeast"/>
    </w:pPr>
    <w:rPr>
      <w:rFonts w:ascii="Arial" w:hAnsi="Arial" w:cs="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Theme="minorHAnsi" w:hAnsiTheme="minorHAnsi"/>
        <w:b/>
        <w:color w:val="FFFFFF" w:themeColor="background1"/>
        <w:sz w:val="20"/>
      </w:rPr>
      <w:tblPr/>
      <w:tcPr>
        <w:shd w:val="clear" w:color="auto" w:fill="D8DCDB" w:themeFill="background2"/>
      </w:tcPr>
    </w:tblStylePr>
  </w:style>
  <w:style w:type="table" w:customStyle="1" w:styleId="TableGrid121">
    <w:name w:val="Table Grid121"/>
    <w:basedOn w:val="TableNormal"/>
    <w:next w:val="TableGrid"/>
    <w:uiPriority w:val="59"/>
    <w:rsid w:val="000167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uiPriority w:val="61"/>
    <w:rsid w:val="000167A9"/>
    <w:pPr>
      <w:spacing w:after="0" w:line="240" w:lineRule="auto"/>
    </w:pPr>
    <w:rPr>
      <w:rFonts w:eastAsiaTheme="minorEastAsia"/>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tblBorders>
    </w:tblPr>
    <w:tblStylePr w:type="firstRow">
      <w:pPr>
        <w:spacing w:before="0" w:after="0" w:line="240" w:lineRule="auto"/>
      </w:pPr>
      <w:rPr>
        <w:b/>
        <w:bCs/>
        <w:color w:val="FFFFFF" w:themeColor="background1"/>
      </w:rPr>
      <w:tblPr/>
      <w:tcPr>
        <w:shd w:val="clear" w:color="auto" w:fill="65C5B4" w:themeFill="accent1"/>
      </w:tcPr>
    </w:tblStylePr>
    <w:tblStylePr w:type="lastRow">
      <w:pPr>
        <w:spacing w:before="0" w:after="0" w:line="240" w:lineRule="auto"/>
      </w:pPr>
      <w:rPr>
        <w:b/>
        <w:bCs/>
      </w:rPr>
      <w:tblPr/>
      <w:tcPr>
        <w:tcBorders>
          <w:top w:val="double" w:sz="6" w:space="0" w:color="65C5B4" w:themeColor="accent1"/>
          <w:left w:val="single" w:sz="8" w:space="0" w:color="65C5B4" w:themeColor="accent1"/>
          <w:bottom w:val="single" w:sz="8" w:space="0" w:color="65C5B4" w:themeColor="accent1"/>
          <w:right w:val="single" w:sz="8" w:space="0" w:color="65C5B4" w:themeColor="accent1"/>
        </w:tcBorders>
      </w:tcPr>
    </w:tblStylePr>
    <w:tblStylePr w:type="firstCol">
      <w:rPr>
        <w:b/>
        <w:bCs/>
      </w:rPr>
    </w:tblStylePr>
    <w:tblStylePr w:type="lastCol">
      <w:rPr>
        <w:b/>
        <w:bCs/>
      </w:rPr>
    </w:tblStylePr>
    <w:tblStylePr w:type="band1Vert">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tblStylePr w:type="band1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style>
  <w:style w:type="table" w:customStyle="1" w:styleId="LightShading-Accent112">
    <w:name w:val="Light Shading - Accent 112"/>
    <w:basedOn w:val="TableNormal"/>
    <w:uiPriority w:val="60"/>
    <w:rsid w:val="000167A9"/>
    <w:pPr>
      <w:spacing w:after="0" w:line="240" w:lineRule="auto"/>
    </w:pPr>
    <w:rPr>
      <w:rFonts w:eastAsiaTheme="minorEastAsia"/>
      <w:color w:val="3DA18F" w:themeColor="accent1" w:themeShade="BF"/>
      <w:lang w:eastAsia="en-AU"/>
    </w:rPr>
    <w:tblPr>
      <w:tblStyleRowBandSize w:val="1"/>
      <w:tblStyleColBandSize w:val="1"/>
      <w:tblBorders>
        <w:top w:val="single" w:sz="8" w:space="0" w:color="65C5B4" w:themeColor="accent1"/>
        <w:bottom w:val="single" w:sz="8" w:space="0" w:color="65C5B4" w:themeColor="accent1"/>
      </w:tblBorders>
    </w:tblPr>
    <w:tblStylePr w:type="fir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la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0EC" w:themeFill="accent1" w:themeFillTint="3F"/>
      </w:tcPr>
    </w:tblStylePr>
    <w:tblStylePr w:type="band1Horz">
      <w:tblPr/>
      <w:tcPr>
        <w:tcBorders>
          <w:left w:val="nil"/>
          <w:right w:val="nil"/>
          <w:insideH w:val="nil"/>
          <w:insideV w:val="nil"/>
        </w:tcBorders>
        <w:shd w:val="clear" w:color="auto" w:fill="D8F0EC" w:themeFill="accent1" w:themeFillTint="3F"/>
      </w:tcPr>
    </w:tblStylePr>
  </w:style>
  <w:style w:type="table" w:customStyle="1" w:styleId="MediumShading2-Accent112">
    <w:name w:val="Medium Shading 2 - Accent 112"/>
    <w:basedOn w:val="TableNormal"/>
    <w:uiPriority w:val="64"/>
    <w:rsid w:val="000167A9"/>
    <w:pPr>
      <w:spacing w:after="0" w:line="240" w:lineRule="auto"/>
    </w:pPr>
    <w:rPr>
      <w:rFonts w:eastAsiaTheme="minorEastAsia"/>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C5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C5B4" w:themeFill="accent1"/>
      </w:tcPr>
    </w:tblStylePr>
    <w:tblStylePr w:type="lastCol">
      <w:rPr>
        <w:b/>
        <w:bCs/>
        <w:color w:val="FFFFFF" w:themeColor="background1"/>
      </w:rPr>
      <w:tblPr/>
      <w:tcPr>
        <w:tcBorders>
          <w:left w:val="nil"/>
          <w:right w:val="nil"/>
          <w:insideH w:val="nil"/>
          <w:insideV w:val="nil"/>
        </w:tcBorders>
        <w:shd w:val="clear" w:color="auto" w:fill="65C5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Accent11">
    <w:name w:val="Medium List 2 - Accent 11"/>
    <w:basedOn w:val="TableNormal"/>
    <w:next w:val="MediumList2-Accent1"/>
    <w:uiPriority w:val="66"/>
    <w:rsid w:val="000167A9"/>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tblBorders>
    </w:tblPr>
    <w:tblStylePr w:type="firstRow">
      <w:rPr>
        <w:sz w:val="24"/>
        <w:szCs w:val="24"/>
      </w:rPr>
      <w:tblPr/>
      <w:tcPr>
        <w:tcBorders>
          <w:top w:val="nil"/>
          <w:left w:val="nil"/>
          <w:bottom w:val="single" w:sz="24" w:space="0" w:color="65C5B4" w:themeColor="accent1"/>
          <w:right w:val="nil"/>
          <w:insideH w:val="nil"/>
          <w:insideV w:val="nil"/>
        </w:tcBorders>
        <w:shd w:val="clear" w:color="auto" w:fill="FFFFFF" w:themeFill="background1"/>
      </w:tcPr>
    </w:tblStylePr>
    <w:tblStylePr w:type="lastRow">
      <w:tblPr/>
      <w:tcPr>
        <w:tcBorders>
          <w:top w:val="single" w:sz="8" w:space="0" w:color="65C5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C5B4" w:themeColor="accent1"/>
          <w:insideH w:val="nil"/>
          <w:insideV w:val="nil"/>
        </w:tcBorders>
        <w:shd w:val="clear" w:color="auto" w:fill="FFFFFF" w:themeFill="background1"/>
      </w:tcPr>
    </w:tblStylePr>
    <w:tblStylePr w:type="lastCol">
      <w:tblPr/>
      <w:tcPr>
        <w:tcBorders>
          <w:top w:val="nil"/>
          <w:left w:val="single" w:sz="8" w:space="0" w:color="65C5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0EC" w:themeFill="accent1" w:themeFillTint="3F"/>
      </w:tcPr>
    </w:tblStylePr>
    <w:tblStylePr w:type="band1Horz">
      <w:tblPr/>
      <w:tcPr>
        <w:tcBorders>
          <w:top w:val="nil"/>
          <w:bottom w:val="nil"/>
          <w:insideH w:val="nil"/>
          <w:insideV w:val="nil"/>
        </w:tcBorders>
        <w:shd w:val="clear" w:color="auto" w:fill="D8F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1">
    <w:name w:val="Medium List 1 - Accent 111"/>
    <w:basedOn w:val="TableNormal"/>
    <w:uiPriority w:val="65"/>
    <w:rsid w:val="000167A9"/>
    <w:pPr>
      <w:spacing w:after="0" w:line="240" w:lineRule="auto"/>
    </w:pPr>
    <w:rPr>
      <w:rFonts w:eastAsiaTheme="minorEastAsia"/>
      <w:color w:val="000000" w:themeColor="text1"/>
      <w:lang w:eastAsia="en-AU"/>
    </w:rPr>
    <w:tblPr>
      <w:tblStyleRowBandSize w:val="1"/>
      <w:tblStyleColBandSize w:val="1"/>
      <w:tblBorders>
        <w:top w:val="single" w:sz="8" w:space="0" w:color="65C5B4" w:themeColor="accent1"/>
        <w:bottom w:val="single" w:sz="8" w:space="0" w:color="65C5B4" w:themeColor="accent1"/>
      </w:tblBorders>
    </w:tblPr>
    <w:tblStylePr w:type="firstRow">
      <w:rPr>
        <w:rFonts w:asciiTheme="majorHAnsi" w:eastAsiaTheme="majorEastAsia" w:hAnsiTheme="majorHAnsi" w:cstheme="majorBidi"/>
      </w:rPr>
      <w:tblPr/>
      <w:tcPr>
        <w:tcBorders>
          <w:top w:val="nil"/>
          <w:bottom w:val="single" w:sz="8" w:space="0" w:color="65C5B4" w:themeColor="accent1"/>
        </w:tcBorders>
      </w:tcPr>
    </w:tblStylePr>
    <w:tblStylePr w:type="lastRow">
      <w:rPr>
        <w:b/>
        <w:bCs/>
        <w:color w:val="495965" w:themeColor="text2"/>
      </w:rPr>
      <w:tblPr/>
      <w:tcPr>
        <w:tcBorders>
          <w:top w:val="single" w:sz="8" w:space="0" w:color="65C5B4" w:themeColor="accent1"/>
          <w:bottom w:val="single" w:sz="8" w:space="0" w:color="65C5B4" w:themeColor="accent1"/>
        </w:tcBorders>
      </w:tcPr>
    </w:tblStylePr>
    <w:tblStylePr w:type="firstCol">
      <w:rPr>
        <w:b/>
        <w:bCs/>
      </w:rPr>
    </w:tblStylePr>
    <w:tblStylePr w:type="lastCol">
      <w:rPr>
        <w:b/>
        <w:bCs/>
      </w:rPr>
      <w:tblPr/>
      <w:tcPr>
        <w:tcBorders>
          <w:top w:val="single" w:sz="8" w:space="0" w:color="65C5B4" w:themeColor="accent1"/>
          <w:bottom w:val="single" w:sz="8" w:space="0" w:color="65C5B4" w:themeColor="accent1"/>
        </w:tcBorders>
      </w:tcPr>
    </w:tblStylePr>
    <w:tblStylePr w:type="band1Vert">
      <w:tblPr/>
      <w:tcPr>
        <w:shd w:val="clear" w:color="auto" w:fill="D8F0EC" w:themeFill="accent1" w:themeFillTint="3F"/>
      </w:tcPr>
    </w:tblStylePr>
    <w:tblStylePr w:type="band1Horz">
      <w:tblPr/>
      <w:tcPr>
        <w:shd w:val="clear" w:color="auto" w:fill="D8F0EC" w:themeFill="accent1" w:themeFillTint="3F"/>
      </w:tcPr>
    </w:tblStylePr>
  </w:style>
  <w:style w:type="table" w:customStyle="1" w:styleId="MediumShading2-Accent52">
    <w:name w:val="Medium Shading 2 - Accent 52"/>
    <w:basedOn w:val="TableNormal"/>
    <w:next w:val="MediumShading2-Accent5"/>
    <w:uiPriority w:val="64"/>
    <w:rsid w:val="000167A9"/>
    <w:pPr>
      <w:spacing w:after="0" w:line="240" w:lineRule="auto"/>
    </w:pPr>
    <w:rPr>
      <w:rFonts w:eastAsiaTheme="minorEastAsia"/>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F6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F68" w:themeFill="accent5"/>
      </w:tcPr>
    </w:tblStylePr>
    <w:tblStylePr w:type="lastCol">
      <w:rPr>
        <w:b/>
        <w:bCs/>
        <w:color w:val="FFFFFF" w:themeColor="background1"/>
      </w:rPr>
      <w:tblPr/>
      <w:tcPr>
        <w:tcBorders>
          <w:left w:val="nil"/>
          <w:right w:val="nil"/>
          <w:insideH w:val="nil"/>
          <w:insideV w:val="nil"/>
        </w:tcBorders>
        <w:shd w:val="clear" w:color="auto" w:fill="409F6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2">
    <w:name w:val="Medium Shading 1 - Accent 112"/>
    <w:basedOn w:val="TableNormal"/>
    <w:uiPriority w:val="63"/>
    <w:rsid w:val="000167A9"/>
    <w:pPr>
      <w:spacing w:after="0" w:line="240" w:lineRule="auto"/>
    </w:pPr>
    <w:rPr>
      <w:rFonts w:eastAsiaTheme="minorEastAsia"/>
      <w:lang w:eastAsia="en-AU"/>
    </w:rPr>
    <w:tblPr>
      <w:tblStyleRowBandSize w:val="1"/>
      <w:tblStyleColBandSize w:val="1"/>
      <w:tbl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single" w:sz="8" w:space="0" w:color="8BD3C6" w:themeColor="accent1" w:themeTint="BF"/>
      </w:tblBorders>
    </w:tblPr>
    <w:tblStylePr w:type="firstRow">
      <w:pPr>
        <w:spacing w:before="0" w:after="0" w:line="240" w:lineRule="auto"/>
      </w:pPr>
      <w:rPr>
        <w:b/>
        <w:bCs/>
        <w:color w:val="FFFFFF" w:themeColor="background1"/>
      </w:rPr>
      <w:tblPr/>
      <w:tcPr>
        <w:tc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shd w:val="clear" w:color="auto" w:fill="65C5B4" w:themeFill="accent1"/>
      </w:tcPr>
    </w:tblStylePr>
    <w:tblStylePr w:type="lastRow">
      <w:pPr>
        <w:spacing w:before="0" w:after="0" w:line="240" w:lineRule="auto"/>
      </w:pPr>
      <w:rPr>
        <w:b/>
        <w:bCs/>
      </w:rPr>
      <w:tblPr/>
      <w:tcPr>
        <w:tcBorders>
          <w:top w:val="double" w:sz="6"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F0EC" w:themeFill="accent1" w:themeFillTint="3F"/>
      </w:tcPr>
    </w:tblStylePr>
    <w:tblStylePr w:type="band1Horz">
      <w:tblPr/>
      <w:tcPr>
        <w:tcBorders>
          <w:insideH w:val="nil"/>
          <w:insideV w:val="nil"/>
        </w:tcBorders>
        <w:shd w:val="clear" w:color="auto" w:fill="D8F0EC" w:themeFill="accent1" w:themeFillTint="3F"/>
      </w:tcPr>
    </w:tblStylePr>
    <w:tblStylePr w:type="band2Horz">
      <w:tblPr/>
      <w:tcPr>
        <w:tcBorders>
          <w:insideH w:val="nil"/>
          <w:insideV w:val="nil"/>
        </w:tcBorders>
      </w:tcPr>
    </w:tblStylePr>
  </w:style>
  <w:style w:type="table" w:customStyle="1" w:styleId="MediumGrid3-Accent11">
    <w:name w:val="Medium Grid 3 - Accent 11"/>
    <w:basedOn w:val="TableNormal"/>
    <w:next w:val="MediumGrid3-Accent1"/>
    <w:uiPriority w:val="69"/>
    <w:rsid w:val="000167A9"/>
    <w:pPr>
      <w:spacing w:after="0" w:line="240" w:lineRule="auto"/>
    </w:pPr>
    <w:rPr>
      <w:rFonts w:eastAsiaTheme="minorEastAsia"/>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C5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C5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C5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C5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2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2D9" w:themeFill="accent1" w:themeFillTint="7F"/>
      </w:tcPr>
    </w:tblStylePr>
  </w:style>
  <w:style w:type="table" w:customStyle="1" w:styleId="LightGrid-Accent112">
    <w:name w:val="Light Grid - Accent 112"/>
    <w:basedOn w:val="TableNormal"/>
    <w:uiPriority w:val="62"/>
    <w:rsid w:val="000167A9"/>
    <w:pPr>
      <w:spacing w:after="0" w:line="240" w:lineRule="auto"/>
    </w:pPr>
    <w:rPr>
      <w:rFonts w:eastAsiaTheme="minorEastAsia"/>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insideH w:val="single" w:sz="8" w:space="0" w:color="65C5B4" w:themeColor="accent1"/>
        <w:insideV w:val="single" w:sz="8" w:space="0" w:color="65C5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18" w:space="0" w:color="65C5B4" w:themeColor="accent1"/>
          <w:right w:val="single" w:sz="8" w:space="0" w:color="65C5B4" w:themeColor="accent1"/>
          <w:insideH w:val="nil"/>
          <w:insideV w:val="single" w:sz="8" w:space="0" w:color="65C5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C5B4" w:themeColor="accent1"/>
          <w:left w:val="single" w:sz="8" w:space="0" w:color="65C5B4" w:themeColor="accent1"/>
          <w:bottom w:val="single" w:sz="8" w:space="0" w:color="65C5B4" w:themeColor="accent1"/>
          <w:right w:val="single" w:sz="8" w:space="0" w:color="65C5B4" w:themeColor="accent1"/>
          <w:insideH w:val="nil"/>
          <w:insideV w:val="single" w:sz="8" w:space="0" w:color="65C5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tblStylePr w:type="band1Vert">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shd w:val="clear" w:color="auto" w:fill="D8F0EC" w:themeFill="accent1" w:themeFillTint="3F"/>
      </w:tcPr>
    </w:tblStylePr>
    <w:tblStylePr w:type="band1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shd w:val="clear" w:color="auto" w:fill="D8F0EC" w:themeFill="accent1" w:themeFillTint="3F"/>
      </w:tcPr>
    </w:tblStylePr>
    <w:tblStylePr w:type="band2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tcPr>
    </w:tblStylePr>
  </w:style>
  <w:style w:type="table" w:customStyle="1" w:styleId="Style13">
    <w:name w:val="Style13"/>
    <w:basedOn w:val="TableGrid10"/>
    <w:uiPriority w:val="99"/>
    <w:rsid w:val="000167A9"/>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semiHidden/>
    <w:unhideWhenUsed/>
    <w:rsid w:val="000167A9"/>
    <w:pPr>
      <w:spacing w:after="200" w:line="276" w:lineRule="auto"/>
    </w:pPr>
    <w:rPr>
      <w:rFonts w:eastAsiaTheme="minorEastAsia"/>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52">
    <w:name w:val="Light List - Accent 52"/>
    <w:basedOn w:val="TableNormal"/>
    <w:next w:val="LightList-Accent5"/>
    <w:uiPriority w:val="61"/>
    <w:rsid w:val="000167A9"/>
    <w:pPr>
      <w:spacing w:after="0" w:line="240" w:lineRule="auto"/>
    </w:pPr>
    <w:rPr>
      <w:rFonts w:eastAsiaTheme="minorEastAsia"/>
      <w:lang w:eastAsia="en-AU"/>
    </w:rPr>
    <w:tblPr>
      <w:tblStyleRowBandSize w:val="1"/>
      <w:tblStyleColBandSize w:val="1"/>
      <w:tblBorders>
        <w:top w:val="single" w:sz="8" w:space="0" w:color="409F68" w:themeColor="accent5"/>
        <w:left w:val="single" w:sz="8" w:space="0" w:color="409F68" w:themeColor="accent5"/>
        <w:bottom w:val="single" w:sz="8" w:space="0" w:color="409F68" w:themeColor="accent5"/>
        <w:right w:val="single" w:sz="8" w:space="0" w:color="409F68" w:themeColor="accent5"/>
      </w:tblBorders>
    </w:tblPr>
    <w:tblStylePr w:type="firstRow">
      <w:pPr>
        <w:spacing w:before="0" w:after="0" w:line="240" w:lineRule="auto"/>
      </w:pPr>
      <w:rPr>
        <w:b/>
        <w:bCs/>
        <w:color w:val="FFFFFF" w:themeColor="background1"/>
      </w:rPr>
      <w:tblPr/>
      <w:tcPr>
        <w:shd w:val="clear" w:color="auto" w:fill="409F68" w:themeFill="accent5"/>
      </w:tcPr>
    </w:tblStylePr>
    <w:tblStylePr w:type="lastRow">
      <w:pPr>
        <w:spacing w:before="0" w:after="0" w:line="240" w:lineRule="auto"/>
      </w:pPr>
      <w:rPr>
        <w:b/>
        <w:bCs/>
      </w:rPr>
      <w:tblPr/>
      <w:tcPr>
        <w:tcBorders>
          <w:top w:val="double" w:sz="6" w:space="0" w:color="409F68" w:themeColor="accent5"/>
          <w:left w:val="single" w:sz="8" w:space="0" w:color="409F68" w:themeColor="accent5"/>
          <w:bottom w:val="single" w:sz="8" w:space="0" w:color="409F68" w:themeColor="accent5"/>
          <w:right w:val="single" w:sz="8" w:space="0" w:color="409F68" w:themeColor="accent5"/>
        </w:tcBorders>
      </w:tcPr>
    </w:tblStylePr>
    <w:tblStylePr w:type="firstCol">
      <w:rPr>
        <w:b/>
        <w:bCs/>
      </w:rPr>
    </w:tblStylePr>
    <w:tblStylePr w:type="lastCol">
      <w:rPr>
        <w:b/>
        <w:bCs/>
      </w:rPr>
    </w:tblStylePr>
    <w:tblStylePr w:type="band1Vert">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tcPr>
    </w:tblStylePr>
    <w:tblStylePr w:type="band1Horz">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tcPr>
    </w:tblStylePr>
  </w:style>
  <w:style w:type="numbering" w:customStyle="1" w:styleId="NoList111">
    <w:name w:val="No List111"/>
    <w:next w:val="NoList"/>
    <w:uiPriority w:val="99"/>
    <w:semiHidden/>
    <w:unhideWhenUsed/>
    <w:rsid w:val="000167A9"/>
  </w:style>
  <w:style w:type="table" w:customStyle="1" w:styleId="TableGrid211">
    <w:name w:val="Table Grid211"/>
    <w:basedOn w:val="TableNormal"/>
    <w:next w:val="TableGrid"/>
    <w:uiPriority w:val="59"/>
    <w:rsid w:val="000167A9"/>
    <w:pPr>
      <w:spacing w:after="0" w:line="240" w:lineRule="auto"/>
    </w:pPr>
    <w:rPr>
      <w:rFonts w:ascii="Calibri" w:eastAsia="Calibri" w:hAnsi="Calibri" w:cs="Calibri"/>
      <w:sz w:val="24"/>
      <w:szCs w:val="24"/>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Accent51">
    <w:name w:val="Medium Grid 1 - Accent 51"/>
    <w:basedOn w:val="TableNormal"/>
    <w:next w:val="MediumGrid1-Accent5"/>
    <w:uiPriority w:val="67"/>
    <w:rsid w:val="000167A9"/>
    <w:pPr>
      <w:spacing w:after="0" w:line="240" w:lineRule="auto"/>
    </w:pPr>
    <w:rPr>
      <w:rFonts w:ascii="Calibri" w:eastAsia="Calibri" w:hAnsi="Calibri" w:cs="Calibri"/>
      <w:sz w:val="24"/>
      <w:szCs w:val="24"/>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tyle111">
    <w:name w:val="Style111"/>
    <w:basedOn w:val="TableProfessional"/>
    <w:uiPriority w:val="99"/>
    <w:rsid w:val="000167A9"/>
    <w:pPr>
      <w:spacing w:after="0" w:line="240" w:lineRule="auto"/>
    </w:pPr>
    <w:rPr>
      <w:sz w:val="20"/>
      <w:szCs w:val="20"/>
      <w:lang w:val="en-US"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uiPriority w:val="99"/>
    <w:semiHidden/>
    <w:unhideWhenUsed/>
    <w:rsid w:val="000167A9"/>
    <w:pPr>
      <w:spacing w:after="200" w:line="276" w:lineRule="auto"/>
    </w:pPr>
    <w:rPr>
      <w:rFonts w:eastAsiaTheme="minorEastAsia"/>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yle121">
    <w:name w:val="Style121"/>
    <w:basedOn w:val="TableProfessional"/>
    <w:uiPriority w:val="99"/>
    <w:rsid w:val="000167A9"/>
    <w:pPr>
      <w:spacing w:after="0" w:line="240" w:lineRule="auto"/>
    </w:pPr>
    <w:rPr>
      <w:rFonts w:eastAsiaTheme="minorHAnsi"/>
      <w:lang w:val="en-US"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11">
    <w:name w:val="Table Grid1111"/>
    <w:basedOn w:val="TableNormal"/>
    <w:next w:val="TableGrid"/>
    <w:rsid w:val="000167A9"/>
    <w:pPr>
      <w:spacing w:after="0" w:line="240" w:lineRule="auto"/>
    </w:pPr>
    <w:rPr>
      <w:rFonts w:ascii="Calibri" w:eastAsia="Times New Roman" w:hAnsi="Calibri" w:cs="Times New Roman"/>
      <w:sz w:val="24"/>
      <w:szCs w:val="24"/>
      <w:lang w:val="en-PH"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 Grid4111"/>
    <w:basedOn w:val="TableNormal"/>
    <w:next w:val="TableGrid"/>
    <w:rsid w:val="000167A9"/>
    <w:pPr>
      <w:spacing w:before="77" w:after="113" w:line="250" w:lineRule="exac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0167A9"/>
    <w:pPr>
      <w:spacing w:before="77" w:after="113" w:line="250" w:lineRule="exact"/>
    </w:pPr>
    <w:rPr>
      <w:rFonts w:ascii="Times New Roman" w:eastAsia="Times New Roman" w:hAnsi="Times New Roman" w:cs="Times New Roman"/>
      <w:sz w:val="24"/>
      <w:szCs w:val="24"/>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52"/>
    <w:basedOn w:val="TableNormal"/>
    <w:next w:val="TableGrid"/>
    <w:uiPriority w:val="59"/>
    <w:rsid w:val="000167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0167A9"/>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uiPriority w:val="61"/>
    <w:rsid w:val="000167A9"/>
    <w:pPr>
      <w:spacing w:after="0" w:line="240" w:lineRule="auto"/>
    </w:pPr>
    <w:rPr>
      <w:rFonts w:eastAsiaTheme="minorEastAsia"/>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tblBorders>
    </w:tblPr>
    <w:tblStylePr w:type="firstRow">
      <w:pPr>
        <w:spacing w:before="0" w:after="0" w:line="240" w:lineRule="auto"/>
      </w:pPr>
      <w:rPr>
        <w:b/>
        <w:bCs/>
        <w:color w:val="FFFFFF" w:themeColor="background1"/>
      </w:rPr>
      <w:tblPr/>
      <w:tcPr>
        <w:shd w:val="clear" w:color="auto" w:fill="65C5B4" w:themeFill="accent1"/>
      </w:tcPr>
    </w:tblStylePr>
    <w:tblStylePr w:type="lastRow">
      <w:pPr>
        <w:spacing w:before="0" w:after="0" w:line="240" w:lineRule="auto"/>
      </w:pPr>
      <w:rPr>
        <w:b/>
        <w:bCs/>
      </w:rPr>
      <w:tblPr/>
      <w:tcPr>
        <w:tcBorders>
          <w:top w:val="double" w:sz="6" w:space="0" w:color="65C5B4" w:themeColor="accent1"/>
          <w:left w:val="single" w:sz="8" w:space="0" w:color="65C5B4" w:themeColor="accent1"/>
          <w:bottom w:val="single" w:sz="8" w:space="0" w:color="65C5B4" w:themeColor="accent1"/>
          <w:right w:val="single" w:sz="8" w:space="0" w:color="65C5B4" w:themeColor="accent1"/>
        </w:tcBorders>
      </w:tcPr>
    </w:tblStylePr>
    <w:tblStylePr w:type="firstCol">
      <w:rPr>
        <w:b/>
        <w:bCs/>
      </w:rPr>
    </w:tblStylePr>
    <w:tblStylePr w:type="lastCol">
      <w:rPr>
        <w:b/>
        <w:bCs/>
      </w:rPr>
    </w:tblStylePr>
    <w:tblStylePr w:type="band1Vert">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tblStylePr w:type="band1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style>
  <w:style w:type="table" w:customStyle="1" w:styleId="LightShading-Accent1111">
    <w:name w:val="Light Shading - Accent 1111"/>
    <w:basedOn w:val="TableNormal"/>
    <w:uiPriority w:val="60"/>
    <w:rsid w:val="000167A9"/>
    <w:pPr>
      <w:spacing w:after="0" w:line="240" w:lineRule="auto"/>
    </w:pPr>
    <w:rPr>
      <w:rFonts w:eastAsiaTheme="minorEastAsia"/>
      <w:color w:val="3DA18F" w:themeColor="accent1" w:themeShade="BF"/>
      <w:lang w:eastAsia="en-AU"/>
    </w:rPr>
    <w:tblPr>
      <w:tblStyleRowBandSize w:val="1"/>
      <w:tblStyleColBandSize w:val="1"/>
      <w:tblBorders>
        <w:top w:val="single" w:sz="8" w:space="0" w:color="65C5B4" w:themeColor="accent1"/>
        <w:bottom w:val="single" w:sz="8" w:space="0" w:color="65C5B4" w:themeColor="accent1"/>
      </w:tblBorders>
    </w:tblPr>
    <w:tblStylePr w:type="fir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la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0EC" w:themeFill="accent1" w:themeFillTint="3F"/>
      </w:tcPr>
    </w:tblStylePr>
    <w:tblStylePr w:type="band1Horz">
      <w:tblPr/>
      <w:tcPr>
        <w:tcBorders>
          <w:left w:val="nil"/>
          <w:right w:val="nil"/>
          <w:insideH w:val="nil"/>
          <w:insideV w:val="nil"/>
        </w:tcBorders>
        <w:shd w:val="clear" w:color="auto" w:fill="D8F0EC" w:themeFill="accent1" w:themeFillTint="3F"/>
      </w:tcPr>
    </w:tblStylePr>
  </w:style>
  <w:style w:type="table" w:customStyle="1" w:styleId="MediumShading2-Accent1111">
    <w:name w:val="Medium Shading 2 - Accent 1111"/>
    <w:basedOn w:val="TableNormal"/>
    <w:uiPriority w:val="64"/>
    <w:rsid w:val="000167A9"/>
    <w:pPr>
      <w:spacing w:after="0" w:line="240" w:lineRule="auto"/>
    </w:pPr>
    <w:rPr>
      <w:rFonts w:eastAsiaTheme="minorEastAsia"/>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C5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C5B4" w:themeFill="accent1"/>
      </w:tcPr>
    </w:tblStylePr>
    <w:tblStylePr w:type="lastCol">
      <w:rPr>
        <w:b/>
        <w:bCs/>
        <w:color w:val="FFFFFF" w:themeColor="background1"/>
      </w:rPr>
      <w:tblPr/>
      <w:tcPr>
        <w:tcBorders>
          <w:left w:val="nil"/>
          <w:right w:val="nil"/>
          <w:insideH w:val="nil"/>
          <w:insideV w:val="nil"/>
        </w:tcBorders>
        <w:shd w:val="clear" w:color="auto" w:fill="65C5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0167A9"/>
    <w:pPr>
      <w:spacing w:after="0" w:line="240" w:lineRule="auto"/>
    </w:pPr>
    <w:rPr>
      <w:rFonts w:eastAsiaTheme="minorEastAsia"/>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F6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F68" w:themeFill="accent5"/>
      </w:tcPr>
    </w:tblStylePr>
    <w:tblStylePr w:type="lastCol">
      <w:rPr>
        <w:b/>
        <w:bCs/>
        <w:color w:val="FFFFFF" w:themeColor="background1"/>
      </w:rPr>
      <w:tblPr/>
      <w:tcPr>
        <w:tcBorders>
          <w:left w:val="nil"/>
          <w:right w:val="nil"/>
          <w:insideH w:val="nil"/>
          <w:insideV w:val="nil"/>
        </w:tcBorders>
        <w:shd w:val="clear" w:color="auto" w:fill="409F6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11">
    <w:name w:val="Medium Shading 1 - Accent 1111"/>
    <w:basedOn w:val="TableNormal"/>
    <w:uiPriority w:val="63"/>
    <w:rsid w:val="000167A9"/>
    <w:pPr>
      <w:spacing w:after="0" w:line="240" w:lineRule="auto"/>
    </w:pPr>
    <w:rPr>
      <w:rFonts w:eastAsiaTheme="minorEastAsia"/>
      <w:lang w:eastAsia="en-AU"/>
    </w:rPr>
    <w:tblPr>
      <w:tblStyleRowBandSize w:val="1"/>
      <w:tblStyleColBandSize w:val="1"/>
      <w:tbl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single" w:sz="8" w:space="0" w:color="8BD3C6" w:themeColor="accent1" w:themeTint="BF"/>
      </w:tblBorders>
    </w:tblPr>
    <w:tblStylePr w:type="firstRow">
      <w:pPr>
        <w:spacing w:before="0" w:after="0" w:line="240" w:lineRule="auto"/>
      </w:pPr>
      <w:rPr>
        <w:b/>
        <w:bCs/>
        <w:color w:val="FFFFFF" w:themeColor="background1"/>
      </w:rPr>
      <w:tblPr/>
      <w:tcPr>
        <w:tc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shd w:val="clear" w:color="auto" w:fill="65C5B4" w:themeFill="accent1"/>
      </w:tcPr>
    </w:tblStylePr>
    <w:tblStylePr w:type="lastRow">
      <w:pPr>
        <w:spacing w:before="0" w:after="0" w:line="240" w:lineRule="auto"/>
      </w:pPr>
      <w:rPr>
        <w:b/>
        <w:bCs/>
      </w:rPr>
      <w:tblPr/>
      <w:tcPr>
        <w:tcBorders>
          <w:top w:val="double" w:sz="6"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F0EC" w:themeFill="accent1" w:themeFillTint="3F"/>
      </w:tcPr>
    </w:tblStylePr>
    <w:tblStylePr w:type="band1Horz">
      <w:tblPr/>
      <w:tcPr>
        <w:tcBorders>
          <w:insideH w:val="nil"/>
          <w:insideV w:val="nil"/>
        </w:tcBorders>
        <w:shd w:val="clear" w:color="auto" w:fill="D8F0EC" w:themeFill="accent1" w:themeFillTint="3F"/>
      </w:tcPr>
    </w:tblStylePr>
    <w:tblStylePr w:type="band2Horz">
      <w:tblPr/>
      <w:tcPr>
        <w:tcBorders>
          <w:insideH w:val="nil"/>
          <w:insideV w:val="nil"/>
        </w:tcBorders>
      </w:tcPr>
    </w:tblStylePr>
  </w:style>
  <w:style w:type="table" w:customStyle="1" w:styleId="LightGrid-Accent1111">
    <w:name w:val="Light Grid - Accent 1111"/>
    <w:basedOn w:val="TableNormal"/>
    <w:uiPriority w:val="62"/>
    <w:rsid w:val="000167A9"/>
    <w:pPr>
      <w:spacing w:after="0" w:line="240" w:lineRule="auto"/>
    </w:pPr>
    <w:rPr>
      <w:rFonts w:eastAsiaTheme="minorEastAsia"/>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insideH w:val="single" w:sz="8" w:space="0" w:color="65C5B4" w:themeColor="accent1"/>
        <w:insideV w:val="single" w:sz="8" w:space="0" w:color="65C5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18" w:space="0" w:color="65C5B4" w:themeColor="accent1"/>
          <w:right w:val="single" w:sz="8" w:space="0" w:color="65C5B4" w:themeColor="accent1"/>
          <w:insideH w:val="nil"/>
          <w:insideV w:val="single" w:sz="8" w:space="0" w:color="65C5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C5B4" w:themeColor="accent1"/>
          <w:left w:val="single" w:sz="8" w:space="0" w:color="65C5B4" w:themeColor="accent1"/>
          <w:bottom w:val="single" w:sz="8" w:space="0" w:color="65C5B4" w:themeColor="accent1"/>
          <w:right w:val="single" w:sz="8" w:space="0" w:color="65C5B4" w:themeColor="accent1"/>
          <w:insideH w:val="nil"/>
          <w:insideV w:val="single" w:sz="8" w:space="0" w:color="65C5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tblStylePr w:type="band1Vert">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shd w:val="clear" w:color="auto" w:fill="D8F0EC" w:themeFill="accent1" w:themeFillTint="3F"/>
      </w:tcPr>
    </w:tblStylePr>
    <w:tblStylePr w:type="band1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shd w:val="clear" w:color="auto" w:fill="D8F0EC" w:themeFill="accent1" w:themeFillTint="3F"/>
      </w:tcPr>
    </w:tblStylePr>
    <w:tblStylePr w:type="band2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tcPr>
    </w:tblStylePr>
  </w:style>
  <w:style w:type="table" w:customStyle="1" w:styleId="LightList-Accent511">
    <w:name w:val="Light List - Accent 511"/>
    <w:basedOn w:val="TableNormal"/>
    <w:next w:val="LightList-Accent5"/>
    <w:uiPriority w:val="61"/>
    <w:rsid w:val="000167A9"/>
    <w:pPr>
      <w:spacing w:after="0" w:line="240" w:lineRule="auto"/>
    </w:pPr>
    <w:rPr>
      <w:rFonts w:eastAsiaTheme="minorEastAsia"/>
      <w:lang w:eastAsia="en-AU"/>
    </w:rPr>
    <w:tblPr>
      <w:tblStyleRowBandSize w:val="1"/>
      <w:tblStyleColBandSize w:val="1"/>
      <w:tblBorders>
        <w:top w:val="single" w:sz="8" w:space="0" w:color="409F68" w:themeColor="accent5"/>
        <w:left w:val="single" w:sz="8" w:space="0" w:color="409F68" w:themeColor="accent5"/>
        <w:bottom w:val="single" w:sz="8" w:space="0" w:color="409F68" w:themeColor="accent5"/>
        <w:right w:val="single" w:sz="8" w:space="0" w:color="409F68" w:themeColor="accent5"/>
      </w:tblBorders>
    </w:tblPr>
    <w:tblStylePr w:type="firstRow">
      <w:pPr>
        <w:spacing w:before="0" w:after="0" w:line="240" w:lineRule="auto"/>
      </w:pPr>
      <w:rPr>
        <w:b/>
        <w:bCs/>
        <w:color w:val="FFFFFF" w:themeColor="background1"/>
      </w:rPr>
      <w:tblPr/>
      <w:tcPr>
        <w:shd w:val="clear" w:color="auto" w:fill="409F68" w:themeFill="accent5"/>
      </w:tcPr>
    </w:tblStylePr>
    <w:tblStylePr w:type="lastRow">
      <w:pPr>
        <w:spacing w:before="0" w:after="0" w:line="240" w:lineRule="auto"/>
      </w:pPr>
      <w:rPr>
        <w:b/>
        <w:bCs/>
      </w:rPr>
      <w:tblPr/>
      <w:tcPr>
        <w:tcBorders>
          <w:top w:val="double" w:sz="6" w:space="0" w:color="409F68" w:themeColor="accent5"/>
          <w:left w:val="single" w:sz="8" w:space="0" w:color="409F68" w:themeColor="accent5"/>
          <w:bottom w:val="single" w:sz="8" w:space="0" w:color="409F68" w:themeColor="accent5"/>
          <w:right w:val="single" w:sz="8" w:space="0" w:color="409F68" w:themeColor="accent5"/>
        </w:tcBorders>
      </w:tcPr>
    </w:tblStylePr>
    <w:tblStylePr w:type="firstCol">
      <w:rPr>
        <w:b/>
        <w:bCs/>
      </w:rPr>
    </w:tblStylePr>
    <w:tblStylePr w:type="lastCol">
      <w:rPr>
        <w:b/>
        <w:bCs/>
      </w:rPr>
    </w:tblStylePr>
    <w:tblStylePr w:type="band1Vert">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tcPr>
    </w:tblStylePr>
    <w:tblStylePr w:type="band1Horz">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tcPr>
    </w:tblStylePr>
  </w:style>
  <w:style w:type="table" w:customStyle="1" w:styleId="TableGrid511">
    <w:name w:val="Table Grid511"/>
    <w:rsid w:val="000167A9"/>
    <w:pPr>
      <w:spacing w:line="276" w:lineRule="auto"/>
    </w:pPr>
    <w:rPr>
      <w:rFonts w:ascii="Times New Roman" w:eastAsia="Calibri" w:hAnsi="Times New Roman" w:cs="Times New Roman"/>
      <w:sz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0167A9"/>
    <w:pPr>
      <w:spacing w:before="200"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0167A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D3875F" w:themeColor="accent3"/>
        <w:left w:val="single" w:sz="8" w:space="0" w:color="D3875F" w:themeColor="accent3"/>
        <w:bottom w:val="single" w:sz="8" w:space="0" w:color="D3875F" w:themeColor="accent3"/>
        <w:right w:val="single" w:sz="8" w:space="0" w:color="D3875F" w:themeColor="accent3"/>
        <w:insideH w:val="single" w:sz="8" w:space="0" w:color="D3875F" w:themeColor="accent3"/>
        <w:insideV w:val="single" w:sz="8" w:space="0" w:color="D387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875F" w:themeColor="accent3"/>
          <w:left w:val="single" w:sz="8" w:space="0" w:color="D3875F" w:themeColor="accent3"/>
          <w:bottom w:val="single" w:sz="18" w:space="0" w:color="D3875F" w:themeColor="accent3"/>
          <w:right w:val="single" w:sz="8" w:space="0" w:color="D3875F" w:themeColor="accent3"/>
          <w:insideH w:val="nil"/>
          <w:insideV w:val="single" w:sz="8" w:space="0" w:color="D387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875F" w:themeColor="accent3"/>
          <w:left w:val="single" w:sz="8" w:space="0" w:color="D3875F" w:themeColor="accent3"/>
          <w:bottom w:val="single" w:sz="8" w:space="0" w:color="D3875F" w:themeColor="accent3"/>
          <w:right w:val="single" w:sz="8" w:space="0" w:color="D3875F" w:themeColor="accent3"/>
          <w:insideH w:val="nil"/>
          <w:insideV w:val="single" w:sz="8" w:space="0" w:color="D387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875F" w:themeColor="accent3"/>
          <w:left w:val="single" w:sz="8" w:space="0" w:color="D3875F" w:themeColor="accent3"/>
          <w:bottom w:val="single" w:sz="8" w:space="0" w:color="D3875F" w:themeColor="accent3"/>
          <w:right w:val="single" w:sz="8" w:space="0" w:color="D3875F" w:themeColor="accent3"/>
        </w:tcBorders>
      </w:tcPr>
    </w:tblStylePr>
    <w:tblStylePr w:type="band1Vert">
      <w:tblPr/>
      <w:tcPr>
        <w:tcBorders>
          <w:top w:val="single" w:sz="8" w:space="0" w:color="D3875F" w:themeColor="accent3"/>
          <w:left w:val="single" w:sz="8" w:space="0" w:color="D3875F" w:themeColor="accent3"/>
          <w:bottom w:val="single" w:sz="8" w:space="0" w:color="D3875F" w:themeColor="accent3"/>
          <w:right w:val="single" w:sz="8" w:space="0" w:color="D3875F" w:themeColor="accent3"/>
        </w:tcBorders>
        <w:shd w:val="clear" w:color="auto" w:fill="F4E1D7" w:themeFill="accent3" w:themeFillTint="3F"/>
      </w:tcPr>
    </w:tblStylePr>
    <w:tblStylePr w:type="band1Horz">
      <w:tblPr/>
      <w:tcPr>
        <w:tcBorders>
          <w:top w:val="single" w:sz="8" w:space="0" w:color="D3875F" w:themeColor="accent3"/>
          <w:left w:val="single" w:sz="8" w:space="0" w:color="D3875F" w:themeColor="accent3"/>
          <w:bottom w:val="single" w:sz="8" w:space="0" w:color="D3875F" w:themeColor="accent3"/>
          <w:right w:val="single" w:sz="8" w:space="0" w:color="D3875F" w:themeColor="accent3"/>
          <w:insideV w:val="single" w:sz="8" w:space="0" w:color="D3875F" w:themeColor="accent3"/>
        </w:tcBorders>
        <w:shd w:val="clear" w:color="auto" w:fill="F4E1D7" w:themeFill="accent3" w:themeFillTint="3F"/>
      </w:tcPr>
    </w:tblStylePr>
    <w:tblStylePr w:type="band2Horz">
      <w:tblPr/>
      <w:tcPr>
        <w:tcBorders>
          <w:top w:val="single" w:sz="8" w:space="0" w:color="D3875F" w:themeColor="accent3"/>
          <w:left w:val="single" w:sz="8" w:space="0" w:color="D3875F" w:themeColor="accent3"/>
          <w:bottom w:val="single" w:sz="8" w:space="0" w:color="D3875F" w:themeColor="accent3"/>
          <w:right w:val="single" w:sz="8" w:space="0" w:color="D3875F" w:themeColor="accent3"/>
          <w:insideV w:val="single" w:sz="8" w:space="0" w:color="D3875F" w:themeColor="accent3"/>
        </w:tcBorders>
      </w:tcPr>
    </w:tblStylePr>
  </w:style>
  <w:style w:type="table" w:customStyle="1" w:styleId="GridTable3-Accent311">
    <w:name w:val="Grid Table 3 - Accent 311"/>
    <w:basedOn w:val="TableNormal"/>
    <w:uiPriority w:val="48"/>
    <w:rsid w:val="000167A9"/>
    <w:pPr>
      <w:spacing w:after="0" w:line="240" w:lineRule="auto"/>
    </w:pPr>
    <w:rPr>
      <w:rFonts w:ascii="Calibri" w:eastAsia="Times New Roman" w:hAnsi="Calibri" w:cs="Times New Roman"/>
      <w:sz w:val="24"/>
      <w:szCs w:val="24"/>
      <w:lang w:eastAsia="en-AU"/>
    </w:rPr>
    <w:tblPr>
      <w:tblStyleRowBandSize w:val="1"/>
      <w:tblStyleColBandSize w:val="1"/>
      <w:tblBorders>
        <w:top w:val="single" w:sz="4" w:space="0" w:color="E4B69E" w:themeColor="accent3" w:themeTint="99"/>
        <w:left w:val="single" w:sz="4" w:space="0" w:color="E4B69E" w:themeColor="accent3" w:themeTint="99"/>
        <w:bottom w:val="single" w:sz="4" w:space="0" w:color="E4B69E" w:themeColor="accent3" w:themeTint="99"/>
        <w:right w:val="single" w:sz="4" w:space="0" w:color="E4B69E" w:themeColor="accent3" w:themeTint="99"/>
        <w:insideH w:val="single" w:sz="4" w:space="0" w:color="E4B69E" w:themeColor="accent3" w:themeTint="99"/>
        <w:insideV w:val="single" w:sz="4" w:space="0" w:color="E4B6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6DE" w:themeFill="accent3" w:themeFillTint="33"/>
      </w:tcPr>
    </w:tblStylePr>
    <w:tblStylePr w:type="band1Horz">
      <w:tblPr/>
      <w:tcPr>
        <w:shd w:val="clear" w:color="auto" w:fill="F6E6DE" w:themeFill="accent3" w:themeFillTint="33"/>
      </w:tcPr>
    </w:tblStylePr>
    <w:tblStylePr w:type="neCell">
      <w:tblPr/>
      <w:tcPr>
        <w:tcBorders>
          <w:bottom w:val="single" w:sz="4" w:space="0" w:color="E4B69E" w:themeColor="accent3" w:themeTint="99"/>
        </w:tcBorders>
      </w:tcPr>
    </w:tblStylePr>
    <w:tblStylePr w:type="nwCell">
      <w:tblPr/>
      <w:tcPr>
        <w:tcBorders>
          <w:bottom w:val="single" w:sz="4" w:space="0" w:color="E4B69E" w:themeColor="accent3" w:themeTint="99"/>
        </w:tcBorders>
      </w:tcPr>
    </w:tblStylePr>
    <w:tblStylePr w:type="seCell">
      <w:tblPr/>
      <w:tcPr>
        <w:tcBorders>
          <w:top w:val="single" w:sz="4" w:space="0" w:color="E4B69E" w:themeColor="accent3" w:themeTint="99"/>
        </w:tcBorders>
      </w:tcPr>
    </w:tblStylePr>
    <w:tblStylePr w:type="swCell">
      <w:tblPr/>
      <w:tcPr>
        <w:tcBorders>
          <w:top w:val="single" w:sz="4" w:space="0" w:color="E4B69E" w:themeColor="accent3" w:themeTint="99"/>
        </w:tcBorders>
      </w:tcPr>
    </w:tblStylePr>
  </w:style>
  <w:style w:type="character" w:customStyle="1" w:styleId="UnresolvedMention">
    <w:name w:val="Unresolved Mention"/>
    <w:basedOn w:val="DefaultParagraphFont"/>
    <w:uiPriority w:val="99"/>
    <w:semiHidden/>
    <w:unhideWhenUsed/>
    <w:rsid w:val="003E7B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9149">
      <w:bodyDiv w:val="1"/>
      <w:marLeft w:val="0"/>
      <w:marRight w:val="0"/>
      <w:marTop w:val="0"/>
      <w:marBottom w:val="0"/>
      <w:divBdr>
        <w:top w:val="none" w:sz="0" w:space="0" w:color="auto"/>
        <w:left w:val="none" w:sz="0" w:space="0" w:color="auto"/>
        <w:bottom w:val="none" w:sz="0" w:space="0" w:color="auto"/>
        <w:right w:val="none" w:sz="0" w:space="0" w:color="auto"/>
      </w:divBdr>
    </w:div>
    <w:div w:id="785122265">
      <w:bodyDiv w:val="1"/>
      <w:marLeft w:val="0"/>
      <w:marRight w:val="0"/>
      <w:marTop w:val="0"/>
      <w:marBottom w:val="0"/>
      <w:divBdr>
        <w:top w:val="none" w:sz="0" w:space="0" w:color="auto"/>
        <w:left w:val="none" w:sz="0" w:space="0" w:color="auto"/>
        <w:bottom w:val="none" w:sz="0" w:space="0" w:color="auto"/>
        <w:right w:val="none" w:sz="0" w:space="0" w:color="auto"/>
      </w:divBdr>
    </w:div>
    <w:div w:id="1188331288">
      <w:bodyDiv w:val="1"/>
      <w:marLeft w:val="0"/>
      <w:marRight w:val="0"/>
      <w:marTop w:val="0"/>
      <w:marBottom w:val="0"/>
      <w:divBdr>
        <w:top w:val="none" w:sz="0" w:space="0" w:color="auto"/>
        <w:left w:val="none" w:sz="0" w:space="0" w:color="auto"/>
        <w:bottom w:val="none" w:sz="0" w:space="0" w:color="auto"/>
        <w:right w:val="none" w:sz="0" w:space="0" w:color="auto"/>
      </w:divBdr>
    </w:div>
    <w:div w:id="1461460980">
      <w:bodyDiv w:val="1"/>
      <w:marLeft w:val="0"/>
      <w:marRight w:val="0"/>
      <w:marTop w:val="0"/>
      <w:marBottom w:val="0"/>
      <w:divBdr>
        <w:top w:val="none" w:sz="0" w:space="0" w:color="auto"/>
        <w:left w:val="none" w:sz="0" w:space="0" w:color="auto"/>
        <w:bottom w:val="none" w:sz="0" w:space="0" w:color="auto"/>
        <w:right w:val="none" w:sz="0" w:space="0" w:color="auto"/>
      </w:divBdr>
    </w:div>
    <w:div w:id="20397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vnso.gov.vu" TargetMode="External"/><Relationship Id="rId2" Type="http://schemas.openxmlformats.org/officeDocument/2006/relationships/hyperlink" Target="http://dfat.gov.au/about-us/publications/Pages/australia-global-alumni-engagement-strategy-2016-2020.aspx" TargetMode="External"/><Relationship Id="rId1" Type="http://schemas.openxmlformats.org/officeDocument/2006/relationships/hyperlink" Target="http://asiapacific.unwomen.org/en/countries/fiji/co/vanuatu" TargetMode="External"/><Relationship Id="rId4" Type="http://schemas.openxmlformats.org/officeDocument/2006/relationships/hyperlink" Target="https://vnso.gov.vu"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C5BD8A-7829-4D22-BCC2-438033180158}"/>
</file>

<file path=customXml/itemProps2.xml><?xml version="1.0" encoding="utf-8"?>
<ds:datastoreItem xmlns:ds="http://schemas.openxmlformats.org/officeDocument/2006/customXml" ds:itemID="{5D0EEEDB-05E8-4274-9977-A9F189656226}"/>
</file>

<file path=customXml/itemProps3.xml><?xml version="1.0" encoding="utf-8"?>
<ds:datastoreItem xmlns:ds="http://schemas.openxmlformats.org/officeDocument/2006/customXml" ds:itemID="{AF50A346-6666-4F85-89F7-FBFA7CF108B0}"/>
</file>

<file path=customXml/itemProps4.xml><?xml version="1.0" encoding="utf-8"?>
<ds:datastoreItem xmlns:ds="http://schemas.openxmlformats.org/officeDocument/2006/customXml" ds:itemID="{966B5F74-11E7-44F9-AAD0-2FBB150EBD01}"/>
</file>

<file path=docProps/app.xml><?xml version="1.0" encoding="utf-8"?>
<Properties xmlns="http://schemas.openxmlformats.org/officeDocument/2006/extended-properties" xmlns:vt="http://schemas.openxmlformats.org/officeDocument/2006/docPropsVTypes">
  <Template>Normal.dotm</Template>
  <TotalTime>0</TotalTime>
  <Pages>24</Pages>
  <Words>11638</Words>
  <Characters>66341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2018-07-13T01:51:00Z</dcterms:created>
  <dcterms:modified xsi:type="dcterms:W3CDTF">2018-07-13T01:51:00Z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01867424-98ab-44db-94a9-f97b69325c12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1128800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