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E9EC1" w14:textId="77777777" w:rsidR="00FE6F2A" w:rsidRDefault="00FE6F2A" w:rsidP="00F25A93">
      <w:pPr>
        <w:pStyle w:val="SpacebeforeTitle"/>
      </w:pPr>
    </w:p>
    <w:p w14:paraId="378F9C09" w14:textId="77777777" w:rsidR="00AF06CB" w:rsidRDefault="002318E6" w:rsidP="00ED75A8">
      <w:pPr>
        <w:pStyle w:val="Subtitle"/>
        <w:jc w:val="center"/>
        <w:rPr>
          <w:rFonts w:asciiTheme="majorHAnsi" w:hAnsiTheme="majorHAnsi"/>
          <w:b/>
          <w:sz w:val="40"/>
          <w:szCs w:val="40"/>
          <w:lang w:val="en-AU"/>
        </w:rPr>
      </w:pPr>
      <w:r w:rsidRPr="002318E6">
        <w:rPr>
          <w:rFonts w:asciiTheme="majorHAnsi" w:hAnsiTheme="majorHAnsi"/>
          <w:b/>
          <w:sz w:val="40"/>
          <w:szCs w:val="40"/>
          <w:lang w:val="en-AU"/>
        </w:rPr>
        <w:t xml:space="preserve">DFAT management response to the </w:t>
      </w:r>
      <w:r w:rsidR="00AF06CB">
        <w:rPr>
          <w:rFonts w:asciiTheme="majorHAnsi" w:hAnsiTheme="majorHAnsi"/>
          <w:b/>
          <w:sz w:val="40"/>
          <w:szCs w:val="40"/>
          <w:lang w:val="en-AU"/>
        </w:rPr>
        <w:t xml:space="preserve">REVIEW of </w:t>
      </w:r>
    </w:p>
    <w:p w14:paraId="151F9E20" w14:textId="32711717" w:rsidR="005C4F20" w:rsidRPr="00ED75A8" w:rsidRDefault="00AF06CB" w:rsidP="00ED75A8">
      <w:pPr>
        <w:pStyle w:val="Subtitle"/>
        <w:jc w:val="center"/>
        <w:rPr>
          <w:rFonts w:asciiTheme="majorHAnsi" w:hAnsiTheme="majorHAnsi"/>
          <w:b/>
          <w:sz w:val="40"/>
          <w:szCs w:val="40"/>
          <w:lang w:val="en-AU"/>
        </w:rPr>
      </w:pPr>
      <w:r>
        <w:rPr>
          <w:rFonts w:asciiTheme="majorHAnsi" w:hAnsiTheme="majorHAnsi"/>
          <w:b/>
          <w:sz w:val="40"/>
          <w:szCs w:val="40"/>
          <w:lang w:val="en-AU"/>
        </w:rPr>
        <w:t>Australia Awards Papua New Guinea</w:t>
      </w:r>
    </w:p>
    <w:p w14:paraId="73DF06C9" w14:textId="7314053B" w:rsidR="00763C34" w:rsidRDefault="00763C34" w:rsidP="00763C34">
      <w:pPr>
        <w:pStyle w:val="StyleguidetextHDMES"/>
        <w:spacing w:line="276" w:lineRule="auto"/>
      </w:pPr>
      <w:r>
        <w:t xml:space="preserve">In </w:t>
      </w:r>
      <w:r w:rsidR="00AF06CB">
        <w:t>June</w:t>
      </w:r>
      <w:r>
        <w:t xml:space="preserve"> 2021, DFAT commissioned a review of the </w:t>
      </w:r>
      <w:r w:rsidR="001A52D9">
        <w:t>Australia Awards Papua New Guinea Program to assess progress towards its end of program outcomes</w:t>
      </w:r>
      <w:r w:rsidR="00C578D9">
        <w:t xml:space="preserve"> (EOPOs)</w:t>
      </w:r>
      <w:r w:rsidR="007373CE">
        <w:t>. It also assessed the</w:t>
      </w:r>
      <w:r w:rsidR="004C1D51">
        <w:t xml:space="preserve"> </w:t>
      </w:r>
      <w:r w:rsidR="007373CE">
        <w:rPr>
          <w:lang w:val="en-GB"/>
        </w:rPr>
        <w:t>p</w:t>
      </w:r>
      <w:r w:rsidR="007373CE" w:rsidRPr="003B0E56">
        <w:rPr>
          <w:lang w:val="en-GB"/>
        </w:rPr>
        <w:t xml:space="preserve">rogram’s ability </w:t>
      </w:r>
      <w:r w:rsidR="007373CE">
        <w:rPr>
          <w:lang w:val="en-GB"/>
        </w:rPr>
        <w:t xml:space="preserve">to </w:t>
      </w:r>
      <w:r w:rsidR="007373CE" w:rsidRPr="003B0E56">
        <w:rPr>
          <w:lang w:val="en-GB"/>
        </w:rPr>
        <w:t>adapt to an evolving PNG</w:t>
      </w:r>
      <w:r w:rsidR="007373CE">
        <w:rPr>
          <w:lang w:val="en-GB"/>
        </w:rPr>
        <w:t>–</w:t>
      </w:r>
      <w:r w:rsidR="007373CE" w:rsidRPr="003B0E56">
        <w:rPr>
          <w:lang w:val="en-GB"/>
        </w:rPr>
        <w:t>Australia Partnership (including within the context of COVID-19)</w:t>
      </w:r>
      <w:r w:rsidR="007373CE">
        <w:rPr>
          <w:lang w:val="en-GB"/>
        </w:rPr>
        <w:t xml:space="preserve">, </w:t>
      </w:r>
      <w:r w:rsidR="007373CE" w:rsidRPr="003B0E56">
        <w:rPr>
          <w:lang w:val="en-GB"/>
        </w:rPr>
        <w:t>the appropriateness of management and implementation arrangements and</w:t>
      </w:r>
      <w:r w:rsidR="007373CE">
        <w:rPr>
          <w:lang w:val="en-GB"/>
        </w:rPr>
        <w:t xml:space="preserve"> </w:t>
      </w:r>
      <w:r w:rsidR="007373CE" w:rsidRPr="003B0E56">
        <w:rPr>
          <w:lang w:val="en-GB"/>
        </w:rPr>
        <w:t xml:space="preserve">the extent to which the </w:t>
      </w:r>
      <w:r w:rsidR="007373CE">
        <w:rPr>
          <w:lang w:val="en-GB"/>
        </w:rPr>
        <w:t>p</w:t>
      </w:r>
      <w:r w:rsidR="007373CE" w:rsidRPr="003B0E56">
        <w:rPr>
          <w:lang w:val="en-GB"/>
        </w:rPr>
        <w:t>rogram is demonstrating value for money</w:t>
      </w:r>
      <w:r w:rsidR="007373CE">
        <w:rPr>
          <w:lang w:val="en-GB"/>
        </w:rPr>
        <w:t>.</w:t>
      </w:r>
    </w:p>
    <w:p w14:paraId="695180D4" w14:textId="310BB429" w:rsidR="00550049" w:rsidRPr="00380A79" w:rsidRDefault="00550049" w:rsidP="00C578D9">
      <w:pPr>
        <w:pStyle w:val="StyleguidetextHDMES"/>
        <w:spacing w:line="276" w:lineRule="auto"/>
        <w:rPr>
          <w:lang w:val="en-GB"/>
        </w:rPr>
      </w:pPr>
      <w:r>
        <w:t xml:space="preserve">The review found that the program has made varying degrees of progress towards its </w:t>
      </w:r>
      <w:r w:rsidR="00380A79">
        <w:t>EOPOs</w:t>
      </w:r>
      <w:r w:rsidR="00C578D9">
        <w:t xml:space="preserve">. </w:t>
      </w:r>
      <w:r w:rsidR="005725E5">
        <w:t>It found that, w</w:t>
      </w:r>
      <w:r w:rsidR="00C578D9">
        <w:t xml:space="preserve">hile there is </w:t>
      </w:r>
      <w:r w:rsidRPr="00AE53F3">
        <w:t xml:space="preserve">clear evidence of alumni making positive development contributions using their </w:t>
      </w:r>
      <w:r>
        <w:t>new</w:t>
      </w:r>
      <w:r w:rsidRPr="00AE53F3">
        <w:t xml:space="preserve"> knowledge and skills</w:t>
      </w:r>
      <w:r w:rsidR="00C578D9">
        <w:t>, pr</w:t>
      </w:r>
      <w:r>
        <w:t>ogress towards the other EOPOs is more variable. The</w:t>
      </w:r>
      <w:r w:rsidR="005725E5">
        <w:t xml:space="preserve"> review found</w:t>
      </w:r>
      <w:r>
        <w:t xml:space="preserve"> </w:t>
      </w:r>
      <w:r w:rsidRPr="00C578D9">
        <w:t>little evidence</w:t>
      </w:r>
      <w:r w:rsidRPr="00AE53F3">
        <w:t xml:space="preserve"> to suggest that </w:t>
      </w:r>
      <w:r w:rsidR="00C578D9">
        <w:t>partner tertiary institutions</w:t>
      </w:r>
      <w:r w:rsidR="00380A79">
        <w:t xml:space="preserve"> (PTIs)</w:t>
      </w:r>
      <w:r w:rsidRPr="00AE53F3">
        <w:t xml:space="preserve"> have improved institutional policies and practices</w:t>
      </w:r>
      <w:r w:rsidR="00C578D9">
        <w:t>,</w:t>
      </w:r>
      <w:r w:rsidRPr="00AE53F3">
        <w:t xml:space="preserve"> although</w:t>
      </w:r>
      <w:r w:rsidR="005725E5">
        <w:t xml:space="preserve"> noted that</w:t>
      </w:r>
      <w:r w:rsidRPr="00AE53F3">
        <w:t xml:space="preserve"> this work is still in its early stages.</w:t>
      </w:r>
      <w:r w:rsidR="005725E5">
        <w:t xml:space="preserve"> For the other EOPOS, it found it was difficult to determine how much progress has been made because</w:t>
      </w:r>
      <w:r w:rsidRPr="00C578D9">
        <w:t xml:space="preserve"> performance expectations</w:t>
      </w:r>
      <w:r>
        <w:t xml:space="preserve"> </w:t>
      </w:r>
      <w:r w:rsidR="005725E5">
        <w:t>are not clear.</w:t>
      </w:r>
      <w:r w:rsidR="00380A79">
        <w:t xml:space="preserve"> </w:t>
      </w:r>
      <w:r w:rsidR="00C578D9">
        <w:t>The review found that despite the challenges brought by the COVID-19 pandemic, t</w:t>
      </w:r>
      <w:r w:rsidR="00C578D9">
        <w:rPr>
          <w:lang w:val="en-GB"/>
        </w:rPr>
        <w:t>he program has adapted well to the needs of the PNG–Australia Partnership. Overall, it found that</w:t>
      </w:r>
      <w:r w:rsidR="00C578D9" w:rsidRPr="00C578D9">
        <w:rPr>
          <w:lang w:val="en-GB"/>
        </w:rPr>
        <w:t xml:space="preserve"> </w:t>
      </w:r>
      <w:r w:rsidR="00C578D9" w:rsidRPr="005A1CEC">
        <w:rPr>
          <w:lang w:val="en-GB"/>
        </w:rPr>
        <w:t xml:space="preserve">the </w:t>
      </w:r>
      <w:r w:rsidR="00C578D9">
        <w:rPr>
          <w:lang w:val="en-GB"/>
        </w:rPr>
        <w:t>p</w:t>
      </w:r>
      <w:r w:rsidR="00C578D9" w:rsidRPr="005A1CEC">
        <w:rPr>
          <w:lang w:val="en-GB"/>
        </w:rPr>
        <w:t>rogram’s management and implementation arrangements are supporting effective delivery</w:t>
      </w:r>
      <w:r w:rsidR="00C578D9">
        <w:rPr>
          <w:lang w:val="en-GB"/>
        </w:rPr>
        <w:t xml:space="preserve"> and that the program has demonstrated value for money.</w:t>
      </w:r>
    </w:p>
    <w:p w14:paraId="139CEF24" w14:textId="1B8B1535" w:rsidR="005C4F20" w:rsidRDefault="007320B6" w:rsidP="00A3217B">
      <w:pPr>
        <w:spacing w:after="0"/>
        <w:rPr>
          <w:color w:val="auto"/>
          <w:lang w:val="en-AU"/>
        </w:rPr>
      </w:pPr>
      <w:r w:rsidRPr="006D092C">
        <w:rPr>
          <w:color w:val="auto"/>
          <w:lang w:val="en-AU"/>
        </w:rPr>
        <w:t>DFAT</w:t>
      </w:r>
      <w:r w:rsidR="000118A8" w:rsidRPr="006D092C">
        <w:rPr>
          <w:color w:val="auto"/>
          <w:lang w:val="en-AU"/>
        </w:rPr>
        <w:t xml:space="preserve"> </w:t>
      </w:r>
      <w:r w:rsidR="00A60A93" w:rsidRPr="006D092C">
        <w:rPr>
          <w:color w:val="auto"/>
          <w:lang w:val="en-AU"/>
        </w:rPr>
        <w:t>welcome</w:t>
      </w:r>
      <w:r w:rsidR="00AF06CB">
        <w:rPr>
          <w:color w:val="auto"/>
          <w:lang w:val="en-AU"/>
        </w:rPr>
        <w:t>s</w:t>
      </w:r>
      <w:r w:rsidR="00A60A93" w:rsidRPr="006D092C">
        <w:rPr>
          <w:color w:val="auto"/>
          <w:lang w:val="en-AU"/>
        </w:rPr>
        <w:t xml:space="preserve"> the review findings and </w:t>
      </w:r>
      <w:r w:rsidR="00763C34" w:rsidRPr="006D092C">
        <w:rPr>
          <w:color w:val="auto"/>
          <w:lang w:val="en-AU"/>
        </w:rPr>
        <w:t>provide</w:t>
      </w:r>
      <w:r w:rsidR="00AF06CB">
        <w:rPr>
          <w:color w:val="auto"/>
          <w:lang w:val="en-AU"/>
        </w:rPr>
        <w:t>s</w:t>
      </w:r>
      <w:r w:rsidR="00763C34" w:rsidRPr="006D092C">
        <w:rPr>
          <w:color w:val="auto"/>
          <w:lang w:val="en-AU"/>
        </w:rPr>
        <w:t xml:space="preserve"> a response to the</w:t>
      </w:r>
      <w:r w:rsidR="0059716B" w:rsidRPr="006D092C">
        <w:rPr>
          <w:color w:val="auto"/>
          <w:lang w:val="en-AU"/>
        </w:rPr>
        <w:t xml:space="preserve"> recommendations</w:t>
      </w:r>
      <w:r w:rsidR="000118A8" w:rsidRPr="006D092C">
        <w:rPr>
          <w:color w:val="auto"/>
          <w:lang w:val="en-AU"/>
        </w:rPr>
        <w:t xml:space="preserve"> for the </w:t>
      </w:r>
      <w:r w:rsidR="004C1D51">
        <w:rPr>
          <w:color w:val="auto"/>
          <w:lang w:val="en-AU"/>
        </w:rPr>
        <w:t xml:space="preserve">remaining two years of implementation, and the design of the next phase of the program. </w:t>
      </w:r>
      <w:r w:rsidR="0059716B" w:rsidRPr="006D092C">
        <w:rPr>
          <w:color w:val="auto"/>
          <w:lang w:val="en-AU"/>
        </w:rPr>
        <w:t xml:space="preserve"> </w:t>
      </w:r>
    </w:p>
    <w:p w14:paraId="7D5F0724" w14:textId="77777777" w:rsidR="00A3217B" w:rsidRPr="006D092C" w:rsidRDefault="00A3217B" w:rsidP="00AD037C">
      <w:pPr>
        <w:spacing w:before="0" w:after="0"/>
        <w:rPr>
          <w:color w:val="auto"/>
          <w:lang w:val="en-AU"/>
        </w:rPr>
      </w:pPr>
    </w:p>
    <w:p w14:paraId="35D1A3A0" w14:textId="02EB1393" w:rsidR="00C37FFA" w:rsidRPr="00A0095D" w:rsidRDefault="00C37FFA" w:rsidP="00AD037C">
      <w:pPr>
        <w:spacing w:before="0" w:after="0" w:line="276" w:lineRule="auto"/>
        <w:rPr>
          <w:b/>
          <w:bCs/>
        </w:rPr>
      </w:pPr>
      <w:r w:rsidRPr="00A0095D">
        <w:rPr>
          <w:b/>
          <w:bCs/>
          <w:sz w:val="24"/>
          <w:szCs w:val="24"/>
        </w:rPr>
        <w:t>Recommendations for the next two-years of implementation</w:t>
      </w:r>
    </w:p>
    <w:tbl>
      <w:tblPr>
        <w:tblStyle w:val="GridTable4-Accent1"/>
        <w:tblW w:w="14459" w:type="dxa"/>
        <w:tblLook w:val="04A0" w:firstRow="1" w:lastRow="0" w:firstColumn="1" w:lastColumn="0" w:noHBand="0" w:noVBand="1"/>
      </w:tblPr>
      <w:tblGrid>
        <w:gridCol w:w="975"/>
        <w:gridCol w:w="3158"/>
        <w:gridCol w:w="3943"/>
        <w:gridCol w:w="3774"/>
        <w:gridCol w:w="2609"/>
      </w:tblGrid>
      <w:tr w:rsidR="001B4C69" w:rsidRPr="00B01D45" w14:paraId="7F88BF89" w14:textId="7BB3C7B9" w:rsidTr="00AF06C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shd w:val="clear" w:color="auto" w:fill="A2DCD1" w:themeFill="accent1" w:themeFillTint="99"/>
          </w:tcPr>
          <w:p w14:paraId="16FDA7A9" w14:textId="4286DC52" w:rsidR="00C37FFA" w:rsidRPr="00C2467E" w:rsidRDefault="00F04C36" w:rsidP="008D2FB9">
            <w:pPr>
              <w:spacing w:after="0" w:line="264" w:lineRule="auto"/>
            </w:pPr>
            <w:bookmarkStart w:id="0" w:name="_Hlk82094674"/>
            <w:r>
              <w:t>No.</w:t>
            </w:r>
          </w:p>
        </w:tc>
        <w:tc>
          <w:tcPr>
            <w:tcW w:w="3158" w:type="dxa"/>
            <w:shd w:val="clear" w:color="auto" w:fill="A2DCD1" w:themeFill="accent1" w:themeFillTint="99"/>
          </w:tcPr>
          <w:p w14:paraId="1C15AE0D" w14:textId="5BE59B22" w:rsidR="00C37FFA" w:rsidRPr="00C2467E" w:rsidRDefault="00F04C36" w:rsidP="008D2FB9">
            <w:pPr>
              <w:spacing w:after="0" w:line="264" w:lineRule="auto"/>
              <w:cnfStyle w:val="100000000000" w:firstRow="1" w:lastRow="0" w:firstColumn="0" w:lastColumn="0" w:oddVBand="0" w:evenVBand="0" w:oddHBand="0" w:evenHBand="0" w:firstRowFirstColumn="0" w:firstRowLastColumn="0" w:lastRowFirstColumn="0" w:lastRowLastColumn="0"/>
            </w:pPr>
            <w:r>
              <w:t>SUMMARY OF KEY FINDINGS</w:t>
            </w:r>
          </w:p>
        </w:tc>
        <w:tc>
          <w:tcPr>
            <w:tcW w:w="3943" w:type="dxa"/>
            <w:shd w:val="clear" w:color="auto" w:fill="A2DCD1" w:themeFill="accent1" w:themeFillTint="99"/>
          </w:tcPr>
          <w:p w14:paraId="06C2F048" w14:textId="127D5E31" w:rsidR="00C37FFA" w:rsidRPr="00C2467E" w:rsidRDefault="00F04C36" w:rsidP="008D2FB9">
            <w:pPr>
              <w:spacing w:after="0" w:line="264" w:lineRule="auto"/>
              <w:cnfStyle w:val="100000000000" w:firstRow="1" w:lastRow="0" w:firstColumn="0" w:lastColumn="0" w:oddVBand="0" w:evenVBand="0" w:oddHBand="0" w:evenHBand="0" w:firstRowFirstColumn="0" w:firstRowLastColumn="0" w:lastRowFirstColumn="0" w:lastRowLastColumn="0"/>
            </w:pPr>
            <w:r>
              <w:t>RECOMMENDATIONS</w:t>
            </w:r>
          </w:p>
        </w:tc>
        <w:tc>
          <w:tcPr>
            <w:tcW w:w="3774" w:type="dxa"/>
            <w:shd w:val="clear" w:color="auto" w:fill="A2DCD1" w:themeFill="accent1" w:themeFillTint="99"/>
          </w:tcPr>
          <w:p w14:paraId="716B3481" w14:textId="443C4631" w:rsidR="00C37FFA" w:rsidRDefault="00C37FFA">
            <w:pPr>
              <w:spacing w:after="0" w:line="264" w:lineRule="auto"/>
              <w:cnfStyle w:val="100000000000" w:firstRow="1" w:lastRow="0" w:firstColumn="0" w:lastColumn="0" w:oddVBand="0" w:evenVBand="0" w:oddHBand="0" w:evenHBand="0" w:firstRowFirstColumn="0" w:firstRowLastColumn="0" w:lastRowFirstColumn="0" w:lastRowLastColumn="0"/>
            </w:pPr>
            <w:r w:rsidRPr="00B6712F">
              <w:rPr>
                <w:sz w:val="24"/>
                <w:szCs w:val="24"/>
              </w:rPr>
              <w:t>RESPONSE (AGREE/PARTIALLY AGREE/DISAGREE)</w:t>
            </w:r>
          </w:p>
        </w:tc>
        <w:tc>
          <w:tcPr>
            <w:tcW w:w="2609" w:type="dxa"/>
            <w:shd w:val="clear" w:color="auto" w:fill="A2DCD1" w:themeFill="accent1" w:themeFillTint="99"/>
          </w:tcPr>
          <w:p w14:paraId="7CFC707B" w14:textId="77777777" w:rsidR="00C37FFA" w:rsidRPr="00B6712F" w:rsidRDefault="00C37FFA" w:rsidP="00C37FFA">
            <w:pPr>
              <w:cnfStyle w:val="100000000000" w:firstRow="1" w:lastRow="0" w:firstColumn="0" w:lastColumn="0" w:oddVBand="0" w:evenVBand="0" w:oddHBand="0" w:evenHBand="0" w:firstRowFirstColumn="0" w:firstRowLastColumn="0" w:lastRowFirstColumn="0" w:lastRowLastColumn="0"/>
              <w:rPr>
                <w:sz w:val="24"/>
                <w:szCs w:val="24"/>
              </w:rPr>
            </w:pPr>
            <w:r w:rsidRPr="00B6712F">
              <w:rPr>
                <w:sz w:val="24"/>
                <w:szCs w:val="24"/>
              </w:rPr>
              <w:t>ACTION PLAN AND TIMEFRAME</w:t>
            </w:r>
          </w:p>
          <w:p w14:paraId="3B01FEB7" w14:textId="0F8083DD" w:rsidR="00C37FFA" w:rsidRPr="00B6712F" w:rsidRDefault="00C37FFA" w:rsidP="00C37FFA">
            <w:pPr>
              <w:spacing w:after="0" w:line="264" w:lineRule="auto"/>
              <w:cnfStyle w:val="100000000000" w:firstRow="1" w:lastRow="0" w:firstColumn="0" w:lastColumn="0" w:oddVBand="0" w:evenVBand="0" w:oddHBand="0" w:evenHBand="0" w:firstRowFirstColumn="0" w:firstRowLastColumn="0" w:lastRowFirstColumn="0" w:lastRowLastColumn="0"/>
              <w:rPr>
                <w:sz w:val="24"/>
                <w:szCs w:val="24"/>
              </w:rPr>
            </w:pPr>
          </w:p>
        </w:tc>
      </w:tr>
      <w:bookmarkEnd w:id="0"/>
      <w:tr w:rsidR="001B4C69" w:rsidRPr="00B01D45" w14:paraId="62FDB4C3" w14:textId="56958BB8" w:rsidTr="00AF06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14:paraId="467EF1A3" w14:textId="17EEA315" w:rsidR="00C37FFA" w:rsidRPr="00C2467E" w:rsidRDefault="00AF06CB" w:rsidP="008D2FB9">
            <w:pPr>
              <w:spacing w:after="0" w:line="264" w:lineRule="auto"/>
            </w:pPr>
            <w:r>
              <w:t>1</w:t>
            </w:r>
          </w:p>
        </w:tc>
        <w:tc>
          <w:tcPr>
            <w:tcW w:w="3158" w:type="dxa"/>
          </w:tcPr>
          <w:p w14:paraId="0DA83367" w14:textId="77777777" w:rsidR="00AF06CB" w:rsidRPr="00AF06CB" w:rsidRDefault="00AF06CB" w:rsidP="00AF06CB">
            <w:pPr>
              <w:spacing w:after="0" w:line="264" w:lineRule="auto"/>
              <w:cnfStyle w:val="000000100000" w:firstRow="0" w:lastRow="0" w:firstColumn="0" w:lastColumn="0" w:oddVBand="0" w:evenVBand="0" w:oddHBand="1" w:evenHBand="0" w:firstRowFirstColumn="0" w:firstRowLastColumn="0" w:lastRowFirstColumn="0" w:lastRowLastColumn="0"/>
              <w:rPr>
                <w:b/>
                <w:i/>
                <w:iCs/>
                <w:lang w:val="en-AU"/>
              </w:rPr>
            </w:pPr>
            <w:r w:rsidRPr="00AF06CB">
              <w:rPr>
                <w:b/>
                <w:i/>
                <w:iCs/>
                <w:lang w:val="en-AU"/>
              </w:rPr>
              <w:t>Program Management</w:t>
            </w:r>
          </w:p>
          <w:p w14:paraId="671ED4F3" w14:textId="49D73E99" w:rsidR="001D7435" w:rsidRPr="00AD037C" w:rsidRDefault="00550049" w:rsidP="00AF06CB">
            <w:pPr>
              <w:spacing w:after="0" w:line="264" w:lineRule="auto"/>
              <w:cnfStyle w:val="000000100000" w:firstRow="0" w:lastRow="0" w:firstColumn="0" w:lastColumn="0" w:oddVBand="0" w:evenVBand="0" w:oddHBand="1" w:evenHBand="0" w:firstRowFirstColumn="0" w:firstRowLastColumn="0" w:lastRowFirstColumn="0" w:lastRowLastColumn="0"/>
              <w:rPr>
                <w:i/>
                <w:iCs/>
              </w:rPr>
            </w:pPr>
            <w:r>
              <w:rPr>
                <w:i/>
                <w:iCs/>
                <w:lang w:val="en-AU"/>
              </w:rPr>
              <w:t xml:space="preserve">DFAT’s management burden could be lessened by providing the program/contractor with a </w:t>
            </w:r>
            <w:r>
              <w:rPr>
                <w:i/>
                <w:iCs/>
                <w:lang w:val="en-AU"/>
              </w:rPr>
              <w:lastRenderedPageBreak/>
              <w:t>higher level of delegation for some activities</w:t>
            </w:r>
          </w:p>
        </w:tc>
        <w:tc>
          <w:tcPr>
            <w:tcW w:w="3943" w:type="dxa"/>
          </w:tcPr>
          <w:p w14:paraId="04A2A67D" w14:textId="77777777" w:rsidR="00380A79" w:rsidRDefault="00380A79" w:rsidP="004A2B4A">
            <w:pPr>
              <w:spacing w:after="0" w:line="264" w:lineRule="auto"/>
              <w:ind w:left="284"/>
              <w:cnfStyle w:val="000000100000" w:firstRow="0" w:lastRow="0" w:firstColumn="0" w:lastColumn="0" w:oddVBand="0" w:evenVBand="0" w:oddHBand="1" w:evenHBand="0" w:firstRowFirstColumn="0" w:firstRowLastColumn="0" w:lastRowFirstColumn="0" w:lastRowLastColumn="0"/>
              <w:rPr>
                <w:bCs/>
                <w:lang w:val="en-AU"/>
              </w:rPr>
            </w:pPr>
          </w:p>
          <w:p w14:paraId="0F08E31E" w14:textId="2D7BE23A" w:rsidR="00C37FFA" w:rsidRPr="004A2B4A" w:rsidRDefault="00AF06CB" w:rsidP="004A2B4A">
            <w:pPr>
              <w:spacing w:after="0" w:line="264" w:lineRule="auto"/>
              <w:ind w:left="284"/>
              <w:cnfStyle w:val="000000100000" w:firstRow="0" w:lastRow="0" w:firstColumn="0" w:lastColumn="0" w:oddVBand="0" w:evenVBand="0" w:oddHBand="1" w:evenHBand="0" w:firstRowFirstColumn="0" w:firstRowLastColumn="0" w:lastRowFirstColumn="0" w:lastRowLastColumn="0"/>
              <w:rPr>
                <w:bCs/>
                <w:lang w:val="en-AU"/>
              </w:rPr>
            </w:pPr>
            <w:r w:rsidRPr="00AF06CB">
              <w:rPr>
                <w:bCs/>
                <w:lang w:val="en-AU"/>
              </w:rPr>
              <w:t xml:space="preserve">Revise guidance for contractor financial sign off for Alumni Grant Scheme and PTI minor works. The </w:t>
            </w:r>
            <w:r w:rsidRPr="00AF06CB">
              <w:rPr>
                <w:bCs/>
                <w:lang w:val="en-AU"/>
              </w:rPr>
              <w:lastRenderedPageBreak/>
              <w:t>level of delegation could be based on an agreed risk matrix</w:t>
            </w:r>
            <w:r w:rsidR="004A2B4A">
              <w:rPr>
                <w:bCs/>
                <w:lang w:val="en-AU"/>
              </w:rPr>
              <w:t>.</w:t>
            </w:r>
          </w:p>
        </w:tc>
        <w:tc>
          <w:tcPr>
            <w:tcW w:w="3774" w:type="dxa"/>
          </w:tcPr>
          <w:p w14:paraId="2FE5BC85" w14:textId="77777777" w:rsidR="00380A79" w:rsidRDefault="00380A79" w:rsidP="008D2FB9">
            <w:pPr>
              <w:spacing w:after="0" w:line="264" w:lineRule="auto"/>
              <w:cnfStyle w:val="000000100000" w:firstRow="0" w:lastRow="0" w:firstColumn="0" w:lastColumn="0" w:oddVBand="0" w:evenVBand="0" w:oddHBand="1" w:evenHBand="0" w:firstRowFirstColumn="0" w:firstRowLastColumn="0" w:lastRowFirstColumn="0" w:lastRowLastColumn="0"/>
            </w:pPr>
          </w:p>
          <w:p w14:paraId="4E4E1A69" w14:textId="77777777" w:rsidR="00380A79" w:rsidRDefault="00380A79" w:rsidP="008D2FB9">
            <w:pPr>
              <w:spacing w:after="0" w:line="264" w:lineRule="auto"/>
              <w:cnfStyle w:val="000000100000" w:firstRow="0" w:lastRow="0" w:firstColumn="0" w:lastColumn="0" w:oddVBand="0" w:evenVBand="0" w:oddHBand="1" w:evenHBand="0" w:firstRowFirstColumn="0" w:firstRowLastColumn="0" w:lastRowFirstColumn="0" w:lastRowLastColumn="0"/>
            </w:pPr>
          </w:p>
          <w:p w14:paraId="3D0280B4" w14:textId="1B7E1090" w:rsidR="006E0E7D" w:rsidRPr="00C2467E" w:rsidRDefault="00AF06CB" w:rsidP="008D2FB9">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2609" w:type="dxa"/>
          </w:tcPr>
          <w:p w14:paraId="3E0BD6A6" w14:textId="77777777" w:rsidR="00380A79" w:rsidRDefault="00380A79" w:rsidP="00E630D5">
            <w:pPr>
              <w:spacing w:after="0" w:line="264" w:lineRule="auto"/>
              <w:cnfStyle w:val="000000100000" w:firstRow="0" w:lastRow="0" w:firstColumn="0" w:lastColumn="0" w:oddVBand="0" w:evenVBand="0" w:oddHBand="1" w:evenHBand="0" w:firstRowFirstColumn="0" w:firstRowLastColumn="0" w:lastRowFirstColumn="0" w:lastRowLastColumn="0"/>
            </w:pPr>
          </w:p>
          <w:p w14:paraId="421DF87F" w14:textId="2528F2A7" w:rsidR="00C37FFA" w:rsidRPr="00C2467E" w:rsidRDefault="00380A79" w:rsidP="00E630D5">
            <w:pPr>
              <w:spacing w:after="0" w:line="264" w:lineRule="auto"/>
              <w:cnfStyle w:val="000000100000" w:firstRow="0" w:lastRow="0" w:firstColumn="0" w:lastColumn="0" w:oddVBand="0" w:evenVBand="0" w:oddHBand="1" w:evenHBand="0" w:firstRowFirstColumn="0" w:firstRowLastColumn="0" w:lastRowFirstColumn="0" w:lastRowLastColumn="0"/>
            </w:pPr>
            <w:r>
              <w:t>I</w:t>
            </w:r>
            <w:r w:rsidR="00AF06CB">
              <w:t xml:space="preserve">mplement from January 2022. </w:t>
            </w:r>
          </w:p>
        </w:tc>
      </w:tr>
      <w:tr w:rsidR="00AF06CB" w:rsidRPr="00B01D45" w14:paraId="00E4294D" w14:textId="12D2F422" w:rsidTr="00AF06CB">
        <w:trPr>
          <w:trHeight w:val="20"/>
        </w:trPr>
        <w:tc>
          <w:tcPr>
            <w:cnfStyle w:val="001000000000" w:firstRow="0" w:lastRow="0" w:firstColumn="1" w:lastColumn="0" w:oddVBand="0" w:evenVBand="0" w:oddHBand="0" w:evenHBand="0" w:firstRowFirstColumn="0" w:firstRowLastColumn="0" w:lastRowFirstColumn="0" w:lastRowLastColumn="0"/>
            <w:tcW w:w="975" w:type="dxa"/>
          </w:tcPr>
          <w:p w14:paraId="3A0C85E4" w14:textId="25442951" w:rsidR="00AF06CB" w:rsidRPr="00C2467E" w:rsidRDefault="00AF06CB" w:rsidP="00AF06CB">
            <w:pPr>
              <w:spacing w:after="0" w:line="264" w:lineRule="auto"/>
            </w:pPr>
            <w:bookmarkStart w:id="1" w:name="_Hlk87007576"/>
            <w:r>
              <w:t>2</w:t>
            </w:r>
          </w:p>
        </w:tc>
        <w:tc>
          <w:tcPr>
            <w:tcW w:w="3158" w:type="dxa"/>
          </w:tcPr>
          <w:p w14:paraId="794EEDF7" w14:textId="706365F9"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rPr>
                <w:b/>
                <w:i/>
                <w:iCs/>
                <w:lang w:val="en-AU"/>
              </w:rPr>
            </w:pPr>
            <w:r w:rsidRPr="00AF06CB">
              <w:rPr>
                <w:b/>
                <w:i/>
                <w:iCs/>
                <w:lang w:val="en-AU"/>
              </w:rPr>
              <w:t>Program M</w:t>
            </w:r>
            <w:r>
              <w:rPr>
                <w:b/>
                <w:i/>
                <w:iCs/>
                <w:lang w:val="en-AU"/>
              </w:rPr>
              <w:t>onitoring and Evaluation</w:t>
            </w:r>
          </w:p>
          <w:p w14:paraId="14B898B6" w14:textId="3949CE31" w:rsidR="00AF06CB" w:rsidRDefault="00AF06CB" w:rsidP="002C69C6">
            <w:pPr>
              <w:numPr>
                <w:ilvl w:val="0"/>
                <w:numId w:val="10"/>
              </w:numPr>
              <w:spacing w:after="0" w:line="264" w:lineRule="auto"/>
              <w:cnfStyle w:val="000000000000" w:firstRow="0" w:lastRow="0" w:firstColumn="0" w:lastColumn="0" w:oddVBand="0" w:evenVBand="0" w:oddHBand="0" w:evenHBand="0" w:firstRowFirstColumn="0" w:firstRowLastColumn="0" w:lastRowFirstColumn="0" w:lastRowLastColumn="0"/>
              <w:rPr>
                <w:i/>
                <w:iCs/>
                <w:lang w:val="en-AU"/>
              </w:rPr>
            </w:pPr>
            <w:r w:rsidRPr="007373CE">
              <w:rPr>
                <w:i/>
                <w:iCs/>
                <w:lang w:val="en-AU"/>
              </w:rPr>
              <w:t xml:space="preserve">The current program does not include targets for </w:t>
            </w:r>
            <w:r w:rsidR="00380A79">
              <w:rPr>
                <w:i/>
                <w:iCs/>
                <w:lang w:val="en-AU"/>
              </w:rPr>
              <w:t>EOPOs</w:t>
            </w:r>
          </w:p>
          <w:p w14:paraId="120A8DDE" w14:textId="39F1479A" w:rsidR="004A2B4A" w:rsidRDefault="004A2B4A" w:rsidP="004A2B4A">
            <w:pPr>
              <w:spacing w:after="0" w:line="264" w:lineRule="auto"/>
              <w:cnfStyle w:val="000000000000" w:firstRow="0" w:lastRow="0" w:firstColumn="0" w:lastColumn="0" w:oddVBand="0" w:evenVBand="0" w:oddHBand="0" w:evenHBand="0" w:firstRowFirstColumn="0" w:firstRowLastColumn="0" w:lastRowFirstColumn="0" w:lastRowLastColumn="0"/>
              <w:rPr>
                <w:i/>
                <w:iCs/>
                <w:lang w:val="en-AU"/>
              </w:rPr>
            </w:pPr>
          </w:p>
          <w:p w14:paraId="7854C37F" w14:textId="77777777" w:rsidR="004A2B4A" w:rsidRPr="007373CE" w:rsidRDefault="004A2B4A" w:rsidP="004A2B4A">
            <w:pPr>
              <w:spacing w:after="0" w:line="264" w:lineRule="auto"/>
              <w:cnfStyle w:val="000000000000" w:firstRow="0" w:lastRow="0" w:firstColumn="0" w:lastColumn="0" w:oddVBand="0" w:evenVBand="0" w:oddHBand="0" w:evenHBand="0" w:firstRowFirstColumn="0" w:firstRowLastColumn="0" w:lastRowFirstColumn="0" w:lastRowLastColumn="0"/>
              <w:rPr>
                <w:i/>
                <w:iCs/>
                <w:lang w:val="en-AU"/>
              </w:rPr>
            </w:pPr>
          </w:p>
          <w:p w14:paraId="37A3F510" w14:textId="76F0E88D" w:rsidR="00AF06CB" w:rsidRPr="00AF06CB" w:rsidRDefault="00AF06CB" w:rsidP="002C69C6">
            <w:pPr>
              <w:numPr>
                <w:ilvl w:val="0"/>
                <w:numId w:val="10"/>
              </w:numPr>
              <w:spacing w:after="0" w:line="264" w:lineRule="auto"/>
              <w:cnfStyle w:val="000000000000" w:firstRow="0" w:lastRow="0" w:firstColumn="0" w:lastColumn="0" w:oddVBand="0" w:evenVBand="0" w:oddHBand="0" w:evenHBand="0" w:firstRowFirstColumn="0" w:firstRowLastColumn="0" w:lastRowFirstColumn="0" w:lastRowLastColumn="0"/>
              <w:rPr>
                <w:lang w:val="en-AU"/>
              </w:rPr>
            </w:pPr>
            <w:r w:rsidRPr="007373CE">
              <w:rPr>
                <w:i/>
                <w:iCs/>
                <w:lang w:val="en-AU"/>
              </w:rPr>
              <w:t>Additional information is required to inform programming for S</w:t>
            </w:r>
            <w:r w:rsidR="007373CE">
              <w:rPr>
                <w:i/>
                <w:iCs/>
                <w:lang w:val="en-AU"/>
              </w:rPr>
              <w:t xml:space="preserve">hort </w:t>
            </w:r>
            <w:r w:rsidRPr="007373CE">
              <w:rPr>
                <w:i/>
                <w:iCs/>
                <w:lang w:val="en-AU"/>
              </w:rPr>
              <w:t>C</w:t>
            </w:r>
            <w:r w:rsidR="007373CE">
              <w:rPr>
                <w:i/>
                <w:iCs/>
                <w:lang w:val="en-AU"/>
              </w:rPr>
              <w:t xml:space="preserve">ourse </w:t>
            </w:r>
            <w:r w:rsidRPr="007373CE">
              <w:rPr>
                <w:i/>
                <w:iCs/>
                <w:lang w:val="en-AU"/>
              </w:rPr>
              <w:t>A</w:t>
            </w:r>
            <w:r w:rsidR="007373CE">
              <w:rPr>
                <w:i/>
                <w:iCs/>
                <w:lang w:val="en-AU"/>
              </w:rPr>
              <w:t>wards</w:t>
            </w:r>
            <w:r w:rsidRPr="007373CE">
              <w:rPr>
                <w:i/>
                <w:iCs/>
                <w:lang w:val="en-AU"/>
              </w:rPr>
              <w:t xml:space="preserve">, </w:t>
            </w:r>
            <w:r w:rsidR="007373CE">
              <w:rPr>
                <w:i/>
                <w:iCs/>
                <w:lang w:val="en-AU"/>
              </w:rPr>
              <w:t xml:space="preserve">the </w:t>
            </w:r>
            <w:r w:rsidRPr="007373CE">
              <w:rPr>
                <w:i/>
                <w:iCs/>
                <w:lang w:val="en-AU"/>
              </w:rPr>
              <w:t>A</w:t>
            </w:r>
            <w:r w:rsidR="007373CE">
              <w:rPr>
                <w:i/>
                <w:iCs/>
                <w:lang w:val="en-AU"/>
              </w:rPr>
              <w:t xml:space="preserve">lumni </w:t>
            </w:r>
            <w:r w:rsidRPr="007373CE">
              <w:rPr>
                <w:i/>
                <w:iCs/>
                <w:lang w:val="en-AU"/>
              </w:rPr>
              <w:t>G</w:t>
            </w:r>
            <w:r w:rsidR="007373CE">
              <w:rPr>
                <w:i/>
                <w:iCs/>
                <w:lang w:val="en-AU"/>
              </w:rPr>
              <w:t xml:space="preserve">rants </w:t>
            </w:r>
            <w:r w:rsidRPr="007373CE">
              <w:rPr>
                <w:i/>
                <w:iCs/>
                <w:lang w:val="en-AU"/>
              </w:rPr>
              <w:t>S</w:t>
            </w:r>
            <w:r w:rsidR="007373CE">
              <w:rPr>
                <w:i/>
                <w:iCs/>
                <w:lang w:val="en-AU"/>
              </w:rPr>
              <w:t>cheme</w:t>
            </w:r>
            <w:r w:rsidRPr="007373CE">
              <w:rPr>
                <w:i/>
                <w:iCs/>
                <w:lang w:val="en-AU"/>
              </w:rPr>
              <w:t xml:space="preserve"> and on award support</w:t>
            </w:r>
          </w:p>
        </w:tc>
        <w:tc>
          <w:tcPr>
            <w:tcW w:w="3943" w:type="dxa"/>
          </w:tcPr>
          <w:p w14:paraId="5AF2DF2A" w14:textId="77777777" w:rsidR="00AF06CB" w:rsidRDefault="00AF06CB" w:rsidP="00AF06CB">
            <w:pPr>
              <w:pStyle w:val="Bulletlist1HDMES"/>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64DF0A53" w14:textId="77777777" w:rsidR="00AF06CB" w:rsidRDefault="00AF06CB" w:rsidP="00AF06CB">
            <w:pPr>
              <w:pStyle w:val="Bulletlist1HDMES"/>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56CC9EF5" w14:textId="266696CE" w:rsidR="00AF06CB" w:rsidRPr="00AF06CB" w:rsidRDefault="00AF06CB" w:rsidP="002C69C6">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AF06CB">
              <w:rPr>
                <w:rFonts w:asciiTheme="minorHAnsi" w:eastAsiaTheme="minorHAnsi" w:hAnsiTheme="minorHAnsi" w:cstheme="minorBidi"/>
                <w:color w:val="495965" w:themeColor="text2"/>
              </w:rPr>
              <w:t xml:space="preserve">Develop performance expectations for each </w:t>
            </w:r>
            <w:r w:rsidR="00380A79">
              <w:rPr>
                <w:rFonts w:asciiTheme="minorHAnsi" w:eastAsiaTheme="minorHAnsi" w:hAnsiTheme="minorHAnsi" w:cstheme="minorBidi"/>
                <w:color w:val="495965" w:themeColor="text2"/>
              </w:rPr>
              <w:t>EOPO</w:t>
            </w:r>
            <w:r w:rsidRPr="00AF06CB">
              <w:rPr>
                <w:rFonts w:asciiTheme="minorHAnsi" w:eastAsiaTheme="minorHAnsi" w:hAnsiTheme="minorHAnsi" w:cstheme="minorBidi"/>
                <w:color w:val="495965" w:themeColor="text2"/>
              </w:rPr>
              <w:t xml:space="preserve"> – one or two per EOPO should be sufficient to provide greater clarity as to what the program expects to achieve by 2023. </w:t>
            </w:r>
          </w:p>
          <w:p w14:paraId="02FAFDF7" w14:textId="77777777" w:rsidR="00AF06CB" w:rsidRPr="00AF06CB" w:rsidRDefault="00AF06CB" w:rsidP="00AF06CB">
            <w:pPr>
              <w:pStyle w:val="Bulletlist1HDMES"/>
              <w:numPr>
                <w:ilvl w:val="0"/>
                <w:numId w:val="0"/>
              </w:numPr>
              <w:ind w:left="357" w:hanging="357"/>
              <w:cnfStyle w:val="000000000000" w:firstRow="0" w:lastRow="0" w:firstColumn="0" w:lastColumn="0" w:oddVBand="0" w:evenVBand="0" w:oddHBand="0" w:evenHBand="0" w:firstRowFirstColumn="0" w:firstRowLastColumn="0" w:lastRowFirstColumn="0" w:lastRowLastColumn="0"/>
            </w:pPr>
          </w:p>
          <w:p w14:paraId="71EDA1DA" w14:textId="77777777" w:rsidR="00AF06CB" w:rsidRPr="00AF06CB" w:rsidRDefault="00AF06CB" w:rsidP="002C69C6">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AF06CB">
              <w:rPr>
                <w:rFonts w:asciiTheme="minorHAnsi" w:eastAsiaTheme="minorHAnsi" w:hAnsiTheme="minorHAnsi" w:cstheme="minorBidi"/>
                <w:color w:val="495965" w:themeColor="text2"/>
              </w:rPr>
              <w:t>As part of the Short Course Awards review, undertake an analysis of the costs of delivering a blended approach to course delivery.</w:t>
            </w:r>
          </w:p>
          <w:p w14:paraId="44672015" w14:textId="77777777" w:rsidR="00AF06CB" w:rsidRPr="00AF06CB" w:rsidRDefault="00AF06CB" w:rsidP="00AF06CB">
            <w:pPr>
              <w:pStyle w:val="Bulletlist1HDMES"/>
              <w:numPr>
                <w:ilvl w:val="0"/>
                <w:numId w:val="0"/>
              </w:numPr>
              <w:ind w:left="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4346A829" w14:textId="6D505863" w:rsidR="00AF06CB" w:rsidRPr="00AF06CB" w:rsidRDefault="00AF06CB" w:rsidP="002C69C6">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AF06CB">
              <w:rPr>
                <w:rFonts w:asciiTheme="minorHAnsi" w:eastAsiaTheme="minorHAnsi" w:hAnsiTheme="minorHAnsi" w:cstheme="minorBidi"/>
                <w:color w:val="495965" w:themeColor="text2"/>
              </w:rPr>
              <w:t>The program could undertake a study to identify the factors that influence variation rates for Australia Awards Scholarships</w:t>
            </w:r>
            <w:r w:rsidR="000104DE">
              <w:rPr>
                <w:rFonts w:asciiTheme="minorHAnsi" w:eastAsiaTheme="minorHAnsi" w:hAnsiTheme="minorHAnsi" w:cstheme="minorBidi"/>
                <w:color w:val="495965" w:themeColor="text2"/>
              </w:rPr>
              <w:t xml:space="preserve"> (AAS)</w:t>
            </w:r>
            <w:r w:rsidRPr="00AF06CB">
              <w:rPr>
                <w:rFonts w:asciiTheme="minorHAnsi" w:eastAsiaTheme="minorHAnsi" w:hAnsiTheme="minorHAnsi" w:cstheme="minorBidi"/>
                <w:color w:val="495965" w:themeColor="text2"/>
              </w:rPr>
              <w:t>. This could then inform possible improvements to how the program selects, prepares, and supports students while on-award</w:t>
            </w:r>
          </w:p>
          <w:p w14:paraId="08AE0144" w14:textId="77777777" w:rsidR="00AF06CB" w:rsidRPr="00AF06CB" w:rsidRDefault="00AF06CB" w:rsidP="00AF06CB">
            <w:pPr>
              <w:pStyle w:val="Bulletlist1HDMES"/>
              <w:numPr>
                <w:ilvl w:val="0"/>
                <w:numId w:val="0"/>
              </w:numPr>
              <w:ind w:left="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1673556A" w14:textId="77777777" w:rsidR="00AF06CB" w:rsidRPr="00AF06CB" w:rsidRDefault="00AF06CB" w:rsidP="002C69C6">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AF06CB">
              <w:rPr>
                <w:rFonts w:asciiTheme="minorHAnsi" w:eastAsiaTheme="minorHAnsi" w:hAnsiTheme="minorHAnsi" w:cstheme="minorBidi"/>
                <w:color w:val="495965" w:themeColor="text2"/>
              </w:rPr>
              <w:t xml:space="preserve">Better track Alumni Grants Scheme outcomes by focusing on a sample of grants. </w:t>
            </w:r>
          </w:p>
          <w:p w14:paraId="63075E78" w14:textId="77777777" w:rsidR="00AF06CB" w:rsidRPr="00AF06CB" w:rsidRDefault="00AF06CB" w:rsidP="0035307C">
            <w:pPr>
              <w:pStyle w:val="Bulletlist1HDME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5A4BBB0A" w14:textId="28D17026" w:rsidR="000104DE" w:rsidRDefault="00AF06CB" w:rsidP="000104DE">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AF06CB">
              <w:rPr>
                <w:rFonts w:asciiTheme="minorHAnsi" w:eastAsiaTheme="minorHAnsi" w:hAnsiTheme="minorHAnsi" w:cstheme="minorBidi"/>
                <w:color w:val="495965" w:themeColor="text2"/>
              </w:rPr>
              <w:t xml:space="preserve">Application process: </w:t>
            </w:r>
            <w:r w:rsidR="000104DE">
              <w:rPr>
                <w:rFonts w:asciiTheme="minorHAnsi" w:eastAsiaTheme="minorHAnsi" w:hAnsiTheme="minorHAnsi" w:cstheme="minorBidi"/>
                <w:color w:val="495965" w:themeColor="text2"/>
              </w:rPr>
              <w:t>a</w:t>
            </w:r>
            <w:r w:rsidRPr="00AF06CB">
              <w:rPr>
                <w:rFonts w:asciiTheme="minorHAnsi" w:eastAsiaTheme="minorHAnsi" w:hAnsiTheme="minorHAnsi" w:cstheme="minorBidi"/>
                <w:color w:val="495965" w:themeColor="text2"/>
              </w:rPr>
              <w:t>s part of the midwifery review, the program could review the role of midwifery PTIs within the selection process</w:t>
            </w:r>
          </w:p>
          <w:p w14:paraId="26534447" w14:textId="77777777" w:rsidR="000104DE" w:rsidRDefault="000104DE" w:rsidP="000104DE">
            <w:pPr>
              <w:pStyle w:val="ListParagrap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620A196A" w14:textId="04B6379F" w:rsidR="00AF06CB" w:rsidRPr="000104DE" w:rsidRDefault="00AF06CB" w:rsidP="000104DE">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0104DE">
              <w:rPr>
                <w:rFonts w:asciiTheme="minorHAnsi" w:eastAsiaTheme="minorHAnsi" w:hAnsiTheme="minorHAnsi" w:cstheme="minorBidi"/>
                <w:color w:val="495965" w:themeColor="text2"/>
              </w:rPr>
              <w:lastRenderedPageBreak/>
              <w:t xml:space="preserve">On-award support: </w:t>
            </w:r>
            <w:r w:rsidR="000104DE">
              <w:rPr>
                <w:rFonts w:asciiTheme="minorHAnsi" w:eastAsiaTheme="minorHAnsi" w:hAnsiTheme="minorHAnsi" w:cstheme="minorBidi"/>
                <w:color w:val="495965" w:themeColor="text2"/>
              </w:rPr>
              <w:t>t</w:t>
            </w:r>
            <w:r w:rsidRPr="000104DE">
              <w:rPr>
                <w:rFonts w:asciiTheme="minorHAnsi" w:eastAsiaTheme="minorHAnsi" w:hAnsiTheme="minorHAnsi" w:cstheme="minorBidi"/>
                <w:color w:val="495965" w:themeColor="text2"/>
              </w:rPr>
              <w:t xml:space="preserve">he program could consider </w:t>
            </w:r>
            <w:r w:rsidR="000104DE" w:rsidRPr="000104DE">
              <w:rPr>
                <w:rFonts w:asciiTheme="minorHAnsi" w:eastAsiaTheme="minorHAnsi" w:hAnsiTheme="minorHAnsi" w:cstheme="minorBidi"/>
                <w:color w:val="495965" w:themeColor="text2"/>
              </w:rPr>
              <w:t>e</w:t>
            </w:r>
            <w:r w:rsidRPr="000104DE">
              <w:rPr>
                <w:rFonts w:asciiTheme="minorHAnsi" w:eastAsiaTheme="minorHAnsi" w:hAnsiTheme="minorHAnsi" w:cstheme="minorBidi"/>
                <w:color w:val="495965" w:themeColor="text2"/>
              </w:rPr>
              <w:t xml:space="preserve">xploring whether to raise the stipend for midwifery awardees as part of the midwifery review. </w:t>
            </w:r>
          </w:p>
          <w:p w14:paraId="387DEFC5" w14:textId="77777777" w:rsidR="00AF06CB" w:rsidRPr="00AF06CB" w:rsidRDefault="00AF06CB" w:rsidP="0035307C">
            <w:pPr>
              <w:pStyle w:val="Bulletlist1HDMES"/>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663F905C" w14:textId="2C5E4389" w:rsidR="00AF06CB" w:rsidRPr="000104DE" w:rsidRDefault="00AF06CB" w:rsidP="000104DE">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bookmarkStart w:id="2" w:name="_Hlk88560046"/>
            <w:r w:rsidRPr="00AF06CB">
              <w:rPr>
                <w:rFonts w:asciiTheme="minorHAnsi" w:eastAsiaTheme="minorHAnsi" w:hAnsiTheme="minorHAnsi" w:cstheme="minorBidi"/>
                <w:color w:val="495965" w:themeColor="text2"/>
              </w:rPr>
              <w:t>Ensur</w:t>
            </w:r>
            <w:r w:rsidR="000104DE">
              <w:rPr>
                <w:rFonts w:asciiTheme="minorHAnsi" w:eastAsiaTheme="minorHAnsi" w:hAnsiTheme="minorHAnsi" w:cstheme="minorBidi"/>
                <w:color w:val="495965" w:themeColor="text2"/>
              </w:rPr>
              <w:t>e</w:t>
            </w:r>
            <w:r w:rsidRPr="00AF06CB">
              <w:rPr>
                <w:rFonts w:asciiTheme="minorHAnsi" w:eastAsiaTheme="minorHAnsi" w:hAnsiTheme="minorHAnsi" w:cstheme="minorBidi"/>
                <w:color w:val="495965" w:themeColor="text2"/>
              </w:rPr>
              <w:t xml:space="preserve"> that Institution Contact Officers in PTIs are aware of family and sexual violence</w:t>
            </w:r>
            <w:r w:rsidR="000104DE">
              <w:rPr>
                <w:rFonts w:asciiTheme="minorHAnsi" w:eastAsiaTheme="minorHAnsi" w:hAnsiTheme="minorHAnsi" w:cstheme="minorBidi"/>
                <w:color w:val="495965" w:themeColor="text2"/>
              </w:rPr>
              <w:t xml:space="preserve"> (FSV)</w:t>
            </w:r>
            <w:r w:rsidRPr="00AF06CB">
              <w:rPr>
                <w:rFonts w:asciiTheme="minorHAnsi" w:eastAsiaTheme="minorHAnsi" w:hAnsiTheme="minorHAnsi" w:cstheme="minorBidi"/>
                <w:color w:val="495965" w:themeColor="text2"/>
              </w:rPr>
              <w:t xml:space="preserve"> processes, including FSV support providers.</w:t>
            </w:r>
            <w:r w:rsidR="002C69C6">
              <w:rPr>
                <w:rFonts w:asciiTheme="minorHAnsi" w:eastAsiaTheme="minorHAnsi" w:hAnsiTheme="minorHAnsi" w:cstheme="minorBidi"/>
                <w:color w:val="495965" w:themeColor="text2"/>
              </w:rPr>
              <w:t xml:space="preserve"> </w:t>
            </w:r>
            <w:r w:rsidRPr="000104DE">
              <w:rPr>
                <w:rFonts w:asciiTheme="minorHAnsi" w:eastAsiaTheme="minorHAnsi" w:hAnsiTheme="minorHAnsi" w:cstheme="minorBidi"/>
                <w:color w:val="495965" w:themeColor="text2"/>
              </w:rPr>
              <w:t xml:space="preserve">If there are no clear referral pathways, such as within certain provinces, the program could consider forming partnerships with FSV providers. </w:t>
            </w:r>
          </w:p>
          <w:bookmarkEnd w:id="2"/>
          <w:p w14:paraId="2F920CAA" w14:textId="77777777" w:rsidR="00AF06CB" w:rsidRPr="00AF06CB" w:rsidRDefault="00AF06CB" w:rsidP="0035307C">
            <w:pPr>
              <w:pStyle w:val="Bulletlist1HDMES"/>
              <w:numPr>
                <w:ilvl w:val="0"/>
                <w:numId w:val="0"/>
              </w:numPr>
              <w:ind w:left="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10FC972C" w14:textId="56E9E48C" w:rsidR="00AF06CB" w:rsidRDefault="00AF06CB" w:rsidP="002C69C6">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AF06CB">
              <w:rPr>
                <w:rFonts w:asciiTheme="minorHAnsi" w:eastAsiaTheme="minorHAnsi" w:hAnsiTheme="minorHAnsi" w:cstheme="minorBidi"/>
                <w:color w:val="495965" w:themeColor="text2"/>
              </w:rPr>
              <w:t xml:space="preserve">Reintegration: </w:t>
            </w:r>
            <w:r w:rsidR="000104DE">
              <w:rPr>
                <w:rFonts w:asciiTheme="minorHAnsi" w:eastAsiaTheme="minorHAnsi" w:hAnsiTheme="minorHAnsi" w:cstheme="minorBidi"/>
                <w:color w:val="495965" w:themeColor="text2"/>
              </w:rPr>
              <w:t>t</w:t>
            </w:r>
            <w:r w:rsidRPr="00AF06CB">
              <w:rPr>
                <w:rFonts w:asciiTheme="minorHAnsi" w:eastAsiaTheme="minorHAnsi" w:hAnsiTheme="minorHAnsi" w:cstheme="minorBidi"/>
                <w:color w:val="495965" w:themeColor="text2"/>
              </w:rPr>
              <w:t xml:space="preserve">he program could improve the use of reintegration plans for AAS awardees, both for those in open and public sector categories. These plans could be living documents that are developed prior to commencement, revisited while on-award including prior to graduation, and then implemented on awardees’ return. </w:t>
            </w:r>
          </w:p>
          <w:p w14:paraId="284A19E7" w14:textId="77777777" w:rsidR="0035307C" w:rsidRPr="00AF06CB" w:rsidRDefault="0035307C" w:rsidP="0035307C">
            <w:pPr>
              <w:pStyle w:val="Bulletlist1HDMES"/>
              <w:numPr>
                <w:ilvl w:val="0"/>
                <w:numId w:val="0"/>
              </w:numPr>
              <w:ind w:left="28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p>
          <w:p w14:paraId="0D7948A2" w14:textId="4A65C087" w:rsidR="00AF06CB" w:rsidRPr="0035307C" w:rsidRDefault="00AF06CB" w:rsidP="002C69C6">
            <w:pPr>
              <w:pStyle w:val="Bulletlist1HDMES"/>
              <w:numPr>
                <w:ilvl w:val="0"/>
                <w:numId w:val="14"/>
              </w:numPr>
              <w:ind w:left="288" w:hanging="141"/>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35307C">
              <w:rPr>
                <w:rFonts w:asciiTheme="minorHAnsi" w:eastAsiaTheme="minorHAnsi" w:hAnsiTheme="minorHAnsi" w:cstheme="minorBidi"/>
                <w:color w:val="495965" w:themeColor="text2"/>
              </w:rPr>
              <w:t xml:space="preserve">Alumni network: </w:t>
            </w:r>
            <w:r w:rsidR="000104DE">
              <w:rPr>
                <w:rFonts w:asciiTheme="minorHAnsi" w:eastAsiaTheme="minorHAnsi" w:hAnsiTheme="minorHAnsi" w:cstheme="minorBidi"/>
                <w:color w:val="495965" w:themeColor="text2"/>
              </w:rPr>
              <w:t>t</w:t>
            </w:r>
            <w:r w:rsidRPr="0035307C">
              <w:rPr>
                <w:rFonts w:asciiTheme="minorHAnsi" w:eastAsiaTheme="minorHAnsi" w:hAnsiTheme="minorHAnsi" w:cstheme="minorBidi"/>
                <w:color w:val="495965" w:themeColor="text2"/>
              </w:rPr>
              <w:t>he program should continue to support PNG</w:t>
            </w:r>
            <w:r w:rsidR="000104DE">
              <w:rPr>
                <w:rFonts w:asciiTheme="minorHAnsi" w:eastAsiaTheme="minorHAnsi" w:hAnsiTheme="minorHAnsi" w:cstheme="minorBidi"/>
                <w:color w:val="495965" w:themeColor="text2"/>
              </w:rPr>
              <w:t xml:space="preserve"> </w:t>
            </w:r>
            <w:r w:rsidRPr="0035307C">
              <w:rPr>
                <w:rFonts w:asciiTheme="minorHAnsi" w:eastAsiaTheme="minorHAnsi" w:hAnsiTheme="minorHAnsi" w:cstheme="minorBidi"/>
                <w:color w:val="495965" w:themeColor="text2"/>
              </w:rPr>
              <w:t>A</w:t>
            </w:r>
            <w:r w:rsidR="000104DE">
              <w:rPr>
                <w:rFonts w:asciiTheme="minorHAnsi" w:eastAsiaTheme="minorHAnsi" w:hAnsiTheme="minorHAnsi" w:cstheme="minorBidi"/>
                <w:color w:val="495965" w:themeColor="text2"/>
              </w:rPr>
              <w:t xml:space="preserve">ustralia </w:t>
            </w:r>
            <w:r w:rsidRPr="0035307C">
              <w:rPr>
                <w:rFonts w:asciiTheme="minorHAnsi" w:eastAsiaTheme="minorHAnsi" w:hAnsiTheme="minorHAnsi" w:cstheme="minorBidi"/>
                <w:color w:val="495965" w:themeColor="text2"/>
              </w:rPr>
              <w:t>A</w:t>
            </w:r>
            <w:r w:rsidR="000104DE">
              <w:rPr>
                <w:rFonts w:asciiTheme="minorHAnsi" w:eastAsiaTheme="minorHAnsi" w:hAnsiTheme="minorHAnsi" w:cstheme="minorBidi"/>
                <w:color w:val="495965" w:themeColor="text2"/>
              </w:rPr>
              <w:t xml:space="preserve">lumni </w:t>
            </w:r>
            <w:r w:rsidR="001B5086">
              <w:rPr>
                <w:rFonts w:asciiTheme="minorHAnsi" w:eastAsiaTheme="minorHAnsi" w:hAnsiTheme="minorHAnsi" w:cstheme="minorBidi"/>
                <w:color w:val="495965" w:themeColor="text2"/>
              </w:rPr>
              <w:t xml:space="preserve">Association </w:t>
            </w:r>
            <w:r w:rsidRPr="0035307C">
              <w:rPr>
                <w:rFonts w:asciiTheme="minorHAnsi" w:eastAsiaTheme="minorHAnsi" w:hAnsiTheme="minorHAnsi" w:cstheme="minorBidi"/>
                <w:color w:val="495965" w:themeColor="text2"/>
              </w:rPr>
              <w:t>to become more sustainable, including through finalising a sustainability action plan.</w:t>
            </w:r>
            <w:r w:rsidRPr="00AF06CB">
              <w:t xml:space="preserve"> </w:t>
            </w:r>
          </w:p>
        </w:tc>
        <w:tc>
          <w:tcPr>
            <w:tcW w:w="3774" w:type="dxa"/>
          </w:tcPr>
          <w:p w14:paraId="39457019" w14:textId="77777777" w:rsidR="0035307C" w:rsidRDefault="0035307C"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74CD31EC" w14:textId="77777777" w:rsidR="007373CE" w:rsidRDefault="007373CE"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2903AE27" w14:textId="62410E44"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r>
              <w:t>Agree</w:t>
            </w:r>
          </w:p>
          <w:p w14:paraId="0D3CCBD6" w14:textId="77777777" w:rsidR="00AF06CB" w:rsidRPr="00150A12"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70649706"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rPr>
                <w:rFonts w:ascii="Franklin Gothic Demi" w:eastAsia="Times New Roman" w:hAnsi="Franklin Gothic Demi"/>
                <w:color w:val="041F60"/>
                <w:sz w:val="24"/>
                <w:szCs w:val="28"/>
              </w:rPr>
            </w:pPr>
          </w:p>
          <w:p w14:paraId="2AEF052B" w14:textId="77777777" w:rsidR="0035307C" w:rsidRDefault="0035307C" w:rsidP="00AF06CB">
            <w:pPr>
              <w:cnfStyle w:val="000000000000" w:firstRow="0" w:lastRow="0" w:firstColumn="0" w:lastColumn="0" w:oddVBand="0" w:evenVBand="0" w:oddHBand="0" w:evenHBand="0" w:firstRowFirstColumn="0" w:firstRowLastColumn="0" w:lastRowFirstColumn="0" w:lastRowLastColumn="0"/>
            </w:pPr>
          </w:p>
          <w:p w14:paraId="5E02A98E" w14:textId="2EA60529" w:rsidR="00AF06CB" w:rsidRDefault="00AF06CB" w:rsidP="00AF06CB">
            <w:pPr>
              <w:cnfStyle w:val="000000000000" w:firstRow="0" w:lastRow="0" w:firstColumn="0" w:lastColumn="0" w:oddVBand="0" w:evenVBand="0" w:oddHBand="0" w:evenHBand="0" w:firstRowFirstColumn="0" w:firstRowLastColumn="0" w:lastRowFirstColumn="0" w:lastRowLastColumn="0"/>
            </w:pPr>
            <w:r>
              <w:t>Agree</w:t>
            </w:r>
          </w:p>
          <w:p w14:paraId="272F877A"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656D1375"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2FFF6528" w14:textId="77777777" w:rsidR="002C69C6" w:rsidRDefault="002C69C6" w:rsidP="00AF06CB">
            <w:pPr>
              <w:cnfStyle w:val="000000000000" w:firstRow="0" w:lastRow="0" w:firstColumn="0" w:lastColumn="0" w:oddVBand="0" w:evenVBand="0" w:oddHBand="0" w:evenHBand="0" w:firstRowFirstColumn="0" w:firstRowLastColumn="0" w:lastRowFirstColumn="0" w:lastRowLastColumn="0"/>
            </w:pPr>
          </w:p>
          <w:p w14:paraId="24905BED" w14:textId="220B8BD0" w:rsidR="00AF06CB" w:rsidRDefault="00AF06CB" w:rsidP="00AF06CB">
            <w:pPr>
              <w:cnfStyle w:val="000000000000" w:firstRow="0" w:lastRow="0" w:firstColumn="0" w:lastColumn="0" w:oddVBand="0" w:evenVBand="0" w:oddHBand="0" w:evenHBand="0" w:firstRowFirstColumn="0" w:firstRowLastColumn="0" w:lastRowFirstColumn="0" w:lastRowLastColumn="0"/>
            </w:pPr>
            <w:r>
              <w:t>Agree</w:t>
            </w:r>
          </w:p>
          <w:p w14:paraId="51236691"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5622AFDA"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555A1056" w14:textId="77777777" w:rsidR="002C69C6" w:rsidRDefault="002C69C6" w:rsidP="00AF06CB">
            <w:pPr>
              <w:cnfStyle w:val="000000000000" w:firstRow="0" w:lastRow="0" w:firstColumn="0" w:lastColumn="0" w:oddVBand="0" w:evenVBand="0" w:oddHBand="0" w:evenHBand="0" w:firstRowFirstColumn="0" w:firstRowLastColumn="0" w:lastRowFirstColumn="0" w:lastRowLastColumn="0"/>
            </w:pPr>
          </w:p>
          <w:p w14:paraId="3A9606EB" w14:textId="77777777" w:rsidR="002C69C6" w:rsidRDefault="002C69C6" w:rsidP="00AF06CB">
            <w:pPr>
              <w:cnfStyle w:val="000000000000" w:firstRow="0" w:lastRow="0" w:firstColumn="0" w:lastColumn="0" w:oddVBand="0" w:evenVBand="0" w:oddHBand="0" w:evenHBand="0" w:firstRowFirstColumn="0" w:firstRowLastColumn="0" w:lastRowFirstColumn="0" w:lastRowLastColumn="0"/>
            </w:pPr>
          </w:p>
          <w:p w14:paraId="6B5A7315" w14:textId="77777777" w:rsidR="00031368" w:rsidRDefault="00031368" w:rsidP="00AF06CB">
            <w:pPr>
              <w:cnfStyle w:val="000000000000" w:firstRow="0" w:lastRow="0" w:firstColumn="0" w:lastColumn="0" w:oddVBand="0" w:evenVBand="0" w:oddHBand="0" w:evenHBand="0" w:firstRowFirstColumn="0" w:firstRowLastColumn="0" w:lastRowFirstColumn="0" w:lastRowLastColumn="0"/>
            </w:pPr>
          </w:p>
          <w:p w14:paraId="0BC11C9C" w14:textId="24D71C03" w:rsidR="00AF06CB" w:rsidRDefault="00AF06CB" w:rsidP="00AF06CB">
            <w:pPr>
              <w:cnfStyle w:val="000000000000" w:firstRow="0" w:lastRow="0" w:firstColumn="0" w:lastColumn="0" w:oddVBand="0" w:evenVBand="0" w:oddHBand="0" w:evenHBand="0" w:firstRowFirstColumn="0" w:firstRowLastColumn="0" w:lastRowFirstColumn="0" w:lastRowLastColumn="0"/>
            </w:pPr>
            <w:r>
              <w:t>Agree</w:t>
            </w:r>
          </w:p>
          <w:p w14:paraId="0A733B0E" w14:textId="54F613A5"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7F5C717C" w14:textId="77777777" w:rsidR="007373CE" w:rsidRDefault="007373CE" w:rsidP="00AF06CB">
            <w:pPr>
              <w:cnfStyle w:val="000000000000" w:firstRow="0" w:lastRow="0" w:firstColumn="0" w:lastColumn="0" w:oddVBand="0" w:evenVBand="0" w:oddHBand="0" w:evenHBand="0" w:firstRowFirstColumn="0" w:firstRowLastColumn="0" w:lastRowFirstColumn="0" w:lastRowLastColumn="0"/>
            </w:pPr>
          </w:p>
          <w:p w14:paraId="0BE03A1F" w14:textId="4BB40A25" w:rsidR="004C1D51" w:rsidRDefault="00AF06CB" w:rsidP="007373CE">
            <w:pPr>
              <w:spacing w:after="0"/>
              <w:cnfStyle w:val="000000000000" w:firstRow="0" w:lastRow="0" w:firstColumn="0" w:lastColumn="0" w:oddVBand="0" w:evenVBand="0" w:oddHBand="0" w:evenHBand="0" w:firstRowFirstColumn="0" w:firstRowLastColumn="0" w:lastRowFirstColumn="0" w:lastRowLastColumn="0"/>
            </w:pPr>
            <w:r>
              <w:t>Partially agree.  Midwifery PTI currently have final say on enrolment. PTI to be consulted to clarify the process.</w:t>
            </w:r>
          </w:p>
          <w:p w14:paraId="253DBF2A" w14:textId="77777777" w:rsidR="004C1D51" w:rsidRDefault="004C1D51" w:rsidP="00AF06CB">
            <w:pPr>
              <w:cnfStyle w:val="000000000000" w:firstRow="0" w:lastRow="0" w:firstColumn="0" w:lastColumn="0" w:oddVBand="0" w:evenVBand="0" w:oddHBand="0" w:evenHBand="0" w:firstRowFirstColumn="0" w:firstRowLastColumn="0" w:lastRowFirstColumn="0" w:lastRowLastColumn="0"/>
            </w:pPr>
          </w:p>
          <w:p w14:paraId="5B97DE8E" w14:textId="61F0D126" w:rsidR="00AF06CB" w:rsidRDefault="00AF06CB" w:rsidP="00AF06CB">
            <w:pPr>
              <w:cnfStyle w:val="000000000000" w:firstRow="0" w:lastRow="0" w:firstColumn="0" w:lastColumn="0" w:oddVBand="0" w:evenVBand="0" w:oddHBand="0" w:evenHBand="0" w:firstRowFirstColumn="0" w:firstRowLastColumn="0" w:lastRowFirstColumn="0" w:lastRowLastColumn="0"/>
            </w:pPr>
            <w:r>
              <w:lastRenderedPageBreak/>
              <w:t>Agree</w:t>
            </w:r>
          </w:p>
          <w:p w14:paraId="274C7308" w14:textId="77777777" w:rsidR="002C69C6" w:rsidRDefault="002C69C6" w:rsidP="00AF06CB">
            <w:pPr>
              <w:cnfStyle w:val="000000000000" w:firstRow="0" w:lastRow="0" w:firstColumn="0" w:lastColumn="0" w:oddVBand="0" w:evenVBand="0" w:oddHBand="0" w:evenHBand="0" w:firstRowFirstColumn="0" w:firstRowLastColumn="0" w:lastRowFirstColumn="0" w:lastRowLastColumn="0"/>
            </w:pPr>
          </w:p>
          <w:p w14:paraId="512DE71D" w14:textId="77777777" w:rsidR="00031368" w:rsidRDefault="00031368" w:rsidP="00AF06CB">
            <w:pPr>
              <w:cnfStyle w:val="000000000000" w:firstRow="0" w:lastRow="0" w:firstColumn="0" w:lastColumn="0" w:oddVBand="0" w:evenVBand="0" w:oddHBand="0" w:evenHBand="0" w:firstRowFirstColumn="0" w:firstRowLastColumn="0" w:lastRowFirstColumn="0" w:lastRowLastColumn="0"/>
            </w:pPr>
          </w:p>
          <w:p w14:paraId="1803DAB9" w14:textId="77777777" w:rsidR="00F62462" w:rsidRDefault="00F62462" w:rsidP="00AF06CB">
            <w:pPr>
              <w:cnfStyle w:val="000000000000" w:firstRow="0" w:lastRow="0" w:firstColumn="0" w:lastColumn="0" w:oddVBand="0" w:evenVBand="0" w:oddHBand="0" w:evenHBand="0" w:firstRowFirstColumn="0" w:firstRowLastColumn="0" w:lastRowFirstColumn="0" w:lastRowLastColumn="0"/>
            </w:pPr>
          </w:p>
          <w:p w14:paraId="3549D2B7" w14:textId="0F6E5D74" w:rsidR="00AF06CB" w:rsidRDefault="00AF06CB" w:rsidP="00AF06CB">
            <w:pPr>
              <w:cnfStyle w:val="000000000000" w:firstRow="0" w:lastRow="0" w:firstColumn="0" w:lastColumn="0" w:oddVBand="0" w:evenVBand="0" w:oddHBand="0" w:evenHBand="0" w:firstRowFirstColumn="0" w:firstRowLastColumn="0" w:lastRowFirstColumn="0" w:lastRowLastColumn="0"/>
            </w:pPr>
            <w:r>
              <w:t>Agree</w:t>
            </w:r>
          </w:p>
          <w:p w14:paraId="6C2587ED"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76DC79F1" w14:textId="139C95F6" w:rsidR="00AF06CB" w:rsidRDefault="00AF06CB" w:rsidP="00AF06CB">
            <w:pPr>
              <w:cnfStyle w:val="000000000000" w:firstRow="0" w:lastRow="0" w:firstColumn="0" w:lastColumn="0" w:oddVBand="0" w:evenVBand="0" w:oddHBand="0" w:evenHBand="0" w:firstRowFirstColumn="0" w:firstRowLastColumn="0" w:lastRowFirstColumn="0" w:lastRowLastColumn="0"/>
            </w:pPr>
            <w:bookmarkStart w:id="3" w:name="_Hlk88560056"/>
            <w:r>
              <w:t>Partially agree.</w:t>
            </w:r>
            <w:r w:rsidR="00473702">
              <w:t xml:space="preserve"> Will assess need for creating new FSV referral pathways, and connection to existing providers</w:t>
            </w:r>
            <w:r w:rsidR="00E16287">
              <w:t>.</w:t>
            </w:r>
          </w:p>
          <w:bookmarkEnd w:id="3"/>
          <w:p w14:paraId="033F13A8"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369AA1E8" w14:textId="77777777" w:rsidR="002C69C6" w:rsidRDefault="002C69C6" w:rsidP="00AF06CB">
            <w:pPr>
              <w:cnfStyle w:val="000000000000" w:firstRow="0" w:lastRow="0" w:firstColumn="0" w:lastColumn="0" w:oddVBand="0" w:evenVBand="0" w:oddHBand="0" w:evenHBand="0" w:firstRowFirstColumn="0" w:firstRowLastColumn="0" w:lastRowFirstColumn="0" w:lastRowLastColumn="0"/>
            </w:pPr>
          </w:p>
          <w:p w14:paraId="25E1C64F" w14:textId="24AC0B92" w:rsidR="00AF06CB" w:rsidRDefault="00AF06CB" w:rsidP="00AF06CB">
            <w:pPr>
              <w:cnfStyle w:val="000000000000" w:firstRow="0" w:lastRow="0" w:firstColumn="0" w:lastColumn="0" w:oddVBand="0" w:evenVBand="0" w:oddHBand="0" w:evenHBand="0" w:firstRowFirstColumn="0" w:firstRowLastColumn="0" w:lastRowFirstColumn="0" w:lastRowLastColumn="0"/>
            </w:pPr>
            <w:r>
              <w:t>Partially agree.</w:t>
            </w:r>
          </w:p>
          <w:p w14:paraId="618199F8" w14:textId="604698B8" w:rsidR="00AF06CB" w:rsidRDefault="00AF06CB" w:rsidP="00AF06CB">
            <w:pPr>
              <w:cnfStyle w:val="000000000000" w:firstRow="0" w:lastRow="0" w:firstColumn="0" w:lastColumn="0" w:oddVBand="0" w:evenVBand="0" w:oddHBand="0" w:evenHBand="0" w:firstRowFirstColumn="0" w:firstRowLastColumn="0" w:lastRowFirstColumn="0" w:lastRowLastColumn="0"/>
            </w:pPr>
            <w:r>
              <w:t xml:space="preserve">The </w:t>
            </w:r>
            <w:proofErr w:type="spellStart"/>
            <w:r>
              <w:t>G</w:t>
            </w:r>
            <w:r w:rsidR="000104DE">
              <w:t>o</w:t>
            </w:r>
            <w:r>
              <w:t>PNG</w:t>
            </w:r>
            <w:proofErr w:type="spellEnd"/>
            <w:r>
              <w:t xml:space="preserve"> to be consulted on proposed changes for Public Sector awardees.</w:t>
            </w:r>
          </w:p>
          <w:p w14:paraId="43FCA4B2"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4E472631" w14:textId="77777777" w:rsidR="00AF06CB" w:rsidRDefault="00AF06CB" w:rsidP="00AF06CB">
            <w:pPr>
              <w:cnfStyle w:val="000000000000" w:firstRow="0" w:lastRow="0" w:firstColumn="0" w:lastColumn="0" w:oddVBand="0" w:evenVBand="0" w:oddHBand="0" w:evenHBand="0" w:firstRowFirstColumn="0" w:firstRowLastColumn="0" w:lastRowFirstColumn="0" w:lastRowLastColumn="0"/>
            </w:pPr>
          </w:p>
          <w:p w14:paraId="7B3BC9DD" w14:textId="77777777" w:rsidR="002C69C6" w:rsidRDefault="002C69C6"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533828D8" w14:textId="77777777" w:rsidR="007373CE" w:rsidRDefault="007373CE"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4A6F7BBB" w14:textId="77777777" w:rsidR="00550049" w:rsidRDefault="00550049"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2278230C" w14:textId="683EC098" w:rsidR="00AF06CB" w:rsidRPr="00C2467E"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r>
              <w:t>Agree</w:t>
            </w:r>
          </w:p>
        </w:tc>
        <w:tc>
          <w:tcPr>
            <w:tcW w:w="2609" w:type="dxa"/>
          </w:tcPr>
          <w:p w14:paraId="029E5797" w14:textId="77777777" w:rsidR="00031368" w:rsidRDefault="00031368"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153BE74E" w14:textId="77777777" w:rsidR="00031368" w:rsidRDefault="00031368"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4861201A" w14:textId="0AD41225" w:rsidR="00AF06CB" w:rsidRPr="00AF06CB" w:rsidRDefault="00380A79" w:rsidP="00AF06CB">
            <w:pPr>
              <w:spacing w:after="0" w:line="264" w:lineRule="auto"/>
              <w:cnfStyle w:val="000000000000" w:firstRow="0" w:lastRow="0" w:firstColumn="0" w:lastColumn="0" w:oddVBand="0" w:evenVBand="0" w:oddHBand="0" w:evenHBand="0" w:firstRowFirstColumn="0" w:firstRowLastColumn="0" w:lastRowFirstColumn="0" w:lastRowLastColumn="0"/>
            </w:pPr>
            <w:r>
              <w:t>I</w:t>
            </w:r>
            <w:r w:rsidR="00AF06CB">
              <w:t xml:space="preserve">nclude in </w:t>
            </w:r>
            <w:r w:rsidR="004C1D51">
              <w:t xml:space="preserve">the </w:t>
            </w:r>
            <w:r w:rsidR="00AF06CB">
              <w:t>Annual Plan for 2022</w:t>
            </w:r>
            <w:r w:rsidR="00031368">
              <w:t>-</w:t>
            </w:r>
            <w:r w:rsidR="00AF06CB">
              <w:t>23.</w:t>
            </w:r>
          </w:p>
          <w:p w14:paraId="511967C0"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56AE1694"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6FA4FFD5" w14:textId="4C16DB3E" w:rsidR="00AF06CB" w:rsidRPr="00AF06CB" w:rsidRDefault="00031568" w:rsidP="00AF06CB">
            <w:pPr>
              <w:spacing w:after="0" w:line="264" w:lineRule="auto"/>
              <w:cnfStyle w:val="000000000000" w:firstRow="0" w:lastRow="0" w:firstColumn="0" w:lastColumn="0" w:oddVBand="0" w:evenVBand="0" w:oddHBand="0" w:evenHBand="0" w:firstRowFirstColumn="0" w:firstRowLastColumn="0" w:lastRowFirstColumn="0" w:lastRowLastColumn="0"/>
            </w:pPr>
            <w:r>
              <w:t>To be completed</w:t>
            </w:r>
            <w:r w:rsidR="00AF06CB">
              <w:t xml:space="preserve"> January 2022.</w:t>
            </w:r>
          </w:p>
          <w:p w14:paraId="27F786F1"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7096FF9D" w14:textId="77777777" w:rsidR="007373CE" w:rsidRDefault="007373CE"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55972FE2" w14:textId="3E0F6B5F" w:rsidR="00AF06CB" w:rsidRPr="00AF06CB" w:rsidRDefault="004C1D51" w:rsidP="00AF06CB">
            <w:pPr>
              <w:spacing w:after="0" w:line="264" w:lineRule="auto"/>
              <w:cnfStyle w:val="000000000000" w:firstRow="0" w:lastRow="0" w:firstColumn="0" w:lastColumn="0" w:oddVBand="0" w:evenVBand="0" w:oddHBand="0" w:evenHBand="0" w:firstRowFirstColumn="0" w:firstRowLastColumn="0" w:lastRowFirstColumn="0" w:lastRowLastColumn="0"/>
            </w:pPr>
            <w:r>
              <w:t>To commence in 2022.</w:t>
            </w:r>
          </w:p>
          <w:p w14:paraId="2414E1B9"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502429E8"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16688FDC"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6DE72983" w14:textId="77777777" w:rsidR="00031368" w:rsidRDefault="00031368"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4C5AC69C" w14:textId="77777777" w:rsidR="004C1D51" w:rsidRPr="00AF06CB" w:rsidRDefault="004C1D51" w:rsidP="004C1D51">
            <w:pPr>
              <w:spacing w:after="0" w:line="264" w:lineRule="auto"/>
              <w:cnfStyle w:val="000000000000" w:firstRow="0" w:lastRow="0" w:firstColumn="0" w:lastColumn="0" w:oddVBand="0" w:evenVBand="0" w:oddHBand="0" w:evenHBand="0" w:firstRowFirstColumn="0" w:firstRowLastColumn="0" w:lastRowFirstColumn="0" w:lastRowLastColumn="0"/>
            </w:pPr>
            <w:r>
              <w:t>To commence in 2022.</w:t>
            </w:r>
          </w:p>
          <w:p w14:paraId="4094B4A0"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0B99F2E2" w14:textId="77777777" w:rsidR="00031368" w:rsidRDefault="00031368"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400AA1BB" w14:textId="77777777" w:rsidR="004C1D51" w:rsidRPr="00AF06CB" w:rsidRDefault="004C1D51" w:rsidP="004C1D51">
            <w:pPr>
              <w:spacing w:after="0" w:line="264" w:lineRule="auto"/>
              <w:cnfStyle w:val="000000000000" w:firstRow="0" w:lastRow="0" w:firstColumn="0" w:lastColumn="0" w:oddVBand="0" w:evenVBand="0" w:oddHBand="0" w:evenHBand="0" w:firstRowFirstColumn="0" w:firstRowLastColumn="0" w:lastRowFirstColumn="0" w:lastRowLastColumn="0"/>
            </w:pPr>
            <w:r>
              <w:t>To commence in 2022.</w:t>
            </w:r>
          </w:p>
          <w:p w14:paraId="6E628ACC"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5573A088"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49A3917D" w14:textId="77777777" w:rsidR="004C1D51" w:rsidRDefault="004C1D51"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50C4EACC" w14:textId="104520A7" w:rsidR="00AF06CB" w:rsidRPr="00AF06CB" w:rsidRDefault="000104DE" w:rsidP="00AF06CB">
            <w:pPr>
              <w:spacing w:after="0" w:line="264" w:lineRule="auto"/>
              <w:cnfStyle w:val="000000000000" w:firstRow="0" w:lastRow="0" w:firstColumn="0" w:lastColumn="0" w:oddVBand="0" w:evenVBand="0" w:oddHBand="0" w:evenHBand="0" w:firstRowFirstColumn="0" w:firstRowLastColumn="0" w:lastRowFirstColumn="0" w:lastRowLastColumn="0"/>
            </w:pPr>
            <w:r>
              <w:lastRenderedPageBreak/>
              <w:t>R</w:t>
            </w:r>
            <w:r w:rsidR="00AF06CB">
              <w:t>eview</w:t>
            </w:r>
            <w:r>
              <w:t xml:space="preserve"> to</w:t>
            </w:r>
            <w:r w:rsidR="00AF06CB">
              <w:t xml:space="preserve"> be undertaken </w:t>
            </w:r>
            <w:r w:rsidR="004C1D51">
              <w:t xml:space="preserve">in the </w:t>
            </w:r>
            <w:r w:rsidR="00AF06CB">
              <w:t xml:space="preserve">first quarter </w:t>
            </w:r>
            <w:r w:rsidR="004C1D51">
              <w:t xml:space="preserve">of </w:t>
            </w:r>
            <w:r w:rsidR="00AF06CB">
              <w:t>2022.</w:t>
            </w:r>
          </w:p>
          <w:p w14:paraId="2D707B23"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1BFD146D" w14:textId="2CD2A272"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r>
              <w:t>To be included in service orders with PTIs in 2022.</w:t>
            </w:r>
          </w:p>
          <w:p w14:paraId="57055D08"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03CEE808"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33A83281"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56A65029"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455E11CE"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1119E001" w14:textId="6B1FA350"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r>
              <w:t xml:space="preserve">To be considered by </w:t>
            </w:r>
            <w:r w:rsidR="004C1D51">
              <w:t>the Joint Steering Committee in</w:t>
            </w:r>
            <w:r>
              <w:t xml:space="preserve"> 2022.</w:t>
            </w:r>
          </w:p>
          <w:p w14:paraId="28B33D96"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7F4E784F"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006A6038"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0BF9FF04"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10B8F88D" w14:textId="77777777"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41EC8794" w14:textId="6656A10B" w:rsidR="00AF06CB" w:rsidRPr="00C2467E"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r>
              <w:t>To be included in</w:t>
            </w:r>
            <w:r w:rsidR="004C1D51">
              <w:t xml:space="preserve"> the</w:t>
            </w:r>
            <w:r>
              <w:t xml:space="preserve"> Annual Plan for 2022</w:t>
            </w:r>
          </w:p>
        </w:tc>
      </w:tr>
      <w:bookmarkEnd w:id="1"/>
    </w:tbl>
    <w:p w14:paraId="64D8F2DE" w14:textId="43875703" w:rsidR="00C37FFA" w:rsidRDefault="00C37FFA" w:rsidP="00C37FFA">
      <w:pPr>
        <w:spacing w:after="0" w:line="120" w:lineRule="auto"/>
      </w:pPr>
    </w:p>
    <w:p w14:paraId="06173EDA" w14:textId="5745BC6F" w:rsidR="0065468D" w:rsidRDefault="0065468D" w:rsidP="00C37FFA">
      <w:pPr>
        <w:spacing w:after="0" w:line="120" w:lineRule="auto"/>
      </w:pPr>
    </w:p>
    <w:p w14:paraId="0E617DAD" w14:textId="77777777" w:rsidR="00031368" w:rsidRDefault="00031368" w:rsidP="00C37FFA">
      <w:pPr>
        <w:spacing w:after="0" w:line="276" w:lineRule="auto"/>
        <w:rPr>
          <w:b/>
          <w:bCs/>
          <w:sz w:val="24"/>
          <w:szCs w:val="24"/>
        </w:rPr>
      </w:pPr>
    </w:p>
    <w:p w14:paraId="71EA2110" w14:textId="67C51272" w:rsidR="00C37FFA" w:rsidRDefault="00C37FFA" w:rsidP="00C37FFA">
      <w:pPr>
        <w:spacing w:after="0" w:line="276" w:lineRule="auto"/>
        <w:rPr>
          <w:b/>
          <w:bCs/>
          <w:sz w:val="24"/>
          <w:szCs w:val="24"/>
        </w:rPr>
      </w:pPr>
      <w:r>
        <w:rPr>
          <w:b/>
          <w:bCs/>
          <w:sz w:val="24"/>
          <w:szCs w:val="24"/>
        </w:rPr>
        <w:lastRenderedPageBreak/>
        <w:t>Recommendations f</w:t>
      </w:r>
      <w:r w:rsidRPr="00A0095D">
        <w:rPr>
          <w:b/>
          <w:bCs/>
          <w:sz w:val="24"/>
          <w:szCs w:val="24"/>
        </w:rPr>
        <w:t xml:space="preserve">or </w:t>
      </w:r>
      <w:r w:rsidR="0035307C">
        <w:rPr>
          <w:b/>
          <w:bCs/>
          <w:sz w:val="24"/>
          <w:szCs w:val="24"/>
        </w:rPr>
        <w:t>the next phase of Australia Awards PNG</w:t>
      </w:r>
    </w:p>
    <w:tbl>
      <w:tblPr>
        <w:tblStyle w:val="GridTable4-Accent1"/>
        <w:tblW w:w="14459" w:type="dxa"/>
        <w:tblLook w:val="04A0" w:firstRow="1" w:lastRow="0" w:firstColumn="1" w:lastColumn="0" w:noHBand="0" w:noVBand="1"/>
      </w:tblPr>
      <w:tblGrid>
        <w:gridCol w:w="526"/>
        <w:gridCol w:w="4446"/>
        <w:gridCol w:w="3399"/>
        <w:gridCol w:w="2550"/>
        <w:gridCol w:w="3538"/>
      </w:tblGrid>
      <w:tr w:rsidR="00AD2249" w:rsidRPr="00B6712F" w14:paraId="4982F25D" w14:textId="77777777" w:rsidTr="00AF06C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6" w:type="dxa"/>
            <w:shd w:val="clear" w:color="auto" w:fill="A2DCD1" w:themeFill="accent1" w:themeFillTint="99"/>
          </w:tcPr>
          <w:p w14:paraId="532154BD" w14:textId="77777777" w:rsidR="00A3217B" w:rsidRPr="00C2467E" w:rsidRDefault="00A3217B" w:rsidP="00A01C90">
            <w:pPr>
              <w:spacing w:after="0" w:line="264" w:lineRule="auto"/>
            </w:pPr>
            <w:r>
              <w:t>No.</w:t>
            </w:r>
          </w:p>
        </w:tc>
        <w:tc>
          <w:tcPr>
            <w:tcW w:w="4446" w:type="dxa"/>
            <w:shd w:val="clear" w:color="auto" w:fill="A2DCD1" w:themeFill="accent1" w:themeFillTint="99"/>
          </w:tcPr>
          <w:p w14:paraId="40BCA795" w14:textId="77777777" w:rsidR="00A3217B" w:rsidRPr="00C2467E"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t>SUMMARY OF KEY FINDINGS</w:t>
            </w:r>
          </w:p>
        </w:tc>
        <w:tc>
          <w:tcPr>
            <w:tcW w:w="3399" w:type="dxa"/>
            <w:shd w:val="clear" w:color="auto" w:fill="A2DCD1" w:themeFill="accent1" w:themeFillTint="99"/>
          </w:tcPr>
          <w:p w14:paraId="2075DF90" w14:textId="77777777" w:rsidR="00A3217B" w:rsidRPr="00C2467E"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t>RECOMMENDATIONS</w:t>
            </w:r>
          </w:p>
        </w:tc>
        <w:tc>
          <w:tcPr>
            <w:tcW w:w="2550" w:type="dxa"/>
            <w:shd w:val="clear" w:color="auto" w:fill="A2DCD1" w:themeFill="accent1" w:themeFillTint="99"/>
          </w:tcPr>
          <w:p w14:paraId="650E6862" w14:textId="77777777" w:rsidR="00A3217B"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rsidRPr="00B6712F">
              <w:rPr>
                <w:sz w:val="24"/>
                <w:szCs w:val="24"/>
              </w:rPr>
              <w:t>RESPONSE (AGREE/PARTIALLY AGREE/DISAGREE)</w:t>
            </w:r>
          </w:p>
        </w:tc>
        <w:tc>
          <w:tcPr>
            <w:tcW w:w="3538" w:type="dxa"/>
            <w:shd w:val="clear" w:color="auto" w:fill="A2DCD1" w:themeFill="accent1" w:themeFillTint="99"/>
          </w:tcPr>
          <w:p w14:paraId="74C765F8" w14:textId="77777777" w:rsidR="00A3217B" w:rsidRPr="00B6712F" w:rsidRDefault="00A3217B" w:rsidP="00A01C90">
            <w:pPr>
              <w:cnfStyle w:val="100000000000" w:firstRow="1" w:lastRow="0" w:firstColumn="0" w:lastColumn="0" w:oddVBand="0" w:evenVBand="0" w:oddHBand="0" w:evenHBand="0" w:firstRowFirstColumn="0" w:firstRowLastColumn="0" w:lastRowFirstColumn="0" w:lastRowLastColumn="0"/>
              <w:rPr>
                <w:sz w:val="24"/>
                <w:szCs w:val="24"/>
              </w:rPr>
            </w:pPr>
            <w:r w:rsidRPr="00B6712F">
              <w:rPr>
                <w:sz w:val="24"/>
                <w:szCs w:val="24"/>
              </w:rPr>
              <w:t>ACTION PLAN AND TIMEFRAME</w:t>
            </w:r>
          </w:p>
          <w:p w14:paraId="2D2041A4" w14:textId="5BF0B8F3" w:rsidR="00A3217B" w:rsidRPr="00B6712F"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031368" w:rsidRPr="00B01D45" w14:paraId="3A38B195" w14:textId="77777777" w:rsidTr="003530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6" w:type="dxa"/>
          </w:tcPr>
          <w:p w14:paraId="08F0E6A1" w14:textId="28F2514F" w:rsidR="00031368" w:rsidRPr="00031368" w:rsidRDefault="00031368" w:rsidP="00031368">
            <w:pPr>
              <w:spacing w:after="0" w:line="264" w:lineRule="auto"/>
              <w:rPr>
                <w:lang w:val="en-AU"/>
              </w:rPr>
            </w:pPr>
            <w:r w:rsidRPr="00031368">
              <w:rPr>
                <w:lang w:val="en-AU"/>
              </w:rPr>
              <w:t>3</w:t>
            </w:r>
          </w:p>
        </w:tc>
        <w:tc>
          <w:tcPr>
            <w:tcW w:w="4446" w:type="dxa"/>
          </w:tcPr>
          <w:p w14:paraId="661C6651" w14:textId="2E1A4557" w:rsidR="00031368" w:rsidRPr="00031368" w:rsidRDefault="00031368" w:rsidP="00031368">
            <w:pPr>
              <w:spacing w:after="0" w:line="264" w:lineRule="auto"/>
              <w:cnfStyle w:val="000000100000" w:firstRow="0" w:lastRow="0" w:firstColumn="0" w:lastColumn="0" w:oddVBand="0" w:evenVBand="0" w:oddHBand="1" w:evenHBand="0" w:firstRowFirstColumn="0" w:firstRowLastColumn="0" w:lastRowFirstColumn="0" w:lastRowLastColumn="0"/>
              <w:rPr>
                <w:i/>
                <w:iCs/>
                <w:lang w:val="en-AU"/>
              </w:rPr>
            </w:pPr>
            <w:r w:rsidRPr="00031368">
              <w:rPr>
                <w:i/>
                <w:iCs/>
                <w:lang w:val="en-AU"/>
              </w:rPr>
              <w:t>The program focuses on six priority areas. A more targeted approach would involve selecting one or two of these priority areas, and identifying key workforce gaps within these areas, such as S</w:t>
            </w:r>
            <w:r w:rsidR="00A537B2">
              <w:rPr>
                <w:i/>
                <w:iCs/>
                <w:lang w:val="en-AU"/>
              </w:rPr>
              <w:t xml:space="preserve">cience, </w:t>
            </w:r>
            <w:r w:rsidRPr="00031368">
              <w:rPr>
                <w:i/>
                <w:iCs/>
                <w:lang w:val="en-AU"/>
              </w:rPr>
              <w:t>T</w:t>
            </w:r>
            <w:r w:rsidR="00A537B2">
              <w:rPr>
                <w:i/>
                <w:iCs/>
                <w:lang w:val="en-AU"/>
              </w:rPr>
              <w:t xml:space="preserve">echnology, </w:t>
            </w:r>
            <w:r w:rsidRPr="00031368">
              <w:rPr>
                <w:i/>
                <w:iCs/>
                <w:lang w:val="en-AU"/>
              </w:rPr>
              <w:t>E</w:t>
            </w:r>
            <w:r w:rsidR="00A537B2">
              <w:rPr>
                <w:i/>
                <w:iCs/>
                <w:lang w:val="en-AU"/>
              </w:rPr>
              <w:t xml:space="preserve">ngineering and </w:t>
            </w:r>
            <w:r w:rsidRPr="00031368">
              <w:rPr>
                <w:i/>
                <w:iCs/>
                <w:lang w:val="en-AU"/>
              </w:rPr>
              <w:t>M</w:t>
            </w:r>
            <w:r w:rsidR="00A537B2">
              <w:rPr>
                <w:i/>
                <w:iCs/>
                <w:lang w:val="en-AU"/>
              </w:rPr>
              <w:t>athematics (STEM)</w:t>
            </w:r>
            <w:r w:rsidRPr="00031368">
              <w:rPr>
                <w:i/>
                <w:iCs/>
                <w:lang w:val="en-AU"/>
              </w:rPr>
              <w:t xml:space="preserve"> within education. </w:t>
            </w:r>
          </w:p>
        </w:tc>
        <w:tc>
          <w:tcPr>
            <w:tcW w:w="3399" w:type="dxa"/>
          </w:tcPr>
          <w:p w14:paraId="6960DE32" w14:textId="066F0AF6" w:rsidR="00031368" w:rsidRPr="00AF06CB" w:rsidRDefault="00031368" w:rsidP="00031368">
            <w:pPr>
              <w:spacing w:after="0" w:line="264" w:lineRule="auto"/>
              <w:cnfStyle w:val="000000100000" w:firstRow="0" w:lastRow="0" w:firstColumn="0" w:lastColumn="0" w:oddVBand="0" w:evenVBand="0" w:oddHBand="1" w:evenHBand="0" w:firstRowFirstColumn="0" w:firstRowLastColumn="0" w:lastRowFirstColumn="0" w:lastRowLastColumn="0"/>
              <w:rPr>
                <w:lang w:val="en-AU"/>
              </w:rPr>
            </w:pPr>
            <w:r w:rsidRPr="00031368">
              <w:rPr>
                <w:lang w:val="en-AU"/>
              </w:rPr>
              <w:t xml:space="preserve">Partly focus on a small set of workforce gaps: </w:t>
            </w:r>
            <w:r w:rsidR="00A537B2">
              <w:rPr>
                <w:lang w:val="en-AU"/>
              </w:rPr>
              <w:t>t</w:t>
            </w:r>
            <w:r w:rsidRPr="00031368">
              <w:rPr>
                <w:lang w:val="en-AU"/>
              </w:rPr>
              <w:t xml:space="preserve">o maximise the program’s impact, a successor program could focus part of its support on a small set of specific </w:t>
            </w:r>
            <w:proofErr w:type="spellStart"/>
            <w:r w:rsidR="00A537B2">
              <w:rPr>
                <w:lang w:val="en-AU"/>
              </w:rPr>
              <w:t>Go</w:t>
            </w:r>
            <w:r w:rsidRPr="00031368">
              <w:rPr>
                <w:lang w:val="en-AU"/>
              </w:rPr>
              <w:t>PNG</w:t>
            </w:r>
            <w:proofErr w:type="spellEnd"/>
            <w:r w:rsidRPr="00031368">
              <w:rPr>
                <w:lang w:val="en-AU"/>
              </w:rPr>
              <w:t xml:space="preserve"> workforce gaps.</w:t>
            </w:r>
          </w:p>
        </w:tc>
        <w:tc>
          <w:tcPr>
            <w:tcW w:w="2550" w:type="dxa"/>
          </w:tcPr>
          <w:p w14:paraId="44391B86" w14:textId="0B7424FC" w:rsidR="00031368" w:rsidRPr="00C2467E" w:rsidRDefault="00031368" w:rsidP="00031368">
            <w:pPr>
              <w:spacing w:after="0" w:line="264" w:lineRule="auto"/>
              <w:cnfStyle w:val="000000100000" w:firstRow="0" w:lastRow="0" w:firstColumn="0" w:lastColumn="0" w:oddVBand="0" w:evenVBand="0" w:oddHBand="1" w:evenHBand="0" w:firstRowFirstColumn="0" w:firstRowLastColumn="0" w:lastRowFirstColumn="0" w:lastRowLastColumn="0"/>
            </w:pPr>
            <w:r>
              <w:t xml:space="preserve">Agree      </w:t>
            </w:r>
          </w:p>
        </w:tc>
        <w:tc>
          <w:tcPr>
            <w:tcW w:w="3538" w:type="dxa"/>
          </w:tcPr>
          <w:p w14:paraId="5DE1CB14" w14:textId="2369780E" w:rsidR="00031368" w:rsidRPr="00C2467E" w:rsidRDefault="00031368" w:rsidP="00031368">
            <w:pPr>
              <w:spacing w:after="0" w:line="264" w:lineRule="auto"/>
              <w:cnfStyle w:val="000000100000" w:firstRow="0" w:lastRow="0" w:firstColumn="0" w:lastColumn="0" w:oddVBand="0" w:evenVBand="0" w:oddHBand="1" w:evenHBand="0" w:firstRowFirstColumn="0" w:firstRowLastColumn="0" w:lastRowFirstColumn="0" w:lastRowLastColumn="0"/>
            </w:pPr>
            <w:r>
              <w:t xml:space="preserve">This will be included in the terms of reference for the design of the next phase.          </w:t>
            </w:r>
          </w:p>
        </w:tc>
      </w:tr>
      <w:tr w:rsidR="001A52D9" w:rsidRPr="00B01D45" w14:paraId="159403C5" w14:textId="77777777" w:rsidTr="00031368">
        <w:trPr>
          <w:trHeight w:val="20"/>
        </w:trPr>
        <w:tc>
          <w:tcPr>
            <w:cnfStyle w:val="001000000000" w:firstRow="0" w:lastRow="0" w:firstColumn="1" w:lastColumn="0" w:oddVBand="0" w:evenVBand="0" w:oddHBand="0" w:evenHBand="0" w:firstRowFirstColumn="0" w:firstRowLastColumn="0" w:lastRowFirstColumn="0" w:lastRowLastColumn="0"/>
            <w:tcW w:w="526" w:type="dxa"/>
          </w:tcPr>
          <w:p w14:paraId="7E4E26BC" w14:textId="2220A083" w:rsidR="001A52D9" w:rsidRPr="00C2467E" w:rsidRDefault="001A52D9" w:rsidP="001A52D9">
            <w:pPr>
              <w:spacing w:after="0" w:line="264" w:lineRule="auto"/>
            </w:pPr>
            <w:r>
              <w:t>4</w:t>
            </w:r>
          </w:p>
        </w:tc>
        <w:tc>
          <w:tcPr>
            <w:tcW w:w="4446" w:type="dxa"/>
          </w:tcPr>
          <w:p w14:paraId="5C58B720" w14:textId="51552FB0" w:rsidR="001A52D9" w:rsidRPr="001A52D9" w:rsidRDefault="001A52D9" w:rsidP="001A52D9">
            <w:pPr>
              <w:spacing w:after="0" w:line="264" w:lineRule="auto"/>
              <w:cnfStyle w:val="000000000000" w:firstRow="0" w:lastRow="0" w:firstColumn="0" w:lastColumn="0" w:oddVBand="0" w:evenVBand="0" w:oddHBand="0" w:evenHBand="0" w:firstRowFirstColumn="0" w:firstRowLastColumn="0" w:lastRowFirstColumn="0" w:lastRowLastColumn="0"/>
              <w:rPr>
                <w:i/>
                <w:iCs/>
                <w:lang w:val="en-AU"/>
              </w:rPr>
            </w:pPr>
            <w:r w:rsidRPr="00A537B2">
              <w:rPr>
                <w:i/>
                <w:iCs/>
                <w:lang w:val="en-AU"/>
              </w:rPr>
              <w:t>Cross-program coordination</w:t>
            </w:r>
            <w:r w:rsidRPr="001A52D9">
              <w:rPr>
                <w:i/>
                <w:iCs/>
                <w:lang w:val="en-AU"/>
              </w:rPr>
              <w:t>: Alumni reported key constraints to using their new knowledge and skills, including a lack of resources and organisational support.</w:t>
            </w:r>
          </w:p>
        </w:tc>
        <w:tc>
          <w:tcPr>
            <w:tcW w:w="3399" w:type="dxa"/>
          </w:tcPr>
          <w:p w14:paraId="5331FC1B" w14:textId="2AC58C71" w:rsidR="001A52D9" w:rsidRPr="0035307C" w:rsidRDefault="001A52D9" w:rsidP="001A52D9">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rPr>
            </w:pPr>
            <w:r w:rsidRPr="001A52D9">
              <w:rPr>
                <w:rFonts w:asciiTheme="minorHAnsi" w:eastAsiaTheme="minorHAnsi" w:hAnsiTheme="minorHAnsi" w:cstheme="minorBidi"/>
                <w:color w:val="495965" w:themeColor="text2"/>
                <w:lang w:val="en-GB"/>
              </w:rPr>
              <w:t>The program could partner with other development programs that may be working to strengthen the institutional capacity of organisations within priority sectors.</w:t>
            </w:r>
          </w:p>
        </w:tc>
        <w:tc>
          <w:tcPr>
            <w:tcW w:w="2550" w:type="dxa"/>
          </w:tcPr>
          <w:p w14:paraId="40705AE8" w14:textId="5123D497" w:rsidR="001A52D9" w:rsidRPr="00C2467E" w:rsidRDefault="001A52D9" w:rsidP="001A52D9">
            <w:pPr>
              <w:spacing w:after="0" w:line="264" w:lineRule="auto"/>
              <w:cnfStyle w:val="000000000000" w:firstRow="0" w:lastRow="0" w:firstColumn="0" w:lastColumn="0" w:oddVBand="0" w:evenVBand="0" w:oddHBand="0" w:evenHBand="0" w:firstRowFirstColumn="0" w:firstRowLastColumn="0" w:lastRowFirstColumn="0" w:lastRowLastColumn="0"/>
            </w:pPr>
            <w:r>
              <w:t>Agree</w:t>
            </w:r>
          </w:p>
        </w:tc>
        <w:tc>
          <w:tcPr>
            <w:tcW w:w="3538" w:type="dxa"/>
          </w:tcPr>
          <w:p w14:paraId="6CF8885B" w14:textId="0C48D3C6" w:rsidR="001A52D9" w:rsidRPr="00C2467E" w:rsidRDefault="001A52D9" w:rsidP="001A52D9">
            <w:pPr>
              <w:spacing w:after="0" w:line="264" w:lineRule="auto"/>
              <w:cnfStyle w:val="000000000000" w:firstRow="0" w:lastRow="0" w:firstColumn="0" w:lastColumn="0" w:oddVBand="0" w:evenVBand="0" w:oddHBand="0" w:evenHBand="0" w:firstRowFirstColumn="0" w:firstRowLastColumn="0" w:lastRowFirstColumn="0" w:lastRowLastColumn="0"/>
            </w:pPr>
            <w:r>
              <w:t xml:space="preserve">This will be included in the terms of reference for the design of the next phase.          </w:t>
            </w:r>
          </w:p>
        </w:tc>
      </w:tr>
      <w:tr w:rsidR="001A52D9" w:rsidRPr="00B01D45" w14:paraId="677C9E3E" w14:textId="77777777" w:rsidTr="000313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6" w:type="dxa"/>
          </w:tcPr>
          <w:p w14:paraId="2D585661" w14:textId="32CFAF3A" w:rsidR="001A52D9" w:rsidRDefault="001A52D9" w:rsidP="001A52D9">
            <w:pPr>
              <w:spacing w:after="0" w:line="264" w:lineRule="auto"/>
            </w:pPr>
            <w:r>
              <w:t>5</w:t>
            </w:r>
          </w:p>
        </w:tc>
        <w:tc>
          <w:tcPr>
            <w:tcW w:w="4446" w:type="dxa"/>
          </w:tcPr>
          <w:p w14:paraId="30F68A00" w14:textId="2A1F92C0" w:rsidR="001A52D9" w:rsidRPr="001A52D9" w:rsidRDefault="00AF06CE" w:rsidP="00247737">
            <w:pPr>
              <w:spacing w:after="0" w:line="264" w:lineRule="auto"/>
              <w:cnfStyle w:val="000000100000" w:firstRow="0" w:lastRow="0" w:firstColumn="0" w:lastColumn="0" w:oddVBand="0" w:evenVBand="0" w:oddHBand="1" w:evenHBand="0" w:firstRowFirstColumn="0" w:firstRowLastColumn="0" w:lastRowFirstColumn="0" w:lastRowLastColumn="0"/>
              <w:rPr>
                <w:b/>
                <w:bCs/>
                <w:i/>
                <w:iCs/>
                <w:lang w:val="en-AU"/>
              </w:rPr>
            </w:pPr>
            <w:r>
              <w:rPr>
                <w:i/>
                <w:iCs/>
                <w:lang w:val="en-AU"/>
              </w:rPr>
              <w:t>The management of in-PNG scholarships continues to be resource-intensive</w:t>
            </w:r>
            <w:r w:rsidR="00247737">
              <w:rPr>
                <w:i/>
                <w:iCs/>
                <w:lang w:val="en-AU"/>
              </w:rPr>
              <w:t xml:space="preserve">, and PTIs have varying degrees of capacity to manage ongoing welfare and safety risks. </w:t>
            </w:r>
          </w:p>
        </w:tc>
        <w:tc>
          <w:tcPr>
            <w:tcW w:w="3399" w:type="dxa"/>
          </w:tcPr>
          <w:p w14:paraId="376BC0F7" w14:textId="5012AC2A" w:rsidR="00AF06CE" w:rsidRDefault="001A52D9" w:rsidP="00AF06CE">
            <w:pPr>
              <w:pStyle w:val="Bulletlist1HDMES"/>
              <w:numPr>
                <w:ilvl w:val="0"/>
                <w:numId w:val="0"/>
              </w:numPr>
              <w:cnfStyle w:val="000000100000" w:firstRow="0" w:lastRow="0" w:firstColumn="0" w:lastColumn="0" w:oddVBand="0" w:evenVBand="0" w:oddHBand="1" w:evenHBand="0" w:firstRowFirstColumn="0" w:firstRowLastColumn="0" w:lastRowFirstColumn="0" w:lastRowLastColumn="0"/>
            </w:pPr>
            <w:r w:rsidRPr="001A52D9">
              <w:rPr>
                <w:rFonts w:asciiTheme="minorHAnsi" w:eastAsiaTheme="minorHAnsi" w:hAnsiTheme="minorHAnsi" w:cstheme="minorBidi"/>
                <w:color w:val="495965" w:themeColor="text2"/>
                <w:lang w:val="en-GB"/>
              </w:rPr>
              <w:t xml:space="preserve">Develop a set of criteria for selecting </w:t>
            </w:r>
            <w:r w:rsidR="00A537B2">
              <w:rPr>
                <w:rFonts w:asciiTheme="minorHAnsi" w:eastAsiaTheme="minorHAnsi" w:hAnsiTheme="minorHAnsi" w:cstheme="minorBidi"/>
                <w:color w:val="495965" w:themeColor="text2"/>
                <w:lang w:val="en-GB"/>
              </w:rPr>
              <w:t>PTI</w:t>
            </w:r>
            <w:r w:rsidRPr="001A52D9">
              <w:rPr>
                <w:rFonts w:asciiTheme="minorHAnsi" w:eastAsiaTheme="minorHAnsi" w:hAnsiTheme="minorHAnsi" w:cstheme="minorBidi"/>
                <w:color w:val="495965" w:themeColor="text2"/>
                <w:lang w:val="en-GB"/>
              </w:rPr>
              <w:t>s. These could include having a minimum acceptable level of security standards, leadership support for institutional strengthening (especially strengthening G</w:t>
            </w:r>
            <w:r w:rsidR="00A537B2">
              <w:rPr>
                <w:rFonts w:asciiTheme="minorHAnsi" w:eastAsiaTheme="minorHAnsi" w:hAnsiTheme="minorHAnsi" w:cstheme="minorBidi"/>
                <w:color w:val="495965" w:themeColor="text2"/>
                <w:lang w:val="en-GB"/>
              </w:rPr>
              <w:t xml:space="preserve">ender </w:t>
            </w:r>
            <w:r w:rsidRPr="001A52D9">
              <w:rPr>
                <w:rFonts w:asciiTheme="minorHAnsi" w:eastAsiaTheme="minorHAnsi" w:hAnsiTheme="minorHAnsi" w:cstheme="minorBidi"/>
                <w:color w:val="495965" w:themeColor="text2"/>
                <w:lang w:val="en-GB"/>
              </w:rPr>
              <w:t>E</w:t>
            </w:r>
            <w:r w:rsidR="00A537B2">
              <w:rPr>
                <w:rFonts w:asciiTheme="minorHAnsi" w:eastAsiaTheme="minorHAnsi" w:hAnsiTheme="minorHAnsi" w:cstheme="minorBidi"/>
                <w:color w:val="495965" w:themeColor="text2"/>
                <w:lang w:val="en-GB"/>
              </w:rPr>
              <w:t xml:space="preserve">quality, </w:t>
            </w:r>
            <w:r w:rsidRPr="001A52D9">
              <w:rPr>
                <w:rFonts w:asciiTheme="minorHAnsi" w:eastAsiaTheme="minorHAnsi" w:hAnsiTheme="minorHAnsi" w:cstheme="minorBidi"/>
                <w:color w:val="495965" w:themeColor="text2"/>
                <w:lang w:val="en-GB"/>
              </w:rPr>
              <w:t>D</w:t>
            </w:r>
            <w:r w:rsidR="00A537B2">
              <w:rPr>
                <w:rFonts w:asciiTheme="minorHAnsi" w:eastAsiaTheme="minorHAnsi" w:hAnsiTheme="minorHAnsi" w:cstheme="minorBidi"/>
                <w:color w:val="495965" w:themeColor="text2"/>
                <w:lang w:val="en-GB"/>
              </w:rPr>
              <w:t xml:space="preserve">isability and </w:t>
            </w:r>
            <w:r w:rsidRPr="001A52D9">
              <w:rPr>
                <w:rFonts w:asciiTheme="minorHAnsi" w:eastAsiaTheme="minorHAnsi" w:hAnsiTheme="minorHAnsi" w:cstheme="minorBidi"/>
                <w:color w:val="495965" w:themeColor="text2"/>
                <w:lang w:val="en-GB"/>
              </w:rPr>
              <w:t>S</w:t>
            </w:r>
            <w:r w:rsidR="00A537B2">
              <w:rPr>
                <w:rFonts w:asciiTheme="minorHAnsi" w:eastAsiaTheme="minorHAnsi" w:hAnsiTheme="minorHAnsi" w:cstheme="minorBidi"/>
                <w:color w:val="495965" w:themeColor="text2"/>
                <w:lang w:val="en-GB"/>
              </w:rPr>
              <w:t xml:space="preserve">ocial </w:t>
            </w:r>
            <w:r w:rsidRPr="001A52D9">
              <w:rPr>
                <w:rFonts w:asciiTheme="minorHAnsi" w:eastAsiaTheme="minorHAnsi" w:hAnsiTheme="minorHAnsi" w:cstheme="minorBidi"/>
                <w:color w:val="495965" w:themeColor="text2"/>
                <w:lang w:val="en-GB"/>
              </w:rPr>
              <w:t>I</w:t>
            </w:r>
            <w:r w:rsidR="00A537B2">
              <w:rPr>
                <w:rFonts w:asciiTheme="minorHAnsi" w:eastAsiaTheme="minorHAnsi" w:hAnsiTheme="minorHAnsi" w:cstheme="minorBidi"/>
                <w:color w:val="495965" w:themeColor="text2"/>
                <w:lang w:val="en-GB"/>
              </w:rPr>
              <w:t>nclusion</w:t>
            </w:r>
            <w:r w:rsidRPr="001A52D9">
              <w:rPr>
                <w:rFonts w:asciiTheme="minorHAnsi" w:eastAsiaTheme="minorHAnsi" w:hAnsiTheme="minorHAnsi" w:cstheme="minorBidi"/>
                <w:color w:val="495965" w:themeColor="text2"/>
                <w:lang w:val="en-GB"/>
              </w:rPr>
              <w:t xml:space="preserve"> policies), and alignment with any sectoral focus.</w:t>
            </w:r>
            <w:r w:rsidR="00AF06CE">
              <w:rPr>
                <w:rFonts w:asciiTheme="minorHAnsi" w:eastAsiaTheme="minorHAnsi" w:hAnsiTheme="minorHAnsi" w:cstheme="minorBidi"/>
                <w:color w:val="495965" w:themeColor="text2"/>
                <w:lang w:val="en-GB"/>
              </w:rPr>
              <w:t xml:space="preserve"> </w:t>
            </w:r>
            <w:r w:rsidR="00AF06CE" w:rsidRPr="00A537B2">
              <w:rPr>
                <w:rFonts w:asciiTheme="minorHAnsi" w:eastAsiaTheme="minorHAnsi" w:hAnsiTheme="minorHAnsi" w:cstheme="minorBidi"/>
                <w:color w:val="495965" w:themeColor="text2"/>
                <w:lang w:val="en-GB"/>
              </w:rPr>
              <w:t>The design team should also explore whether the current number of PTIs is appropriate.</w:t>
            </w:r>
            <w:r w:rsidR="00AF06CE">
              <w:t xml:space="preserve"> </w:t>
            </w:r>
          </w:p>
          <w:p w14:paraId="7D18F5C4" w14:textId="3BD69AF3" w:rsidR="001A52D9" w:rsidRPr="001A52D9" w:rsidRDefault="001A52D9" w:rsidP="001A52D9">
            <w:pPr>
              <w:pStyle w:val="Bulletlist1HDMES"/>
              <w:numPr>
                <w:ilvl w:val="0"/>
                <w:numId w:val="0"/>
              </w:numPr>
              <w:ind w:left="15"/>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95965" w:themeColor="text2"/>
                <w:lang w:val="en-GB"/>
              </w:rPr>
            </w:pPr>
          </w:p>
        </w:tc>
        <w:tc>
          <w:tcPr>
            <w:tcW w:w="2550" w:type="dxa"/>
          </w:tcPr>
          <w:p w14:paraId="41996341" w14:textId="4E0F53CB" w:rsidR="001A52D9" w:rsidRPr="00C2467E" w:rsidRDefault="001A52D9" w:rsidP="001A52D9">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3538" w:type="dxa"/>
          </w:tcPr>
          <w:p w14:paraId="3481829D" w14:textId="69AB82BF" w:rsidR="001A52D9" w:rsidRPr="00C2467E" w:rsidRDefault="001A52D9" w:rsidP="001A52D9">
            <w:pPr>
              <w:spacing w:after="0" w:line="264" w:lineRule="auto"/>
              <w:cnfStyle w:val="000000100000" w:firstRow="0" w:lastRow="0" w:firstColumn="0" w:lastColumn="0" w:oddVBand="0" w:evenVBand="0" w:oddHBand="1" w:evenHBand="0" w:firstRowFirstColumn="0" w:firstRowLastColumn="0" w:lastRowFirstColumn="0" w:lastRowLastColumn="0"/>
            </w:pPr>
            <w:r>
              <w:t xml:space="preserve">This will be included in the terms of reference for the design of the next phase.          </w:t>
            </w:r>
          </w:p>
        </w:tc>
      </w:tr>
      <w:tr w:rsidR="001A52D9" w:rsidRPr="001A52D9" w14:paraId="1CDEC3C2" w14:textId="77777777" w:rsidTr="00031368">
        <w:trPr>
          <w:trHeight w:val="20"/>
        </w:trPr>
        <w:tc>
          <w:tcPr>
            <w:cnfStyle w:val="001000000000" w:firstRow="0" w:lastRow="0" w:firstColumn="1" w:lastColumn="0" w:oddVBand="0" w:evenVBand="0" w:oddHBand="0" w:evenHBand="0" w:firstRowFirstColumn="0" w:firstRowLastColumn="0" w:lastRowFirstColumn="0" w:lastRowLastColumn="0"/>
            <w:tcW w:w="526" w:type="dxa"/>
          </w:tcPr>
          <w:p w14:paraId="3E2A40B6" w14:textId="2908A0C6" w:rsidR="001A52D9" w:rsidRPr="001A52D9" w:rsidRDefault="001A52D9" w:rsidP="001A52D9">
            <w:pPr>
              <w:pStyle w:val="Bulletlist1HDMES"/>
              <w:numPr>
                <w:ilvl w:val="0"/>
                <w:numId w:val="0"/>
              </w:numPr>
              <w:ind w:left="15"/>
              <w:rPr>
                <w:rFonts w:asciiTheme="minorHAnsi" w:eastAsiaTheme="minorHAnsi" w:hAnsiTheme="minorHAnsi" w:cstheme="minorBidi"/>
                <w:color w:val="495965" w:themeColor="text2"/>
                <w:lang w:val="en-GB"/>
              </w:rPr>
            </w:pPr>
            <w:r w:rsidRPr="001A52D9">
              <w:rPr>
                <w:rFonts w:asciiTheme="minorHAnsi" w:eastAsiaTheme="minorHAnsi" w:hAnsiTheme="minorHAnsi" w:cstheme="minorBidi"/>
                <w:color w:val="495965" w:themeColor="text2"/>
                <w:lang w:val="en-GB"/>
              </w:rPr>
              <w:lastRenderedPageBreak/>
              <w:t>6</w:t>
            </w:r>
          </w:p>
        </w:tc>
        <w:tc>
          <w:tcPr>
            <w:tcW w:w="4446" w:type="dxa"/>
          </w:tcPr>
          <w:p w14:paraId="21B47B1F" w14:textId="1227EF3A" w:rsidR="00F937FA" w:rsidRPr="00A537B2" w:rsidRDefault="00F937FA" w:rsidP="00A537B2">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iCs/>
                <w:color w:val="495965" w:themeColor="text2"/>
              </w:rPr>
            </w:pPr>
            <w:r w:rsidRPr="00A537B2">
              <w:rPr>
                <w:rFonts w:asciiTheme="minorHAnsi" w:eastAsiaTheme="minorHAnsi" w:hAnsiTheme="minorHAnsi" w:cstheme="minorBidi"/>
                <w:i/>
                <w:iCs/>
                <w:color w:val="495965" w:themeColor="text2"/>
              </w:rPr>
              <w:t xml:space="preserve">While gender equality is an important component of the program, the program does not have a specific gender equality </w:t>
            </w:r>
            <w:r w:rsidR="00AF06CE" w:rsidRPr="00A537B2">
              <w:rPr>
                <w:rFonts w:asciiTheme="minorHAnsi" w:eastAsiaTheme="minorHAnsi" w:hAnsiTheme="minorHAnsi" w:cstheme="minorBidi"/>
                <w:i/>
                <w:iCs/>
                <w:color w:val="495965" w:themeColor="text2"/>
              </w:rPr>
              <w:t>outcome and</w:t>
            </w:r>
            <w:r w:rsidRPr="00A537B2">
              <w:rPr>
                <w:rFonts w:asciiTheme="minorHAnsi" w:eastAsiaTheme="minorHAnsi" w:hAnsiTheme="minorHAnsi" w:cstheme="minorBidi"/>
                <w:i/>
                <w:iCs/>
                <w:color w:val="495965" w:themeColor="text2"/>
              </w:rPr>
              <w:t xml:space="preserve"> does not qualify for an OECD DAC gender marker. </w:t>
            </w:r>
          </w:p>
          <w:p w14:paraId="76016C2B" w14:textId="7061A8E4" w:rsidR="00F937FA" w:rsidRPr="00A537B2" w:rsidRDefault="00F937FA" w:rsidP="001A52D9">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
                <w:iCs/>
                <w:color w:val="495965" w:themeColor="text2"/>
              </w:rPr>
            </w:pPr>
          </w:p>
        </w:tc>
        <w:tc>
          <w:tcPr>
            <w:tcW w:w="3399" w:type="dxa"/>
          </w:tcPr>
          <w:p w14:paraId="3E30EA2B" w14:textId="71B1473E" w:rsidR="001A52D9" w:rsidRPr="001A52D9" w:rsidRDefault="00AF06CE" w:rsidP="001A52D9">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lang w:val="en-GB"/>
              </w:rPr>
            </w:pPr>
            <w:r>
              <w:rPr>
                <w:rFonts w:asciiTheme="minorHAnsi" w:eastAsiaTheme="minorHAnsi" w:hAnsiTheme="minorHAnsi" w:cstheme="minorBidi"/>
                <w:color w:val="495965" w:themeColor="text2"/>
                <w:lang w:val="en-GB"/>
              </w:rPr>
              <w:t>To e</w:t>
            </w:r>
            <w:r w:rsidRPr="00F937FA">
              <w:rPr>
                <w:rFonts w:asciiTheme="minorHAnsi" w:eastAsiaTheme="minorHAnsi" w:hAnsiTheme="minorHAnsi" w:cstheme="minorBidi"/>
                <w:color w:val="495965" w:themeColor="text2"/>
                <w:lang w:val="en-GB"/>
              </w:rPr>
              <w:t>nsure the next phase of AAPNG qualifies for an OECD DAC gender marker</w:t>
            </w:r>
            <w:r>
              <w:rPr>
                <w:rFonts w:asciiTheme="minorHAnsi" w:eastAsiaTheme="minorHAnsi" w:hAnsiTheme="minorHAnsi" w:cstheme="minorBidi"/>
                <w:color w:val="495965" w:themeColor="text2"/>
                <w:lang w:val="en-GB"/>
              </w:rPr>
              <w:t>, t</w:t>
            </w:r>
            <w:r w:rsidR="001A52D9" w:rsidRPr="001A52D9">
              <w:rPr>
                <w:rFonts w:asciiTheme="minorHAnsi" w:eastAsiaTheme="minorHAnsi" w:hAnsiTheme="minorHAnsi" w:cstheme="minorBidi"/>
                <w:color w:val="495965" w:themeColor="text2"/>
                <w:lang w:val="en-GB"/>
              </w:rPr>
              <w:t xml:space="preserve">he design team should undertake a </w:t>
            </w:r>
            <w:r w:rsidR="00091664" w:rsidRPr="001A52D9">
              <w:rPr>
                <w:rFonts w:asciiTheme="minorHAnsi" w:eastAsiaTheme="minorHAnsi" w:hAnsiTheme="minorHAnsi" w:cstheme="minorBidi"/>
                <w:color w:val="495965" w:themeColor="text2"/>
                <w:lang w:val="en-GB"/>
              </w:rPr>
              <w:t>G</w:t>
            </w:r>
            <w:r w:rsidR="00091664">
              <w:rPr>
                <w:rFonts w:asciiTheme="minorHAnsi" w:eastAsiaTheme="minorHAnsi" w:hAnsiTheme="minorHAnsi" w:cstheme="minorBidi"/>
                <w:color w:val="495965" w:themeColor="text2"/>
                <w:lang w:val="en-GB"/>
              </w:rPr>
              <w:t xml:space="preserve">ender </w:t>
            </w:r>
            <w:r w:rsidR="00091664" w:rsidRPr="001A52D9">
              <w:rPr>
                <w:rFonts w:asciiTheme="minorHAnsi" w:eastAsiaTheme="minorHAnsi" w:hAnsiTheme="minorHAnsi" w:cstheme="minorBidi"/>
                <w:color w:val="495965" w:themeColor="text2"/>
                <w:lang w:val="en-GB"/>
              </w:rPr>
              <w:t>E</w:t>
            </w:r>
            <w:r w:rsidR="00091664">
              <w:rPr>
                <w:rFonts w:asciiTheme="minorHAnsi" w:eastAsiaTheme="minorHAnsi" w:hAnsiTheme="minorHAnsi" w:cstheme="minorBidi"/>
                <w:color w:val="495965" w:themeColor="text2"/>
                <w:lang w:val="en-GB"/>
              </w:rPr>
              <w:t xml:space="preserve">quality, </w:t>
            </w:r>
            <w:r w:rsidR="00091664" w:rsidRPr="001A52D9">
              <w:rPr>
                <w:rFonts w:asciiTheme="minorHAnsi" w:eastAsiaTheme="minorHAnsi" w:hAnsiTheme="minorHAnsi" w:cstheme="minorBidi"/>
                <w:color w:val="495965" w:themeColor="text2"/>
                <w:lang w:val="en-GB"/>
              </w:rPr>
              <w:t>D</w:t>
            </w:r>
            <w:r w:rsidR="00091664">
              <w:rPr>
                <w:rFonts w:asciiTheme="minorHAnsi" w:eastAsiaTheme="minorHAnsi" w:hAnsiTheme="minorHAnsi" w:cstheme="minorBidi"/>
                <w:color w:val="495965" w:themeColor="text2"/>
                <w:lang w:val="en-GB"/>
              </w:rPr>
              <w:t xml:space="preserve">isability and </w:t>
            </w:r>
            <w:r w:rsidR="00091664" w:rsidRPr="001A52D9">
              <w:rPr>
                <w:rFonts w:asciiTheme="minorHAnsi" w:eastAsiaTheme="minorHAnsi" w:hAnsiTheme="minorHAnsi" w:cstheme="minorBidi"/>
                <w:color w:val="495965" w:themeColor="text2"/>
                <w:lang w:val="en-GB"/>
              </w:rPr>
              <w:t>S</w:t>
            </w:r>
            <w:r w:rsidR="00091664">
              <w:rPr>
                <w:rFonts w:asciiTheme="minorHAnsi" w:eastAsiaTheme="minorHAnsi" w:hAnsiTheme="minorHAnsi" w:cstheme="minorBidi"/>
                <w:color w:val="495965" w:themeColor="text2"/>
                <w:lang w:val="en-GB"/>
              </w:rPr>
              <w:t xml:space="preserve">ocial </w:t>
            </w:r>
            <w:r w:rsidR="00091664" w:rsidRPr="001A52D9">
              <w:rPr>
                <w:rFonts w:asciiTheme="minorHAnsi" w:eastAsiaTheme="minorHAnsi" w:hAnsiTheme="minorHAnsi" w:cstheme="minorBidi"/>
                <w:color w:val="495965" w:themeColor="text2"/>
                <w:lang w:val="en-GB"/>
              </w:rPr>
              <w:t>I</w:t>
            </w:r>
            <w:r w:rsidR="00091664">
              <w:rPr>
                <w:rFonts w:asciiTheme="minorHAnsi" w:eastAsiaTheme="minorHAnsi" w:hAnsiTheme="minorHAnsi" w:cstheme="minorBidi"/>
                <w:color w:val="495965" w:themeColor="text2"/>
                <w:lang w:val="en-GB"/>
              </w:rPr>
              <w:t>nclusion</w:t>
            </w:r>
            <w:r w:rsidR="00091664" w:rsidRPr="001A52D9">
              <w:rPr>
                <w:rFonts w:asciiTheme="minorHAnsi" w:eastAsiaTheme="minorHAnsi" w:hAnsiTheme="minorHAnsi" w:cstheme="minorBidi"/>
                <w:color w:val="495965" w:themeColor="text2"/>
                <w:lang w:val="en-GB"/>
              </w:rPr>
              <w:t xml:space="preserve"> </w:t>
            </w:r>
            <w:r w:rsidR="001A52D9" w:rsidRPr="001A52D9">
              <w:rPr>
                <w:rFonts w:asciiTheme="minorHAnsi" w:eastAsiaTheme="minorHAnsi" w:hAnsiTheme="minorHAnsi" w:cstheme="minorBidi"/>
                <w:color w:val="495965" w:themeColor="text2"/>
                <w:lang w:val="en-GB"/>
              </w:rPr>
              <w:t xml:space="preserve">analysis that identifies key barriers across the awards cycle to women, people with disabilities, and those from rural and remote locations. This analysis should also inform the development of a </w:t>
            </w:r>
            <w:r w:rsidR="00091664" w:rsidRPr="001A52D9">
              <w:rPr>
                <w:rFonts w:asciiTheme="minorHAnsi" w:eastAsiaTheme="minorHAnsi" w:hAnsiTheme="minorHAnsi" w:cstheme="minorBidi"/>
                <w:color w:val="495965" w:themeColor="text2"/>
                <w:lang w:val="en-GB"/>
              </w:rPr>
              <w:t>G</w:t>
            </w:r>
            <w:r w:rsidR="00091664">
              <w:rPr>
                <w:rFonts w:asciiTheme="minorHAnsi" w:eastAsiaTheme="minorHAnsi" w:hAnsiTheme="minorHAnsi" w:cstheme="minorBidi"/>
                <w:color w:val="495965" w:themeColor="text2"/>
                <w:lang w:val="en-GB"/>
              </w:rPr>
              <w:t xml:space="preserve">ender </w:t>
            </w:r>
            <w:r w:rsidR="00091664" w:rsidRPr="001A52D9">
              <w:rPr>
                <w:rFonts w:asciiTheme="minorHAnsi" w:eastAsiaTheme="minorHAnsi" w:hAnsiTheme="minorHAnsi" w:cstheme="minorBidi"/>
                <w:color w:val="495965" w:themeColor="text2"/>
                <w:lang w:val="en-GB"/>
              </w:rPr>
              <w:t>E</w:t>
            </w:r>
            <w:r w:rsidR="00091664">
              <w:rPr>
                <w:rFonts w:asciiTheme="minorHAnsi" w:eastAsiaTheme="minorHAnsi" w:hAnsiTheme="minorHAnsi" w:cstheme="minorBidi"/>
                <w:color w:val="495965" w:themeColor="text2"/>
                <w:lang w:val="en-GB"/>
              </w:rPr>
              <w:t xml:space="preserve">quality, </w:t>
            </w:r>
            <w:r w:rsidR="00091664" w:rsidRPr="001A52D9">
              <w:rPr>
                <w:rFonts w:asciiTheme="minorHAnsi" w:eastAsiaTheme="minorHAnsi" w:hAnsiTheme="minorHAnsi" w:cstheme="minorBidi"/>
                <w:color w:val="495965" w:themeColor="text2"/>
                <w:lang w:val="en-GB"/>
              </w:rPr>
              <w:t>D</w:t>
            </w:r>
            <w:r w:rsidR="00091664">
              <w:rPr>
                <w:rFonts w:asciiTheme="minorHAnsi" w:eastAsiaTheme="minorHAnsi" w:hAnsiTheme="minorHAnsi" w:cstheme="minorBidi"/>
                <w:color w:val="495965" w:themeColor="text2"/>
                <w:lang w:val="en-GB"/>
              </w:rPr>
              <w:t xml:space="preserve">isability and </w:t>
            </w:r>
            <w:r w:rsidR="00091664" w:rsidRPr="001A52D9">
              <w:rPr>
                <w:rFonts w:asciiTheme="minorHAnsi" w:eastAsiaTheme="minorHAnsi" w:hAnsiTheme="minorHAnsi" w:cstheme="minorBidi"/>
                <w:color w:val="495965" w:themeColor="text2"/>
                <w:lang w:val="en-GB"/>
              </w:rPr>
              <w:t>S</w:t>
            </w:r>
            <w:r w:rsidR="00091664">
              <w:rPr>
                <w:rFonts w:asciiTheme="minorHAnsi" w:eastAsiaTheme="minorHAnsi" w:hAnsiTheme="minorHAnsi" w:cstheme="minorBidi"/>
                <w:color w:val="495965" w:themeColor="text2"/>
                <w:lang w:val="en-GB"/>
              </w:rPr>
              <w:t xml:space="preserve">ocial </w:t>
            </w:r>
            <w:r w:rsidR="00091664" w:rsidRPr="001A52D9">
              <w:rPr>
                <w:rFonts w:asciiTheme="minorHAnsi" w:eastAsiaTheme="minorHAnsi" w:hAnsiTheme="minorHAnsi" w:cstheme="minorBidi"/>
                <w:color w:val="495965" w:themeColor="text2"/>
                <w:lang w:val="en-GB"/>
              </w:rPr>
              <w:t>I</w:t>
            </w:r>
            <w:r w:rsidR="00091664">
              <w:rPr>
                <w:rFonts w:asciiTheme="minorHAnsi" w:eastAsiaTheme="minorHAnsi" w:hAnsiTheme="minorHAnsi" w:cstheme="minorBidi"/>
                <w:color w:val="495965" w:themeColor="text2"/>
                <w:lang w:val="en-GB"/>
              </w:rPr>
              <w:t>nclusion</w:t>
            </w:r>
            <w:r w:rsidR="00091664" w:rsidRPr="001A52D9">
              <w:rPr>
                <w:rFonts w:asciiTheme="minorHAnsi" w:eastAsiaTheme="minorHAnsi" w:hAnsiTheme="minorHAnsi" w:cstheme="minorBidi"/>
                <w:color w:val="495965" w:themeColor="text2"/>
                <w:lang w:val="en-GB"/>
              </w:rPr>
              <w:t xml:space="preserve"> </w:t>
            </w:r>
            <w:r w:rsidR="008847EC">
              <w:rPr>
                <w:rFonts w:asciiTheme="minorHAnsi" w:eastAsiaTheme="minorHAnsi" w:hAnsiTheme="minorHAnsi" w:cstheme="minorBidi"/>
                <w:color w:val="495965" w:themeColor="text2"/>
                <w:lang w:val="en-GB"/>
              </w:rPr>
              <w:t>EOPO.</w:t>
            </w:r>
          </w:p>
          <w:p w14:paraId="2F9F9699" w14:textId="77777777" w:rsidR="001A52D9" w:rsidRPr="001A52D9" w:rsidRDefault="001A52D9" w:rsidP="001A52D9">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lang w:val="en-GB"/>
              </w:rPr>
            </w:pPr>
          </w:p>
        </w:tc>
        <w:tc>
          <w:tcPr>
            <w:tcW w:w="2550" w:type="dxa"/>
          </w:tcPr>
          <w:p w14:paraId="1861317E" w14:textId="15EAC994" w:rsidR="001A52D9" w:rsidRPr="001A52D9" w:rsidRDefault="001A52D9" w:rsidP="001A52D9">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lang w:val="en-GB"/>
              </w:rPr>
            </w:pPr>
            <w:r>
              <w:rPr>
                <w:rFonts w:asciiTheme="minorHAnsi" w:eastAsiaTheme="minorHAnsi" w:hAnsiTheme="minorHAnsi" w:cstheme="minorBidi"/>
                <w:color w:val="495965" w:themeColor="text2"/>
                <w:lang w:val="en-GB"/>
              </w:rPr>
              <w:t>Agree</w:t>
            </w:r>
          </w:p>
        </w:tc>
        <w:tc>
          <w:tcPr>
            <w:tcW w:w="3538" w:type="dxa"/>
          </w:tcPr>
          <w:p w14:paraId="63B4744E" w14:textId="20CB25B0" w:rsidR="001A52D9" w:rsidRPr="001A52D9" w:rsidRDefault="001A52D9" w:rsidP="001A52D9">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lang w:val="en-GB"/>
              </w:rPr>
            </w:pPr>
            <w:r w:rsidRPr="001A52D9">
              <w:rPr>
                <w:rFonts w:asciiTheme="minorHAnsi" w:eastAsiaTheme="minorHAnsi" w:hAnsiTheme="minorHAnsi" w:cstheme="minorBidi"/>
                <w:color w:val="495965" w:themeColor="text2"/>
                <w:lang w:val="en-GB"/>
              </w:rPr>
              <w:t>This will be included in the terms of reference for the design of the next phase.</w:t>
            </w:r>
            <w:r>
              <w:t xml:space="preserve">          </w:t>
            </w:r>
          </w:p>
        </w:tc>
      </w:tr>
    </w:tbl>
    <w:p w14:paraId="12D922F6" w14:textId="77777777" w:rsidR="002318E6" w:rsidRPr="001A52D9" w:rsidRDefault="002318E6" w:rsidP="001A52D9">
      <w:pPr>
        <w:pStyle w:val="Bulletlist1HDMES"/>
        <w:numPr>
          <w:ilvl w:val="0"/>
          <w:numId w:val="0"/>
        </w:numPr>
        <w:ind w:left="15"/>
        <w:rPr>
          <w:rFonts w:asciiTheme="minorHAnsi" w:eastAsiaTheme="minorHAnsi" w:hAnsiTheme="minorHAnsi" w:cstheme="minorBidi"/>
          <w:color w:val="495965" w:themeColor="text2"/>
          <w:lang w:val="en-GB"/>
        </w:rPr>
      </w:pPr>
    </w:p>
    <w:sectPr w:rsidR="002318E6" w:rsidRPr="001A52D9" w:rsidSect="007412BC">
      <w:headerReference w:type="default" r:id="rId8"/>
      <w:footerReference w:type="default" r:id="rId9"/>
      <w:headerReference w:type="first" r:id="rId10"/>
      <w:footerReference w:type="first" r:id="rId11"/>
      <w:pgSz w:w="16838" w:h="11906" w:orient="landscape" w:code="9"/>
      <w:pgMar w:top="1191" w:right="1701" w:bottom="993"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7F963" w14:textId="77777777" w:rsidR="003D2624" w:rsidRDefault="003D2624" w:rsidP="00D37B04">
      <w:r>
        <w:separator/>
      </w:r>
    </w:p>
  </w:endnote>
  <w:endnote w:type="continuationSeparator" w:id="0">
    <w:p w14:paraId="680DCAE7" w14:textId="77777777" w:rsidR="003D2624" w:rsidRDefault="003D2624"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429426290"/>
      <w:docPartObj>
        <w:docPartGallery w:val="Page Numbers (Bottom of Page)"/>
        <w:docPartUnique/>
      </w:docPartObj>
    </w:sdtPr>
    <w:sdtEndPr/>
    <w:sdtContent>
      <w:p w14:paraId="4D878E17" w14:textId="42A5F1A7" w:rsidR="001D7A4D" w:rsidRPr="00AD037C" w:rsidRDefault="001D7A4D">
        <w:pPr>
          <w:pStyle w:val="Footer"/>
          <w:jc w:val="right"/>
          <w:rPr>
            <w:color w:val="auto"/>
          </w:rPr>
        </w:pPr>
        <w:r w:rsidRPr="00AD037C">
          <w:rPr>
            <w:color w:val="auto"/>
          </w:rPr>
          <w:t xml:space="preserve">Page | </w:t>
        </w:r>
        <w:r w:rsidRPr="00AD037C">
          <w:rPr>
            <w:color w:val="auto"/>
          </w:rPr>
          <w:fldChar w:fldCharType="begin"/>
        </w:r>
        <w:r w:rsidRPr="00AD037C">
          <w:rPr>
            <w:color w:val="auto"/>
          </w:rPr>
          <w:instrText xml:space="preserve"> PAGE   \* MERGEFORMAT </w:instrText>
        </w:r>
        <w:r w:rsidRPr="00AD037C">
          <w:rPr>
            <w:color w:val="auto"/>
          </w:rPr>
          <w:fldChar w:fldCharType="separate"/>
        </w:r>
        <w:r w:rsidRPr="00AD037C">
          <w:rPr>
            <w:noProof/>
            <w:color w:val="auto"/>
          </w:rPr>
          <w:t>2</w:t>
        </w:r>
        <w:r w:rsidRPr="00AD037C">
          <w:rPr>
            <w:noProof/>
            <w:color w:val="auto"/>
          </w:rPr>
          <w:fldChar w:fldCharType="end"/>
        </w:r>
        <w:r w:rsidRPr="00AD037C">
          <w:rPr>
            <w:color w:val="auto"/>
          </w:rPr>
          <w:t xml:space="preserve"> </w:t>
        </w:r>
      </w:p>
    </w:sdtContent>
  </w:sdt>
  <w:p w14:paraId="033EC7FD" w14:textId="11C85592" w:rsidR="001561D3" w:rsidRPr="00FC322F" w:rsidRDefault="001561D3" w:rsidP="00AD037C">
    <w:pPr>
      <w:pStyle w:val="Footer"/>
      <w:ind w:right="-882"/>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667260"/>
      <w:docPartObj>
        <w:docPartGallery w:val="Page Numbers (Bottom of Page)"/>
        <w:docPartUnique/>
      </w:docPartObj>
    </w:sdtPr>
    <w:sdtEndPr>
      <w:rPr>
        <w:color w:val="7F7F7F" w:themeColor="text1" w:themeTint="80"/>
      </w:rPr>
    </w:sdtEndPr>
    <w:sdtContent>
      <w:p w14:paraId="4ADB18AB" w14:textId="3E2C8080" w:rsidR="001D7A4D" w:rsidRPr="00C8609B" w:rsidRDefault="001D7A4D">
        <w:pPr>
          <w:pStyle w:val="Footer"/>
          <w:jc w:val="right"/>
          <w:rPr>
            <w:color w:val="7F7F7F" w:themeColor="text1" w:themeTint="80"/>
          </w:rPr>
        </w:pPr>
        <w:r w:rsidRPr="00C8609B">
          <w:rPr>
            <w:color w:val="595959" w:themeColor="text1" w:themeTint="A6"/>
          </w:rPr>
          <w:t xml:space="preserve">Page | </w:t>
        </w:r>
        <w:r w:rsidRPr="00C8609B">
          <w:rPr>
            <w:color w:val="595959" w:themeColor="text1" w:themeTint="A6"/>
          </w:rPr>
          <w:fldChar w:fldCharType="begin"/>
        </w:r>
        <w:r w:rsidRPr="00C8609B">
          <w:rPr>
            <w:color w:val="595959" w:themeColor="text1" w:themeTint="A6"/>
          </w:rPr>
          <w:instrText xml:space="preserve"> PAGE   \* MERGEFORMAT </w:instrText>
        </w:r>
        <w:r w:rsidRPr="00C8609B">
          <w:rPr>
            <w:color w:val="595959" w:themeColor="text1" w:themeTint="A6"/>
          </w:rPr>
          <w:fldChar w:fldCharType="separate"/>
        </w:r>
        <w:r w:rsidRPr="00C8609B">
          <w:rPr>
            <w:noProof/>
            <w:color w:val="595959" w:themeColor="text1" w:themeTint="A6"/>
          </w:rPr>
          <w:t>2</w:t>
        </w:r>
        <w:r w:rsidRPr="00C8609B">
          <w:rPr>
            <w:noProof/>
            <w:color w:val="595959" w:themeColor="text1" w:themeTint="A6"/>
          </w:rPr>
          <w:fldChar w:fldCharType="end"/>
        </w:r>
        <w:r w:rsidRPr="00C8609B">
          <w:rPr>
            <w:color w:val="595959" w:themeColor="text1" w:themeTint="A6"/>
          </w:rPr>
          <w:t xml:space="preserve"> </w:t>
        </w:r>
      </w:p>
    </w:sdtContent>
  </w:sdt>
  <w:p w14:paraId="331C0C93" w14:textId="77777777" w:rsidR="001D7A4D" w:rsidRDefault="001D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4F23F" w14:textId="77777777" w:rsidR="003D2624" w:rsidRPr="008C5A0E" w:rsidRDefault="003D2624" w:rsidP="00D37B04">
      <w:pPr>
        <w:pStyle w:val="Footer"/>
      </w:pPr>
    </w:p>
  </w:footnote>
  <w:footnote w:type="continuationSeparator" w:id="0">
    <w:p w14:paraId="5D1C287E" w14:textId="77777777" w:rsidR="003D2624" w:rsidRDefault="003D2624"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3DF0" w14:textId="46E24458" w:rsidR="001561D3" w:rsidRPr="000854FD" w:rsidRDefault="001561D3" w:rsidP="002D5B25">
    <w:pPr>
      <w:pStyle w:val="Header"/>
    </w:pPr>
    <w:r w:rsidRPr="00943730">
      <w:rPr>
        <w:noProof/>
        <w:lang w:val="en-AU" w:eastAsia="en-AU"/>
      </w:rPr>
      <w:drawing>
        <wp:anchor distT="0" distB="0" distL="114300" distR="114300" simplePos="0" relativeHeight="251662336" behindDoc="1" locked="1" layoutInCell="1" allowOverlap="1" wp14:anchorId="0BEC0D8C" wp14:editId="6BCFCBE2">
          <wp:simplePos x="0" y="0"/>
          <wp:positionH relativeFrom="page">
            <wp:posOffset>13970</wp:posOffset>
          </wp:positionH>
          <wp:positionV relativeFrom="page">
            <wp:align>top</wp:align>
          </wp:positionV>
          <wp:extent cx="10425430" cy="1069276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2543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1711" w14:textId="655ED8D0" w:rsidR="001561D3" w:rsidRPr="00943730" w:rsidRDefault="001561D3" w:rsidP="00943730">
    <w:pPr>
      <w:pStyle w:val="Header"/>
    </w:pPr>
    <w:r>
      <w:t xml:space="preserve">   </w:t>
    </w:r>
    <w:r w:rsidRPr="00C8609B">
      <w:rPr>
        <w:color w:val="7F7F7F" w:themeColor="text1" w:themeTint="80"/>
      </w:rPr>
      <w:t xml:space="preserve"> </w:t>
    </w:r>
    <w:r w:rsidRPr="00C8609B">
      <w:rPr>
        <w:color w:val="595959" w:themeColor="text1" w:themeTint="A6"/>
      </w:rPr>
      <w:fldChar w:fldCharType="begin"/>
    </w:r>
    <w:r w:rsidRPr="00C8609B">
      <w:rPr>
        <w:color w:val="595959" w:themeColor="text1" w:themeTint="A6"/>
      </w:rPr>
      <w:instrText xml:space="preserve"> DATE  \@ "MMMM yyyy"  \* MERGEFORMAT </w:instrText>
    </w:r>
    <w:r w:rsidRPr="00C8609B">
      <w:rPr>
        <w:color w:val="595959" w:themeColor="text1" w:themeTint="A6"/>
      </w:rPr>
      <w:fldChar w:fldCharType="separate"/>
    </w:r>
    <w:r w:rsidR="004C4BF0">
      <w:rPr>
        <w:noProof/>
        <w:color w:val="595959" w:themeColor="text1" w:themeTint="A6"/>
      </w:rPr>
      <w:t>December 2021</w:t>
    </w:r>
    <w:r w:rsidRPr="00C8609B">
      <w:rPr>
        <w:color w:val="595959" w:themeColor="text1" w:themeTint="A6"/>
      </w:rPr>
      <w:fldChar w:fldCharType="end"/>
    </w:r>
    <w:r w:rsidRPr="00943730">
      <w:rPr>
        <w:noProof/>
        <w:lang w:val="en-AU" w:eastAsia="en-AU"/>
      </w:rPr>
      <w:drawing>
        <wp:anchor distT="0" distB="0" distL="114300" distR="114300" simplePos="0" relativeHeight="251657216" behindDoc="1" locked="1" layoutInCell="1" allowOverlap="1" wp14:anchorId="297E378B" wp14:editId="6D082066">
          <wp:simplePos x="0" y="0"/>
          <wp:positionH relativeFrom="page">
            <wp:posOffset>1252855</wp:posOffset>
          </wp:positionH>
          <wp:positionV relativeFrom="margin">
            <wp:align>top</wp:align>
          </wp:positionV>
          <wp:extent cx="3166745" cy="5543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40E6E509" wp14:editId="1DCD8D6C">
          <wp:simplePos x="0" y="0"/>
          <wp:positionH relativeFrom="margin">
            <wp:align>center</wp:align>
          </wp:positionH>
          <wp:positionV relativeFrom="page">
            <wp:align>top</wp:align>
          </wp:positionV>
          <wp:extent cx="10339070" cy="1069213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339070" cy="10692130"/>
                  </a:xfrm>
                  <a:prstGeom prst="rect">
                    <a:avLst/>
                  </a:prstGeom>
                </pic:spPr>
              </pic:pic>
            </a:graphicData>
          </a:graphic>
          <wp14:sizeRelH relativeFrom="margin">
            <wp14:pctWidth>0</wp14:pctWidth>
          </wp14:sizeRelH>
          <wp14:sizeRelV relativeFrom="margin">
            <wp14:pctHeight>0</wp14:pctHeight>
          </wp14:sizeRelV>
        </wp:anchor>
      </w:drawing>
    </w:r>
    <w:r w:rsidR="00241E6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DFE"/>
    <w:multiLevelType w:val="hybridMultilevel"/>
    <w:tmpl w:val="2EB09120"/>
    <w:lvl w:ilvl="0" w:tplc="0C09001B">
      <w:start w:val="1"/>
      <w:numFmt w:val="lowerRoman"/>
      <w:pStyle w:val="Bulletlist1HDMES"/>
      <w:lvlText w:val="%1."/>
      <w:lvlJc w:val="right"/>
      <w:pPr>
        <w:ind w:left="360" w:hanging="360"/>
      </w:pPr>
      <w:rPr>
        <w:rFonts w:hint="default"/>
        <w:b w:val="0"/>
        <w:i w:val="0"/>
        <w:sz w:val="22"/>
        <w:szCs w:val="3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A350740"/>
    <w:multiLevelType w:val="hybridMultilevel"/>
    <w:tmpl w:val="4B38FBA0"/>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553D9F"/>
    <w:multiLevelType w:val="multilevel"/>
    <w:tmpl w:val="A6FA45D0"/>
    <w:numStyleLink w:val="BulletsList"/>
  </w:abstractNum>
  <w:abstractNum w:abstractNumId="6" w15:restartNumberingAfterBreak="0">
    <w:nsid w:val="533552CF"/>
    <w:multiLevelType w:val="hybridMultilevel"/>
    <w:tmpl w:val="D116D228"/>
    <w:lvl w:ilvl="0" w:tplc="179E9086">
      <w:start w:val="1"/>
      <w:numFmt w:val="decimal"/>
      <w:pStyle w:val="Numberedlist1HDMES"/>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C8F2094"/>
    <w:multiLevelType w:val="hybridMultilevel"/>
    <w:tmpl w:val="224071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5E252ED"/>
    <w:multiLevelType w:val="hybridMultilevel"/>
    <w:tmpl w:val="22F0D2D2"/>
    <w:lvl w:ilvl="0" w:tplc="EF841D56">
      <w:start w:val="1"/>
      <w:numFmt w:val="bullet"/>
      <w:pStyle w:val="Bulletlist2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3"/>
  </w:num>
  <w:num w:numId="4">
    <w:abstractNumId w:val="7"/>
  </w:num>
  <w:num w:numId="5">
    <w:abstractNumId w:val="9"/>
  </w:num>
  <w:num w:numId="6">
    <w:abstractNumId w:val="3"/>
  </w:num>
  <w:num w:numId="7">
    <w:abstractNumId w:val="1"/>
  </w:num>
  <w:num w:numId="8">
    <w:abstractNumId w:val="2"/>
  </w:num>
  <w:num w:numId="9">
    <w:abstractNumId w:val="12"/>
  </w:num>
  <w:num w:numId="10">
    <w:abstractNumId w:val="5"/>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0"/>
  </w:num>
  <w:num w:numId="16">
    <w:abstractNumId w:val="0"/>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55"/>
    <w:rsid w:val="00001DA8"/>
    <w:rsid w:val="000020C1"/>
    <w:rsid w:val="000104DE"/>
    <w:rsid w:val="000118A8"/>
    <w:rsid w:val="0001300D"/>
    <w:rsid w:val="000154B4"/>
    <w:rsid w:val="0002080A"/>
    <w:rsid w:val="000272DA"/>
    <w:rsid w:val="0002782F"/>
    <w:rsid w:val="00030CCC"/>
    <w:rsid w:val="00031368"/>
    <w:rsid w:val="00031568"/>
    <w:rsid w:val="00032AE8"/>
    <w:rsid w:val="00035BBF"/>
    <w:rsid w:val="00045ECB"/>
    <w:rsid w:val="00046F30"/>
    <w:rsid w:val="000470DC"/>
    <w:rsid w:val="00050806"/>
    <w:rsid w:val="00051EE6"/>
    <w:rsid w:val="0005248A"/>
    <w:rsid w:val="000546D9"/>
    <w:rsid w:val="00054E4D"/>
    <w:rsid w:val="00060073"/>
    <w:rsid w:val="000616C6"/>
    <w:rsid w:val="00061CD8"/>
    <w:rsid w:val="00071E60"/>
    <w:rsid w:val="00073DCD"/>
    <w:rsid w:val="0007428E"/>
    <w:rsid w:val="000854FD"/>
    <w:rsid w:val="00086354"/>
    <w:rsid w:val="0008795D"/>
    <w:rsid w:val="00090FBA"/>
    <w:rsid w:val="00091664"/>
    <w:rsid w:val="000923F9"/>
    <w:rsid w:val="00096723"/>
    <w:rsid w:val="000A33FA"/>
    <w:rsid w:val="000A75B0"/>
    <w:rsid w:val="000B259D"/>
    <w:rsid w:val="000B37F5"/>
    <w:rsid w:val="000B4191"/>
    <w:rsid w:val="000B4F63"/>
    <w:rsid w:val="000D5D79"/>
    <w:rsid w:val="000D66D6"/>
    <w:rsid w:val="000E3937"/>
    <w:rsid w:val="000E5E14"/>
    <w:rsid w:val="000F023F"/>
    <w:rsid w:val="000F2E22"/>
    <w:rsid w:val="001127D7"/>
    <w:rsid w:val="00113288"/>
    <w:rsid w:val="00114F5D"/>
    <w:rsid w:val="001214BE"/>
    <w:rsid w:val="0012165C"/>
    <w:rsid w:val="001306E5"/>
    <w:rsid w:val="001308BF"/>
    <w:rsid w:val="0013101C"/>
    <w:rsid w:val="00136734"/>
    <w:rsid w:val="00137E6D"/>
    <w:rsid w:val="00143F6B"/>
    <w:rsid w:val="00145C10"/>
    <w:rsid w:val="001461D6"/>
    <w:rsid w:val="001541EA"/>
    <w:rsid w:val="00155095"/>
    <w:rsid w:val="001561D3"/>
    <w:rsid w:val="00156639"/>
    <w:rsid w:val="001627C9"/>
    <w:rsid w:val="001631FC"/>
    <w:rsid w:val="00163FA4"/>
    <w:rsid w:val="001740F9"/>
    <w:rsid w:val="00197484"/>
    <w:rsid w:val="001A52D9"/>
    <w:rsid w:val="001B2F7E"/>
    <w:rsid w:val="001B4C69"/>
    <w:rsid w:val="001B5086"/>
    <w:rsid w:val="001B7CD5"/>
    <w:rsid w:val="001C6CEB"/>
    <w:rsid w:val="001D663E"/>
    <w:rsid w:val="001D7435"/>
    <w:rsid w:val="001D7A4D"/>
    <w:rsid w:val="001E1DC0"/>
    <w:rsid w:val="001F47F9"/>
    <w:rsid w:val="0020035E"/>
    <w:rsid w:val="00203277"/>
    <w:rsid w:val="00205B2E"/>
    <w:rsid w:val="00214D8D"/>
    <w:rsid w:val="002318E6"/>
    <w:rsid w:val="0023426C"/>
    <w:rsid w:val="00241E69"/>
    <w:rsid w:val="00246ED6"/>
    <w:rsid w:val="00247737"/>
    <w:rsid w:val="002528A4"/>
    <w:rsid w:val="00252C04"/>
    <w:rsid w:val="00252F15"/>
    <w:rsid w:val="00262164"/>
    <w:rsid w:val="002770F7"/>
    <w:rsid w:val="0028602A"/>
    <w:rsid w:val="00293456"/>
    <w:rsid w:val="00294FB1"/>
    <w:rsid w:val="002A4720"/>
    <w:rsid w:val="002B14E7"/>
    <w:rsid w:val="002B3E6A"/>
    <w:rsid w:val="002B5E10"/>
    <w:rsid w:val="002C0CB8"/>
    <w:rsid w:val="002C2A60"/>
    <w:rsid w:val="002C51CD"/>
    <w:rsid w:val="002C69C6"/>
    <w:rsid w:val="002C793D"/>
    <w:rsid w:val="002D5B25"/>
    <w:rsid w:val="002E1E50"/>
    <w:rsid w:val="002F05D3"/>
    <w:rsid w:val="002F21A8"/>
    <w:rsid w:val="002F410C"/>
    <w:rsid w:val="002F4F2B"/>
    <w:rsid w:val="002F5BA6"/>
    <w:rsid w:val="002F7D82"/>
    <w:rsid w:val="002F7EA6"/>
    <w:rsid w:val="003002C0"/>
    <w:rsid w:val="00301144"/>
    <w:rsid w:val="00302CE1"/>
    <w:rsid w:val="00303164"/>
    <w:rsid w:val="003031C6"/>
    <w:rsid w:val="00304984"/>
    <w:rsid w:val="0030720A"/>
    <w:rsid w:val="00312BF8"/>
    <w:rsid w:val="003148B7"/>
    <w:rsid w:val="003158C3"/>
    <w:rsid w:val="00317A5C"/>
    <w:rsid w:val="003258DB"/>
    <w:rsid w:val="003274CD"/>
    <w:rsid w:val="0032768E"/>
    <w:rsid w:val="00331FF5"/>
    <w:rsid w:val="00333501"/>
    <w:rsid w:val="003338BB"/>
    <w:rsid w:val="0033584F"/>
    <w:rsid w:val="00337BBB"/>
    <w:rsid w:val="00345336"/>
    <w:rsid w:val="003457C4"/>
    <w:rsid w:val="0035119D"/>
    <w:rsid w:val="0035307C"/>
    <w:rsid w:val="003614FF"/>
    <w:rsid w:val="0036200C"/>
    <w:rsid w:val="00376425"/>
    <w:rsid w:val="003808CE"/>
    <w:rsid w:val="00380A79"/>
    <w:rsid w:val="003829CD"/>
    <w:rsid w:val="00384BF7"/>
    <w:rsid w:val="00384D40"/>
    <w:rsid w:val="0039135C"/>
    <w:rsid w:val="0039344A"/>
    <w:rsid w:val="00395163"/>
    <w:rsid w:val="00396EEA"/>
    <w:rsid w:val="003A1017"/>
    <w:rsid w:val="003A278E"/>
    <w:rsid w:val="003B485C"/>
    <w:rsid w:val="003B4F12"/>
    <w:rsid w:val="003B708E"/>
    <w:rsid w:val="003B7105"/>
    <w:rsid w:val="003B73FA"/>
    <w:rsid w:val="003B745D"/>
    <w:rsid w:val="003D2624"/>
    <w:rsid w:val="003D283B"/>
    <w:rsid w:val="003D5A28"/>
    <w:rsid w:val="003E57AA"/>
    <w:rsid w:val="003F2041"/>
    <w:rsid w:val="003F5699"/>
    <w:rsid w:val="00402ACC"/>
    <w:rsid w:val="00405CCA"/>
    <w:rsid w:val="00406B43"/>
    <w:rsid w:val="00410E70"/>
    <w:rsid w:val="004120EC"/>
    <w:rsid w:val="004127B1"/>
    <w:rsid w:val="004131BF"/>
    <w:rsid w:val="004133A3"/>
    <w:rsid w:val="00421B69"/>
    <w:rsid w:val="00423F31"/>
    <w:rsid w:val="00431899"/>
    <w:rsid w:val="00434932"/>
    <w:rsid w:val="00436077"/>
    <w:rsid w:val="0043788C"/>
    <w:rsid w:val="00442055"/>
    <w:rsid w:val="00444B0D"/>
    <w:rsid w:val="00445EAF"/>
    <w:rsid w:val="00453DCA"/>
    <w:rsid w:val="00457177"/>
    <w:rsid w:val="00465E80"/>
    <w:rsid w:val="00473702"/>
    <w:rsid w:val="00480FE4"/>
    <w:rsid w:val="00482AE8"/>
    <w:rsid w:val="0048492D"/>
    <w:rsid w:val="00486804"/>
    <w:rsid w:val="00487BFA"/>
    <w:rsid w:val="004939C4"/>
    <w:rsid w:val="004A2B4A"/>
    <w:rsid w:val="004A617F"/>
    <w:rsid w:val="004B0C6A"/>
    <w:rsid w:val="004B3775"/>
    <w:rsid w:val="004B7F33"/>
    <w:rsid w:val="004C0034"/>
    <w:rsid w:val="004C1D51"/>
    <w:rsid w:val="004C4BF0"/>
    <w:rsid w:val="004C6342"/>
    <w:rsid w:val="004D0BA0"/>
    <w:rsid w:val="004E058F"/>
    <w:rsid w:val="004E09DE"/>
    <w:rsid w:val="004E0D63"/>
    <w:rsid w:val="004E3B87"/>
    <w:rsid w:val="004E3C3B"/>
    <w:rsid w:val="004E6776"/>
    <w:rsid w:val="004E777C"/>
    <w:rsid w:val="004F1A80"/>
    <w:rsid w:val="004F41B7"/>
    <w:rsid w:val="004F7ABC"/>
    <w:rsid w:val="00510921"/>
    <w:rsid w:val="00510AD3"/>
    <w:rsid w:val="00513348"/>
    <w:rsid w:val="00513AD8"/>
    <w:rsid w:val="00514447"/>
    <w:rsid w:val="005158D5"/>
    <w:rsid w:val="0052027E"/>
    <w:rsid w:val="005204D2"/>
    <w:rsid w:val="005217DF"/>
    <w:rsid w:val="00522396"/>
    <w:rsid w:val="0052578E"/>
    <w:rsid w:val="00527EAC"/>
    <w:rsid w:val="0053095B"/>
    <w:rsid w:val="00533B5D"/>
    <w:rsid w:val="00540B1F"/>
    <w:rsid w:val="00540E77"/>
    <w:rsid w:val="00550049"/>
    <w:rsid w:val="00550D84"/>
    <w:rsid w:val="00552CED"/>
    <w:rsid w:val="005609A5"/>
    <w:rsid w:val="005725E5"/>
    <w:rsid w:val="00580870"/>
    <w:rsid w:val="0059716B"/>
    <w:rsid w:val="005A20F6"/>
    <w:rsid w:val="005A60BB"/>
    <w:rsid w:val="005B1CCE"/>
    <w:rsid w:val="005B2276"/>
    <w:rsid w:val="005B55E8"/>
    <w:rsid w:val="005C4F20"/>
    <w:rsid w:val="005D3655"/>
    <w:rsid w:val="005E03CA"/>
    <w:rsid w:val="005E0794"/>
    <w:rsid w:val="005E24A4"/>
    <w:rsid w:val="005E4830"/>
    <w:rsid w:val="005E6DEC"/>
    <w:rsid w:val="006051CA"/>
    <w:rsid w:val="00612921"/>
    <w:rsid w:val="00612BDF"/>
    <w:rsid w:val="00622287"/>
    <w:rsid w:val="00622B86"/>
    <w:rsid w:val="00623BA1"/>
    <w:rsid w:val="006266C6"/>
    <w:rsid w:val="006346BC"/>
    <w:rsid w:val="00640AA7"/>
    <w:rsid w:val="00654324"/>
    <w:rsid w:val="0065468D"/>
    <w:rsid w:val="00656088"/>
    <w:rsid w:val="00664158"/>
    <w:rsid w:val="0066652A"/>
    <w:rsid w:val="00670AB2"/>
    <w:rsid w:val="006719C3"/>
    <w:rsid w:val="006767D2"/>
    <w:rsid w:val="00680522"/>
    <w:rsid w:val="00682167"/>
    <w:rsid w:val="00685841"/>
    <w:rsid w:val="00687053"/>
    <w:rsid w:val="006920F8"/>
    <w:rsid w:val="006958F5"/>
    <w:rsid w:val="006A1990"/>
    <w:rsid w:val="006A675C"/>
    <w:rsid w:val="006B61D4"/>
    <w:rsid w:val="006C42AF"/>
    <w:rsid w:val="006C516F"/>
    <w:rsid w:val="006C6C64"/>
    <w:rsid w:val="006C7160"/>
    <w:rsid w:val="006C7C5B"/>
    <w:rsid w:val="006D092C"/>
    <w:rsid w:val="006E0E7D"/>
    <w:rsid w:val="006E2373"/>
    <w:rsid w:val="006E3E97"/>
    <w:rsid w:val="006E5091"/>
    <w:rsid w:val="006E5AD6"/>
    <w:rsid w:val="006F4865"/>
    <w:rsid w:val="006F7113"/>
    <w:rsid w:val="00711D8E"/>
    <w:rsid w:val="00712672"/>
    <w:rsid w:val="0071488B"/>
    <w:rsid w:val="007162F5"/>
    <w:rsid w:val="00725AEA"/>
    <w:rsid w:val="00725BEF"/>
    <w:rsid w:val="007320B6"/>
    <w:rsid w:val="00734E3F"/>
    <w:rsid w:val="00736985"/>
    <w:rsid w:val="007373CE"/>
    <w:rsid w:val="007412BC"/>
    <w:rsid w:val="00745DF5"/>
    <w:rsid w:val="00746E77"/>
    <w:rsid w:val="00752088"/>
    <w:rsid w:val="00754046"/>
    <w:rsid w:val="0076250F"/>
    <w:rsid w:val="00763A98"/>
    <w:rsid w:val="00763C34"/>
    <w:rsid w:val="007706B8"/>
    <w:rsid w:val="00774EE4"/>
    <w:rsid w:val="00780FA5"/>
    <w:rsid w:val="007A1BA0"/>
    <w:rsid w:val="007A78C2"/>
    <w:rsid w:val="007A7DBA"/>
    <w:rsid w:val="007B6200"/>
    <w:rsid w:val="007D5157"/>
    <w:rsid w:val="007D78A1"/>
    <w:rsid w:val="007E3395"/>
    <w:rsid w:val="007F3395"/>
    <w:rsid w:val="00801B9F"/>
    <w:rsid w:val="00801CB4"/>
    <w:rsid w:val="0080204D"/>
    <w:rsid w:val="00805A55"/>
    <w:rsid w:val="00805B9C"/>
    <w:rsid w:val="008065C9"/>
    <w:rsid w:val="00812673"/>
    <w:rsid w:val="00817ABC"/>
    <w:rsid w:val="00824DD4"/>
    <w:rsid w:val="0083052F"/>
    <w:rsid w:val="008331A6"/>
    <w:rsid w:val="00835E7B"/>
    <w:rsid w:val="008475F0"/>
    <w:rsid w:val="0085088B"/>
    <w:rsid w:val="008548E5"/>
    <w:rsid w:val="008557A7"/>
    <w:rsid w:val="008570D6"/>
    <w:rsid w:val="008607DA"/>
    <w:rsid w:val="00863E55"/>
    <w:rsid w:val="0086569C"/>
    <w:rsid w:val="008663C5"/>
    <w:rsid w:val="00870928"/>
    <w:rsid w:val="00876EF9"/>
    <w:rsid w:val="00883507"/>
    <w:rsid w:val="008847EC"/>
    <w:rsid w:val="00885A62"/>
    <w:rsid w:val="00891FC6"/>
    <w:rsid w:val="0089405C"/>
    <w:rsid w:val="008959A4"/>
    <w:rsid w:val="00896D34"/>
    <w:rsid w:val="00897FA2"/>
    <w:rsid w:val="008A1A4D"/>
    <w:rsid w:val="008A3128"/>
    <w:rsid w:val="008A5AFE"/>
    <w:rsid w:val="008B116C"/>
    <w:rsid w:val="008B5969"/>
    <w:rsid w:val="008C2BF6"/>
    <w:rsid w:val="008C5A0E"/>
    <w:rsid w:val="008C6A5B"/>
    <w:rsid w:val="008D6419"/>
    <w:rsid w:val="008E34AE"/>
    <w:rsid w:val="008E5802"/>
    <w:rsid w:val="008F2DD7"/>
    <w:rsid w:val="008F341F"/>
    <w:rsid w:val="008F5497"/>
    <w:rsid w:val="008F623C"/>
    <w:rsid w:val="008F6D55"/>
    <w:rsid w:val="00913147"/>
    <w:rsid w:val="00916B17"/>
    <w:rsid w:val="0092517F"/>
    <w:rsid w:val="00926C88"/>
    <w:rsid w:val="009328B8"/>
    <w:rsid w:val="00937B56"/>
    <w:rsid w:val="00940414"/>
    <w:rsid w:val="00943055"/>
    <w:rsid w:val="00943730"/>
    <w:rsid w:val="00951D80"/>
    <w:rsid w:val="00952BB3"/>
    <w:rsid w:val="009610F2"/>
    <w:rsid w:val="00961E72"/>
    <w:rsid w:val="00962C2C"/>
    <w:rsid w:val="009657E3"/>
    <w:rsid w:val="00973103"/>
    <w:rsid w:val="00975CA5"/>
    <w:rsid w:val="00983AED"/>
    <w:rsid w:val="00984341"/>
    <w:rsid w:val="00986590"/>
    <w:rsid w:val="009871D3"/>
    <w:rsid w:val="00992C76"/>
    <w:rsid w:val="0099404A"/>
    <w:rsid w:val="00994181"/>
    <w:rsid w:val="009965E8"/>
    <w:rsid w:val="009969D6"/>
    <w:rsid w:val="009A3DD2"/>
    <w:rsid w:val="009A5E45"/>
    <w:rsid w:val="009B4D3B"/>
    <w:rsid w:val="009B68BB"/>
    <w:rsid w:val="009B7942"/>
    <w:rsid w:val="009D357E"/>
    <w:rsid w:val="009D5D88"/>
    <w:rsid w:val="009D7407"/>
    <w:rsid w:val="009E0866"/>
    <w:rsid w:val="009E273C"/>
    <w:rsid w:val="009E290B"/>
    <w:rsid w:val="009F1350"/>
    <w:rsid w:val="009F2C0C"/>
    <w:rsid w:val="009F638A"/>
    <w:rsid w:val="009F6423"/>
    <w:rsid w:val="00A04C5F"/>
    <w:rsid w:val="00A11EBC"/>
    <w:rsid w:val="00A175B3"/>
    <w:rsid w:val="00A1770A"/>
    <w:rsid w:val="00A24A62"/>
    <w:rsid w:val="00A253F1"/>
    <w:rsid w:val="00A31C9F"/>
    <w:rsid w:val="00A3217B"/>
    <w:rsid w:val="00A4144F"/>
    <w:rsid w:val="00A4560F"/>
    <w:rsid w:val="00A45D32"/>
    <w:rsid w:val="00A517A6"/>
    <w:rsid w:val="00A537B2"/>
    <w:rsid w:val="00A53BD2"/>
    <w:rsid w:val="00A60A93"/>
    <w:rsid w:val="00A61B4D"/>
    <w:rsid w:val="00A703F4"/>
    <w:rsid w:val="00A75D83"/>
    <w:rsid w:val="00A80F95"/>
    <w:rsid w:val="00A91795"/>
    <w:rsid w:val="00A97805"/>
    <w:rsid w:val="00A97BF1"/>
    <w:rsid w:val="00AA298A"/>
    <w:rsid w:val="00AA315B"/>
    <w:rsid w:val="00AA771F"/>
    <w:rsid w:val="00AB446D"/>
    <w:rsid w:val="00AC0447"/>
    <w:rsid w:val="00AC164A"/>
    <w:rsid w:val="00AD037C"/>
    <w:rsid w:val="00AD2249"/>
    <w:rsid w:val="00AE14D8"/>
    <w:rsid w:val="00AE40E8"/>
    <w:rsid w:val="00AE448A"/>
    <w:rsid w:val="00AE5DCE"/>
    <w:rsid w:val="00AF06CB"/>
    <w:rsid w:val="00AF06CE"/>
    <w:rsid w:val="00AF2050"/>
    <w:rsid w:val="00AF7D61"/>
    <w:rsid w:val="00B03398"/>
    <w:rsid w:val="00B03CA8"/>
    <w:rsid w:val="00B05EC8"/>
    <w:rsid w:val="00B21976"/>
    <w:rsid w:val="00B33C0A"/>
    <w:rsid w:val="00B34B76"/>
    <w:rsid w:val="00B373F2"/>
    <w:rsid w:val="00B40F54"/>
    <w:rsid w:val="00B47438"/>
    <w:rsid w:val="00B54884"/>
    <w:rsid w:val="00B55128"/>
    <w:rsid w:val="00B55E19"/>
    <w:rsid w:val="00B6118D"/>
    <w:rsid w:val="00B63122"/>
    <w:rsid w:val="00B6712F"/>
    <w:rsid w:val="00B81554"/>
    <w:rsid w:val="00B921B3"/>
    <w:rsid w:val="00B94758"/>
    <w:rsid w:val="00B95FCA"/>
    <w:rsid w:val="00BA4B6D"/>
    <w:rsid w:val="00BA7401"/>
    <w:rsid w:val="00BB26C5"/>
    <w:rsid w:val="00BC1C8B"/>
    <w:rsid w:val="00BC31BD"/>
    <w:rsid w:val="00BC69F4"/>
    <w:rsid w:val="00BC7D0E"/>
    <w:rsid w:val="00BE2A12"/>
    <w:rsid w:val="00BF4DE6"/>
    <w:rsid w:val="00C009C7"/>
    <w:rsid w:val="00C03C3E"/>
    <w:rsid w:val="00C06B13"/>
    <w:rsid w:val="00C12EB5"/>
    <w:rsid w:val="00C154EE"/>
    <w:rsid w:val="00C206E9"/>
    <w:rsid w:val="00C27D25"/>
    <w:rsid w:val="00C30799"/>
    <w:rsid w:val="00C36D7D"/>
    <w:rsid w:val="00C37FFA"/>
    <w:rsid w:val="00C42541"/>
    <w:rsid w:val="00C42CDE"/>
    <w:rsid w:val="00C46146"/>
    <w:rsid w:val="00C5182A"/>
    <w:rsid w:val="00C55245"/>
    <w:rsid w:val="00C55F14"/>
    <w:rsid w:val="00C578D9"/>
    <w:rsid w:val="00C6076E"/>
    <w:rsid w:val="00C63EE9"/>
    <w:rsid w:val="00C64C43"/>
    <w:rsid w:val="00C65AA2"/>
    <w:rsid w:val="00C67CAA"/>
    <w:rsid w:val="00C7035D"/>
    <w:rsid w:val="00C74AD0"/>
    <w:rsid w:val="00C8609B"/>
    <w:rsid w:val="00C86E70"/>
    <w:rsid w:val="00C914D7"/>
    <w:rsid w:val="00C916D5"/>
    <w:rsid w:val="00CA16F3"/>
    <w:rsid w:val="00CA3521"/>
    <w:rsid w:val="00CA37B1"/>
    <w:rsid w:val="00CA3F43"/>
    <w:rsid w:val="00CA6E02"/>
    <w:rsid w:val="00CB1959"/>
    <w:rsid w:val="00CB1ABD"/>
    <w:rsid w:val="00CB43E2"/>
    <w:rsid w:val="00CC741B"/>
    <w:rsid w:val="00CD0E4B"/>
    <w:rsid w:val="00CE4C89"/>
    <w:rsid w:val="00CF07BA"/>
    <w:rsid w:val="00CF6B1C"/>
    <w:rsid w:val="00D0296C"/>
    <w:rsid w:val="00D03D0E"/>
    <w:rsid w:val="00D04D54"/>
    <w:rsid w:val="00D11B1C"/>
    <w:rsid w:val="00D1290E"/>
    <w:rsid w:val="00D143CC"/>
    <w:rsid w:val="00D221BC"/>
    <w:rsid w:val="00D22531"/>
    <w:rsid w:val="00D229C5"/>
    <w:rsid w:val="00D23FBD"/>
    <w:rsid w:val="00D27405"/>
    <w:rsid w:val="00D31E8D"/>
    <w:rsid w:val="00D32D6F"/>
    <w:rsid w:val="00D33DCE"/>
    <w:rsid w:val="00D37B04"/>
    <w:rsid w:val="00D4076C"/>
    <w:rsid w:val="00D540C6"/>
    <w:rsid w:val="00D64BD1"/>
    <w:rsid w:val="00D7275B"/>
    <w:rsid w:val="00D77948"/>
    <w:rsid w:val="00D91FF3"/>
    <w:rsid w:val="00D92254"/>
    <w:rsid w:val="00D94140"/>
    <w:rsid w:val="00D97713"/>
    <w:rsid w:val="00DC1237"/>
    <w:rsid w:val="00DC1CD8"/>
    <w:rsid w:val="00DC50BC"/>
    <w:rsid w:val="00DE084C"/>
    <w:rsid w:val="00DE5210"/>
    <w:rsid w:val="00E017A4"/>
    <w:rsid w:val="00E0404C"/>
    <w:rsid w:val="00E0408D"/>
    <w:rsid w:val="00E14F51"/>
    <w:rsid w:val="00E16287"/>
    <w:rsid w:val="00E30F64"/>
    <w:rsid w:val="00E357B7"/>
    <w:rsid w:val="00E36F0C"/>
    <w:rsid w:val="00E40FB6"/>
    <w:rsid w:val="00E53800"/>
    <w:rsid w:val="00E55942"/>
    <w:rsid w:val="00E56422"/>
    <w:rsid w:val="00E6081F"/>
    <w:rsid w:val="00E617E9"/>
    <w:rsid w:val="00E62074"/>
    <w:rsid w:val="00E630D5"/>
    <w:rsid w:val="00E75060"/>
    <w:rsid w:val="00E80043"/>
    <w:rsid w:val="00E827FA"/>
    <w:rsid w:val="00E8296D"/>
    <w:rsid w:val="00E83010"/>
    <w:rsid w:val="00E8457B"/>
    <w:rsid w:val="00EA04B2"/>
    <w:rsid w:val="00EA1454"/>
    <w:rsid w:val="00EA20F3"/>
    <w:rsid w:val="00EA5FAE"/>
    <w:rsid w:val="00EA6F43"/>
    <w:rsid w:val="00EC41CB"/>
    <w:rsid w:val="00EC7557"/>
    <w:rsid w:val="00ED2831"/>
    <w:rsid w:val="00ED43D1"/>
    <w:rsid w:val="00ED75A8"/>
    <w:rsid w:val="00EE01C0"/>
    <w:rsid w:val="00EE25F4"/>
    <w:rsid w:val="00EE4EE1"/>
    <w:rsid w:val="00EF0914"/>
    <w:rsid w:val="00EF312A"/>
    <w:rsid w:val="00EF4574"/>
    <w:rsid w:val="00EF5FB3"/>
    <w:rsid w:val="00F041B6"/>
    <w:rsid w:val="00F04C36"/>
    <w:rsid w:val="00F06B41"/>
    <w:rsid w:val="00F11BDB"/>
    <w:rsid w:val="00F139E1"/>
    <w:rsid w:val="00F15ADE"/>
    <w:rsid w:val="00F25A93"/>
    <w:rsid w:val="00F2684E"/>
    <w:rsid w:val="00F36264"/>
    <w:rsid w:val="00F44EFA"/>
    <w:rsid w:val="00F4592B"/>
    <w:rsid w:val="00F45F99"/>
    <w:rsid w:val="00F5404C"/>
    <w:rsid w:val="00F619C9"/>
    <w:rsid w:val="00F62462"/>
    <w:rsid w:val="00F63AF7"/>
    <w:rsid w:val="00F70441"/>
    <w:rsid w:val="00F729EF"/>
    <w:rsid w:val="00F744A2"/>
    <w:rsid w:val="00F77CAE"/>
    <w:rsid w:val="00F80D10"/>
    <w:rsid w:val="00F82271"/>
    <w:rsid w:val="00F83428"/>
    <w:rsid w:val="00F84004"/>
    <w:rsid w:val="00F91165"/>
    <w:rsid w:val="00F937FA"/>
    <w:rsid w:val="00F94A5A"/>
    <w:rsid w:val="00F96BB9"/>
    <w:rsid w:val="00FA0883"/>
    <w:rsid w:val="00FB4FAC"/>
    <w:rsid w:val="00FB5E13"/>
    <w:rsid w:val="00FB6765"/>
    <w:rsid w:val="00FC09B0"/>
    <w:rsid w:val="00FC322F"/>
    <w:rsid w:val="00FC49D6"/>
    <w:rsid w:val="00FC5337"/>
    <w:rsid w:val="00FC67CB"/>
    <w:rsid w:val="00FD6772"/>
    <w:rsid w:val="00FE6D51"/>
    <w:rsid w:val="00FE6F2A"/>
    <w:rsid w:val="00FF0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BEC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8609B"/>
    <w:pPr>
      <w:tabs>
        <w:tab w:val="center" w:pos="4513"/>
        <w:tab w:val="right" w:pos="9026"/>
      </w:tabs>
      <w:spacing w:before="0" w:after="0"/>
      <w:ind w:left="227"/>
    </w:pPr>
    <w:rPr>
      <w:b/>
      <w:caps/>
      <w:color w:val="000000" w:themeColor="text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8609B"/>
    <w:rPr>
      <w:b/>
      <w:caps/>
      <w:color w:val="000000" w:themeColor="text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8609B"/>
    <w:pPr>
      <w:spacing w:before="0" w:after="0" w:line="240" w:lineRule="exact"/>
      <w:ind w:left="284" w:right="284"/>
    </w:pPr>
    <w:rPr>
      <w:color w:val="000000" w:themeColor="text1"/>
    </w:rPr>
  </w:style>
  <w:style w:type="character" w:customStyle="1" w:styleId="FooterChar">
    <w:name w:val="Footer Char"/>
    <w:basedOn w:val="DefaultParagraphFont"/>
    <w:link w:val="Footer"/>
    <w:uiPriority w:val="99"/>
    <w:rsid w:val="00C8609B"/>
    <w:rPr>
      <w:color w:val="000000" w:themeColor="text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character" w:styleId="IntenseReference">
    <w:name w:val="Intense Reference"/>
    <w:basedOn w:val="DefaultParagraphFont"/>
    <w:uiPriority w:val="32"/>
    <w:qFormat/>
    <w:locked/>
    <w:rsid w:val="004127B1"/>
    <w:rPr>
      <w:rFonts w:asciiTheme="minorHAnsi" w:hAnsiTheme="minorHAnsi"/>
      <w:b/>
      <w:bCs/>
      <w:caps w:val="0"/>
      <w:smallCaps/>
      <w:color w:val="007C89" w:themeColor="accent6"/>
      <w:spacing w:val="5"/>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列出"/>
    <w:basedOn w:val="Normal"/>
    <w:link w:val="ListParagraphChar"/>
    <w:uiPriority w:val="34"/>
    <w:qFormat/>
    <w:locked/>
    <w:rsid w:val="004127B1"/>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4127B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1ABD"/>
    <w:pPr>
      <w:suppressAutoHyphens w:val="0"/>
      <w:spacing w:before="0" w:after="150" w:line="240" w:lineRule="auto"/>
    </w:pPr>
    <w:rPr>
      <w:rFonts w:ascii="Times New Roman" w:eastAsia="Times New Roman" w:hAnsi="Times New Roman" w:cs="Times New Roman"/>
      <w:color w:val="auto"/>
      <w:sz w:val="24"/>
      <w:szCs w:val="24"/>
      <w:lang w:val="en-AU" w:eastAsia="en-AU"/>
    </w:rPr>
  </w:style>
  <w:style w:type="paragraph" w:customStyle="1" w:styleId="Bulletlist1HDMES">
    <w:name w:val="Bullet list 1  HDMES"/>
    <w:basedOn w:val="Normal"/>
    <w:link w:val="Bulletlist1HDMESChar"/>
    <w:qFormat/>
    <w:rsid w:val="00051EE6"/>
    <w:pPr>
      <w:numPr>
        <w:numId w:val="11"/>
      </w:numPr>
      <w:suppressAutoHyphens w:val="0"/>
      <w:spacing w:before="0" w:after="40" w:line="252" w:lineRule="auto"/>
    </w:pPr>
    <w:rPr>
      <w:rFonts w:ascii="Calibri" w:eastAsia="Calibri" w:hAnsi="Calibri" w:cs="Times New Roman"/>
      <w:color w:val="auto"/>
      <w:lang w:val="en-AU"/>
    </w:rPr>
  </w:style>
  <w:style w:type="character" w:customStyle="1" w:styleId="StyleguidetextHDMESChar">
    <w:name w:val="Styleguide text HDMES Char"/>
    <w:link w:val="StyleguidetextHDMES"/>
    <w:locked/>
    <w:rsid w:val="00763C34"/>
  </w:style>
  <w:style w:type="paragraph" w:customStyle="1" w:styleId="StyleguidetextHDMES">
    <w:name w:val="Styleguide text HDMES"/>
    <w:basedOn w:val="Normal"/>
    <w:link w:val="StyleguidetextHDMESChar"/>
    <w:qFormat/>
    <w:rsid w:val="00763C34"/>
    <w:pPr>
      <w:suppressAutoHyphens w:val="0"/>
      <w:spacing w:before="0" w:after="200" w:line="252" w:lineRule="auto"/>
    </w:pPr>
    <w:rPr>
      <w:color w:val="auto"/>
      <w:lang w:val="en-AU"/>
    </w:rPr>
  </w:style>
  <w:style w:type="paragraph" w:customStyle="1" w:styleId="StyleguidetextbulletleadHDMES">
    <w:name w:val="Styleguide text bullet lead HDMES"/>
    <w:basedOn w:val="StyleguidetextHDMES"/>
    <w:next w:val="StyleguidetextHDMES"/>
    <w:qFormat/>
    <w:rsid w:val="00763C34"/>
    <w:pPr>
      <w:spacing w:after="120"/>
    </w:pPr>
  </w:style>
  <w:style w:type="paragraph" w:customStyle="1" w:styleId="Numberedlist1HDMES">
    <w:name w:val="Numbered list 1 HDMES"/>
    <w:basedOn w:val="StyleguidetextHDMES"/>
    <w:link w:val="Numberedlist1HDMESChar"/>
    <w:qFormat/>
    <w:rsid w:val="00763C34"/>
    <w:pPr>
      <w:numPr>
        <w:numId w:val="12"/>
      </w:numPr>
      <w:tabs>
        <w:tab w:val="num" w:pos="360"/>
      </w:tabs>
      <w:spacing w:after="40"/>
      <w:ind w:left="0" w:firstLine="0"/>
    </w:pPr>
  </w:style>
  <w:style w:type="character" w:customStyle="1" w:styleId="Numberedlist1HDMESChar">
    <w:name w:val="Numbered list 1 HDMES Char"/>
    <w:link w:val="Numberedlist1HDMES"/>
    <w:locked/>
    <w:rsid w:val="00763C34"/>
  </w:style>
  <w:style w:type="table" w:styleId="GridTable1Light-Accent1">
    <w:name w:val="Grid Table 1 Light Accent 1"/>
    <w:basedOn w:val="TableNormal"/>
    <w:uiPriority w:val="46"/>
    <w:locked/>
    <w:rsid w:val="00F04C36"/>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4-Accent1">
    <w:name w:val="List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6Colorful-Accent1">
    <w:name w:val="List Table 6 Colorful Accent 1"/>
    <w:basedOn w:val="TableNormal"/>
    <w:uiPriority w:val="51"/>
    <w:locked/>
    <w:rsid w:val="00A3217B"/>
    <w:pPr>
      <w:spacing w:after="0" w:line="240" w:lineRule="auto"/>
    </w:pPr>
    <w:rPr>
      <w:color w:val="3DA18F" w:themeColor="accent1" w:themeShade="BF"/>
    </w:rPr>
    <w:tblPr>
      <w:tblStyleRowBandSize w:val="1"/>
      <w:tblStyleColBandSize w:val="1"/>
      <w:tblBorders>
        <w:top w:val="single" w:sz="4" w:space="0" w:color="65C5B4" w:themeColor="accent1"/>
        <w:bottom w:val="single" w:sz="4" w:space="0" w:color="65C5B4" w:themeColor="accent1"/>
      </w:tblBorders>
    </w:tblPr>
    <w:tblStylePr w:type="firstRow">
      <w:rPr>
        <w:b/>
        <w:bCs/>
      </w:rPr>
      <w:tblPr/>
      <w:tcPr>
        <w:tcBorders>
          <w:bottom w:val="single" w:sz="4" w:space="0" w:color="65C5B4" w:themeColor="accent1"/>
        </w:tcBorders>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Default">
    <w:name w:val="Default"/>
    <w:rsid w:val="002770F7"/>
    <w:pPr>
      <w:autoSpaceDE w:val="0"/>
      <w:autoSpaceDN w:val="0"/>
      <w:adjustRightInd w:val="0"/>
      <w:spacing w:after="0" w:line="240" w:lineRule="auto"/>
    </w:pPr>
    <w:rPr>
      <w:rFonts w:ascii="Calibri" w:hAnsi="Calibri" w:cs="Calibri"/>
      <w:color w:val="000000"/>
      <w:sz w:val="24"/>
      <w:szCs w:val="24"/>
    </w:rPr>
  </w:style>
  <w:style w:type="character" w:customStyle="1" w:styleId="Bulletlist1HDMESChar">
    <w:name w:val="Bullet list 1  HDMES Char"/>
    <w:link w:val="Bulletlist1HDMES"/>
    <w:rsid w:val="00AF06CB"/>
    <w:rPr>
      <w:rFonts w:ascii="Calibri" w:eastAsia="Calibri" w:hAnsi="Calibri" w:cs="Times New Roman"/>
    </w:rPr>
  </w:style>
  <w:style w:type="paragraph" w:customStyle="1" w:styleId="Bulletlist2HDMES">
    <w:name w:val="Bullet list 2 HDMES"/>
    <w:basedOn w:val="StyleguidetextHDMES"/>
    <w:qFormat/>
    <w:rsid w:val="00AF06CB"/>
    <w:pPr>
      <w:numPr>
        <w:numId w:val="13"/>
      </w:numPr>
      <w:tabs>
        <w:tab w:val="num" w:pos="360"/>
      </w:tabs>
      <w:spacing w:after="40"/>
      <w:ind w:left="714" w:hanging="357"/>
    </w:pPr>
    <w:rPr>
      <w:rFonts w:ascii="Calibri" w:eastAsia="Calibri" w:hAnsi="Calibri" w:cs="Times New Roman"/>
    </w:rPr>
  </w:style>
  <w:style w:type="paragraph" w:customStyle="1" w:styleId="Heading4bluevariantHDMES">
    <w:name w:val="Heading 4 blue variant HDMES"/>
    <w:basedOn w:val="Heading4"/>
    <w:qFormat/>
    <w:rsid w:val="00AF06CB"/>
    <w:pPr>
      <w:keepLines w:val="0"/>
      <w:suppressAutoHyphens w:val="0"/>
      <w:spacing w:before="80" w:after="80" w:line="252" w:lineRule="auto"/>
      <w:contextualSpacing w:val="0"/>
    </w:pPr>
    <w:rPr>
      <w:rFonts w:ascii="Franklin Gothic Demi" w:eastAsia="Times New Roman" w:hAnsi="Franklin Gothic Demi" w:cs="Times New Roman"/>
      <w:iCs w:val="0"/>
      <w:color w:val="041F60"/>
      <w:szCs w:val="28"/>
      <w:lang w:val="en-AU"/>
    </w:rPr>
  </w:style>
  <w:style w:type="paragraph" w:customStyle="1" w:styleId="FootnotetextHDMES">
    <w:name w:val="Footnote text HDMES"/>
    <w:basedOn w:val="FootnoteText"/>
    <w:qFormat/>
    <w:rsid w:val="00F937FA"/>
    <w:pPr>
      <w:suppressAutoHyphens w:val="0"/>
      <w:spacing w:before="0" w:line="252" w:lineRule="auto"/>
      <w:ind w:left="0" w:firstLine="0"/>
    </w:pPr>
    <w:rPr>
      <w:rFonts w:ascii="Calibri" w:eastAsia="Calibri" w:hAnsi="Calibri" w:cs="Times New Roman"/>
      <w:color w:val="auto"/>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940">
      <w:bodyDiv w:val="1"/>
      <w:marLeft w:val="0"/>
      <w:marRight w:val="0"/>
      <w:marTop w:val="0"/>
      <w:marBottom w:val="0"/>
      <w:divBdr>
        <w:top w:val="none" w:sz="0" w:space="0" w:color="auto"/>
        <w:left w:val="none" w:sz="0" w:space="0" w:color="auto"/>
        <w:bottom w:val="none" w:sz="0" w:space="0" w:color="auto"/>
        <w:right w:val="none" w:sz="0" w:space="0" w:color="auto"/>
      </w:divBdr>
    </w:div>
    <w:div w:id="161166714">
      <w:bodyDiv w:val="1"/>
      <w:marLeft w:val="0"/>
      <w:marRight w:val="0"/>
      <w:marTop w:val="0"/>
      <w:marBottom w:val="0"/>
      <w:divBdr>
        <w:top w:val="none" w:sz="0" w:space="0" w:color="auto"/>
        <w:left w:val="none" w:sz="0" w:space="0" w:color="auto"/>
        <w:bottom w:val="none" w:sz="0" w:space="0" w:color="auto"/>
        <w:right w:val="none" w:sz="0" w:space="0" w:color="auto"/>
      </w:divBdr>
    </w:div>
    <w:div w:id="385104012">
      <w:bodyDiv w:val="1"/>
      <w:marLeft w:val="0"/>
      <w:marRight w:val="0"/>
      <w:marTop w:val="0"/>
      <w:marBottom w:val="0"/>
      <w:divBdr>
        <w:top w:val="none" w:sz="0" w:space="0" w:color="auto"/>
        <w:left w:val="none" w:sz="0" w:space="0" w:color="auto"/>
        <w:bottom w:val="none" w:sz="0" w:space="0" w:color="auto"/>
        <w:right w:val="none" w:sz="0" w:space="0" w:color="auto"/>
      </w:divBdr>
    </w:div>
    <w:div w:id="454639245">
      <w:bodyDiv w:val="1"/>
      <w:marLeft w:val="0"/>
      <w:marRight w:val="0"/>
      <w:marTop w:val="0"/>
      <w:marBottom w:val="0"/>
      <w:divBdr>
        <w:top w:val="none" w:sz="0" w:space="0" w:color="auto"/>
        <w:left w:val="none" w:sz="0" w:space="0" w:color="auto"/>
        <w:bottom w:val="none" w:sz="0" w:space="0" w:color="auto"/>
        <w:right w:val="none" w:sz="0" w:space="0" w:color="auto"/>
      </w:divBdr>
    </w:div>
    <w:div w:id="561059176">
      <w:bodyDiv w:val="1"/>
      <w:marLeft w:val="0"/>
      <w:marRight w:val="0"/>
      <w:marTop w:val="0"/>
      <w:marBottom w:val="0"/>
      <w:divBdr>
        <w:top w:val="none" w:sz="0" w:space="0" w:color="auto"/>
        <w:left w:val="none" w:sz="0" w:space="0" w:color="auto"/>
        <w:bottom w:val="none" w:sz="0" w:space="0" w:color="auto"/>
        <w:right w:val="none" w:sz="0" w:space="0" w:color="auto"/>
      </w:divBdr>
    </w:div>
    <w:div w:id="695228247">
      <w:bodyDiv w:val="1"/>
      <w:marLeft w:val="0"/>
      <w:marRight w:val="0"/>
      <w:marTop w:val="0"/>
      <w:marBottom w:val="0"/>
      <w:divBdr>
        <w:top w:val="none" w:sz="0" w:space="0" w:color="auto"/>
        <w:left w:val="none" w:sz="0" w:space="0" w:color="auto"/>
        <w:bottom w:val="none" w:sz="0" w:space="0" w:color="auto"/>
        <w:right w:val="none" w:sz="0" w:space="0" w:color="auto"/>
      </w:divBdr>
    </w:div>
    <w:div w:id="837503222">
      <w:bodyDiv w:val="1"/>
      <w:marLeft w:val="0"/>
      <w:marRight w:val="0"/>
      <w:marTop w:val="0"/>
      <w:marBottom w:val="0"/>
      <w:divBdr>
        <w:top w:val="none" w:sz="0" w:space="0" w:color="auto"/>
        <w:left w:val="none" w:sz="0" w:space="0" w:color="auto"/>
        <w:bottom w:val="none" w:sz="0" w:space="0" w:color="auto"/>
        <w:right w:val="none" w:sz="0" w:space="0" w:color="auto"/>
      </w:divBdr>
    </w:div>
    <w:div w:id="852574167">
      <w:bodyDiv w:val="1"/>
      <w:marLeft w:val="0"/>
      <w:marRight w:val="0"/>
      <w:marTop w:val="0"/>
      <w:marBottom w:val="0"/>
      <w:divBdr>
        <w:top w:val="none" w:sz="0" w:space="0" w:color="auto"/>
        <w:left w:val="none" w:sz="0" w:space="0" w:color="auto"/>
        <w:bottom w:val="none" w:sz="0" w:space="0" w:color="auto"/>
        <w:right w:val="none" w:sz="0" w:space="0" w:color="auto"/>
      </w:divBdr>
    </w:div>
    <w:div w:id="1038436733">
      <w:bodyDiv w:val="1"/>
      <w:marLeft w:val="0"/>
      <w:marRight w:val="0"/>
      <w:marTop w:val="0"/>
      <w:marBottom w:val="0"/>
      <w:divBdr>
        <w:top w:val="none" w:sz="0" w:space="0" w:color="auto"/>
        <w:left w:val="none" w:sz="0" w:space="0" w:color="auto"/>
        <w:bottom w:val="none" w:sz="0" w:space="0" w:color="auto"/>
        <w:right w:val="none" w:sz="0" w:space="0" w:color="auto"/>
      </w:divBdr>
    </w:div>
    <w:div w:id="1086267529">
      <w:bodyDiv w:val="1"/>
      <w:marLeft w:val="0"/>
      <w:marRight w:val="0"/>
      <w:marTop w:val="0"/>
      <w:marBottom w:val="0"/>
      <w:divBdr>
        <w:top w:val="none" w:sz="0" w:space="0" w:color="auto"/>
        <w:left w:val="none" w:sz="0" w:space="0" w:color="auto"/>
        <w:bottom w:val="none" w:sz="0" w:space="0" w:color="auto"/>
        <w:right w:val="none" w:sz="0" w:space="0" w:color="auto"/>
      </w:divBdr>
    </w:div>
    <w:div w:id="1146510732">
      <w:bodyDiv w:val="1"/>
      <w:marLeft w:val="0"/>
      <w:marRight w:val="0"/>
      <w:marTop w:val="0"/>
      <w:marBottom w:val="0"/>
      <w:divBdr>
        <w:top w:val="none" w:sz="0" w:space="0" w:color="auto"/>
        <w:left w:val="none" w:sz="0" w:space="0" w:color="auto"/>
        <w:bottom w:val="none" w:sz="0" w:space="0" w:color="auto"/>
        <w:right w:val="none" w:sz="0" w:space="0" w:color="auto"/>
      </w:divBdr>
    </w:div>
    <w:div w:id="1340959503">
      <w:bodyDiv w:val="1"/>
      <w:marLeft w:val="0"/>
      <w:marRight w:val="0"/>
      <w:marTop w:val="0"/>
      <w:marBottom w:val="0"/>
      <w:divBdr>
        <w:top w:val="none" w:sz="0" w:space="0" w:color="auto"/>
        <w:left w:val="none" w:sz="0" w:space="0" w:color="auto"/>
        <w:bottom w:val="none" w:sz="0" w:space="0" w:color="auto"/>
        <w:right w:val="none" w:sz="0" w:space="0" w:color="auto"/>
      </w:divBdr>
    </w:div>
    <w:div w:id="1411662318">
      <w:bodyDiv w:val="1"/>
      <w:marLeft w:val="0"/>
      <w:marRight w:val="0"/>
      <w:marTop w:val="0"/>
      <w:marBottom w:val="0"/>
      <w:divBdr>
        <w:top w:val="none" w:sz="0" w:space="0" w:color="auto"/>
        <w:left w:val="none" w:sz="0" w:space="0" w:color="auto"/>
        <w:bottom w:val="none" w:sz="0" w:space="0" w:color="auto"/>
        <w:right w:val="none" w:sz="0" w:space="0" w:color="auto"/>
      </w:divBdr>
    </w:div>
    <w:div w:id="1798177865">
      <w:bodyDiv w:val="1"/>
      <w:marLeft w:val="0"/>
      <w:marRight w:val="0"/>
      <w:marTop w:val="0"/>
      <w:marBottom w:val="0"/>
      <w:divBdr>
        <w:top w:val="none" w:sz="0" w:space="0" w:color="auto"/>
        <w:left w:val="none" w:sz="0" w:space="0" w:color="auto"/>
        <w:bottom w:val="none" w:sz="0" w:space="0" w:color="auto"/>
        <w:right w:val="none" w:sz="0" w:space="0" w:color="auto"/>
      </w:divBdr>
    </w:div>
    <w:div w:id="19176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CB33-23E8-4F73-ACD3-FA02322F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6092</Characters>
  <Application>Microsoft Office Word</Application>
  <DocSecurity>0</DocSecurity>
  <Lines>296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2021-12-14T02:50:00Z</dcterms:created>
  <dcterms:modified xsi:type="dcterms:W3CDTF">2021-12-14T02:50:00Z</dcterms:modified>
  <cp:category/>
</cp:coreProperties>
</file>