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05D5" w14:textId="77777777" w:rsidR="00FC4487" w:rsidRDefault="0030405D" w:rsidP="007D766C">
      <w:pPr>
        <w:pStyle w:val="Heading1"/>
      </w:pPr>
      <w:bookmarkStart w:id="0" w:name="_Toc199103127"/>
      <w:r w:rsidRPr="007D766C">
        <w:t xml:space="preserve">2025 </w:t>
      </w:r>
      <w:r w:rsidR="002E6697" w:rsidRPr="007D766C">
        <w:t>A</w:t>
      </w:r>
      <w:r w:rsidRPr="007D766C">
        <w:t xml:space="preserve">ustralia Awards in Indonesia (AAI) Program </w:t>
      </w:r>
      <w:r w:rsidR="002E6697" w:rsidRPr="007D766C">
        <w:t>Mid-Term Review</w:t>
      </w:r>
    </w:p>
    <w:p w14:paraId="07C2FF41" w14:textId="53113C25" w:rsidR="002E6697" w:rsidRPr="00DF0992" w:rsidRDefault="002E6697" w:rsidP="00DF0992">
      <w:pPr>
        <w:pStyle w:val="Heading1"/>
      </w:pPr>
      <w:r w:rsidRPr="007D766C">
        <w:t>Management Response</w:t>
      </w:r>
    </w:p>
    <w:p w14:paraId="5EC71BCE" w14:textId="77777777" w:rsidR="002E6697" w:rsidRPr="00915160" w:rsidRDefault="002E6697" w:rsidP="007D766C">
      <w:pPr>
        <w:pStyle w:val="Heading2"/>
      </w:pPr>
      <w:r w:rsidRPr="00915160">
        <w:t>Summary of Management Response</w:t>
      </w:r>
    </w:p>
    <w:p w14:paraId="17829AB6" w14:textId="18410594" w:rsidR="002E6697" w:rsidRPr="00F0756D" w:rsidRDefault="002E6697" w:rsidP="00A06286">
      <w:pPr>
        <w:pStyle w:val="ListParagraph"/>
        <w:numPr>
          <w:ilvl w:val="0"/>
          <w:numId w:val="4"/>
        </w:numPr>
        <w:spacing w:before="120" w:after="0"/>
        <w:ind w:left="426" w:hanging="426"/>
        <w:jc w:val="both"/>
        <w:rPr>
          <w:rFonts w:ascii="Aptos Narrow" w:hAnsi="Aptos Narrow" w:cs="Calibri"/>
          <w:b/>
          <w:sz w:val="22"/>
          <w:szCs w:val="22"/>
        </w:rPr>
      </w:pPr>
      <w:r w:rsidRPr="00D37E61">
        <w:rPr>
          <w:rFonts w:ascii="Aptos Narrow" w:hAnsi="Aptos Narrow" w:cs="Calibri"/>
          <w:b/>
          <w:sz w:val="22"/>
          <w:szCs w:val="22"/>
        </w:rPr>
        <w:t xml:space="preserve">General: </w:t>
      </w:r>
      <w:r w:rsidRPr="00B448B2">
        <w:rPr>
          <w:rFonts w:ascii="Aptos Narrow" w:hAnsi="Aptos Narrow" w:cs="Calibri"/>
          <w:sz w:val="22"/>
          <w:szCs w:val="22"/>
        </w:rPr>
        <w:t>DFAT welcomes the comprehensive Australia Awards in Indonesia (AAI) Mid-Term Review, which provides valuable insights and recommendations. These findings will inform and guide DFAT's future scholarship program.</w:t>
      </w:r>
    </w:p>
    <w:p w14:paraId="0875E8AD" w14:textId="77777777" w:rsidR="002E6697" w:rsidRDefault="002E6697" w:rsidP="00A06286">
      <w:pPr>
        <w:pStyle w:val="ListParagraph"/>
        <w:spacing w:before="120" w:after="0"/>
        <w:ind w:left="426"/>
        <w:jc w:val="both"/>
        <w:rPr>
          <w:rFonts w:ascii="Aptos Narrow" w:hAnsi="Aptos Narrow" w:cs="Calibri"/>
          <w:sz w:val="22"/>
          <w:szCs w:val="22"/>
        </w:rPr>
      </w:pPr>
      <w:r w:rsidRPr="00F0756D">
        <w:rPr>
          <w:rFonts w:ascii="Aptos Narrow" w:hAnsi="Aptos Narrow" w:cs="Calibri"/>
          <w:sz w:val="22"/>
          <w:szCs w:val="22"/>
        </w:rPr>
        <w:t xml:space="preserve">We are pleased with the report's positive assessment, notably that </w:t>
      </w:r>
      <w:r>
        <w:rPr>
          <w:rFonts w:ascii="Aptos Narrow" w:hAnsi="Aptos Narrow" w:cs="Calibri"/>
          <w:i/>
          <w:iCs/>
          <w:sz w:val="22"/>
          <w:szCs w:val="22"/>
        </w:rPr>
        <w:t>‘</w:t>
      </w:r>
      <w:r w:rsidRPr="00F0756D">
        <w:rPr>
          <w:rFonts w:ascii="Aptos Narrow" w:hAnsi="Aptos Narrow" w:cs="Calibri"/>
          <w:i/>
          <w:iCs/>
          <w:sz w:val="22"/>
          <w:szCs w:val="22"/>
        </w:rPr>
        <w:t>Overall, AAI is a well-established and highly regarded program that is performing well</w:t>
      </w:r>
      <w:r>
        <w:rPr>
          <w:rFonts w:ascii="Aptos Narrow" w:hAnsi="Aptos Narrow" w:cs="Calibri"/>
          <w:i/>
          <w:iCs/>
          <w:sz w:val="22"/>
          <w:szCs w:val="22"/>
        </w:rPr>
        <w:t>’.</w:t>
      </w:r>
    </w:p>
    <w:p w14:paraId="2E6BDCF0" w14:textId="77777777" w:rsidR="002E6697" w:rsidRDefault="002E6697" w:rsidP="00A06286">
      <w:pPr>
        <w:pStyle w:val="ListParagraph"/>
        <w:spacing w:before="120" w:after="0"/>
        <w:ind w:left="426"/>
        <w:jc w:val="both"/>
        <w:rPr>
          <w:rFonts w:ascii="Aptos Narrow" w:hAnsi="Aptos Narrow" w:cs="Calibri"/>
          <w:sz w:val="22"/>
          <w:szCs w:val="22"/>
        </w:rPr>
      </w:pPr>
    </w:p>
    <w:p w14:paraId="5585CA65" w14:textId="77777777" w:rsidR="004A135D" w:rsidRDefault="004A135D" w:rsidP="004A135D">
      <w:pPr>
        <w:pStyle w:val="ListParagraph"/>
        <w:spacing w:before="120" w:after="0"/>
        <w:ind w:left="426"/>
        <w:rPr>
          <w:rFonts w:ascii="Aptos Narrow" w:hAnsi="Aptos Narrow" w:cs="Calibri"/>
          <w:sz w:val="22"/>
          <w:szCs w:val="22"/>
        </w:rPr>
      </w:pPr>
      <w:r>
        <w:rPr>
          <w:rFonts w:ascii="Aptos Narrow" w:hAnsi="Aptos Narrow" w:cs="Calibri"/>
          <w:sz w:val="22"/>
          <w:szCs w:val="22"/>
        </w:rPr>
        <w:t xml:space="preserve">DFAT’s response to the high-priority recommendations includes the following: </w:t>
      </w:r>
    </w:p>
    <w:p w14:paraId="6E315DA9" w14:textId="77777777" w:rsidR="002E6697" w:rsidRPr="00A03668" w:rsidRDefault="002E6697" w:rsidP="00A06286">
      <w:pPr>
        <w:pStyle w:val="ListParagraph"/>
        <w:spacing w:before="120" w:after="0"/>
        <w:ind w:left="426"/>
        <w:jc w:val="both"/>
        <w:rPr>
          <w:rFonts w:ascii="Aptos Narrow" w:hAnsi="Aptos Narrow" w:cs="Calibri"/>
          <w:sz w:val="22"/>
          <w:szCs w:val="22"/>
        </w:rPr>
      </w:pPr>
    </w:p>
    <w:p w14:paraId="0C6E263E" w14:textId="03B6D5FC" w:rsidR="00481E6C" w:rsidRPr="00A74056" w:rsidRDefault="00481E6C" w:rsidP="00481E6C">
      <w:pPr>
        <w:pStyle w:val="ListParagraph"/>
        <w:numPr>
          <w:ilvl w:val="0"/>
          <w:numId w:val="4"/>
        </w:numPr>
        <w:spacing w:before="120" w:after="0"/>
        <w:ind w:left="426" w:hanging="426"/>
        <w:rPr>
          <w:rFonts w:ascii="Aptos Narrow" w:hAnsi="Aptos Narrow" w:cs="Calibri"/>
          <w:b/>
          <w:sz w:val="22"/>
          <w:szCs w:val="22"/>
        </w:rPr>
      </w:pPr>
      <w:r w:rsidRPr="00D37E61">
        <w:rPr>
          <w:rFonts w:ascii="Aptos Narrow" w:hAnsi="Aptos Narrow" w:cs="Calibri"/>
          <w:b/>
          <w:sz w:val="22"/>
          <w:szCs w:val="22"/>
        </w:rPr>
        <w:t xml:space="preserve">Relevance: </w:t>
      </w:r>
      <w:r w:rsidRPr="00B448B2">
        <w:rPr>
          <w:rFonts w:ascii="Aptos Narrow" w:hAnsi="Aptos Narrow" w:cs="Calibri"/>
          <w:sz w:val="22"/>
          <w:szCs w:val="22"/>
        </w:rPr>
        <w:t xml:space="preserve">DFAT acknowledges the finding that AAI is highly relevant to the needs and priorities of both governments. </w:t>
      </w:r>
      <w:r w:rsidRPr="000E17DD">
        <w:rPr>
          <w:rFonts w:ascii="Aptos Narrow" w:hAnsi="Aptos Narrow" w:cs="Calibri"/>
          <w:sz w:val="22"/>
          <w:szCs w:val="22"/>
        </w:rPr>
        <w:t xml:space="preserve">We agree to </w:t>
      </w:r>
      <w:r w:rsidR="001F300F">
        <w:rPr>
          <w:rFonts w:ascii="Aptos Narrow" w:hAnsi="Aptos Narrow" w:cs="Calibri"/>
          <w:sz w:val="22"/>
          <w:szCs w:val="22"/>
        </w:rPr>
        <w:t xml:space="preserve">continue to </w:t>
      </w:r>
      <w:r w:rsidRPr="000E17DD">
        <w:rPr>
          <w:rFonts w:ascii="Aptos Narrow" w:hAnsi="Aptos Narrow" w:cs="Calibri"/>
          <w:sz w:val="22"/>
          <w:szCs w:val="22"/>
        </w:rPr>
        <w:t>enhance the program’s relevance through close cooperation and coordination across DFAT teams, ensuring strong alignment</w:t>
      </w:r>
      <w:r w:rsidRPr="000E17DD">
        <w:rPr>
          <w:rFonts w:ascii="Aptos Narrow" w:hAnsi="Aptos Narrow"/>
          <w:sz w:val="22"/>
          <w:szCs w:val="22"/>
        </w:rPr>
        <w:t xml:space="preserve"> with </w:t>
      </w:r>
      <w:r w:rsidR="001F300F">
        <w:rPr>
          <w:rFonts w:ascii="Aptos Narrow" w:hAnsi="Aptos Narrow"/>
          <w:sz w:val="22"/>
          <w:szCs w:val="22"/>
        </w:rPr>
        <w:t xml:space="preserve">both the </w:t>
      </w:r>
      <w:r w:rsidRPr="000E17DD">
        <w:rPr>
          <w:rFonts w:ascii="Aptos Narrow" w:hAnsi="Aptos Narrow"/>
          <w:sz w:val="22"/>
          <w:szCs w:val="22"/>
        </w:rPr>
        <w:t>Australia</w:t>
      </w:r>
      <w:r>
        <w:rPr>
          <w:rFonts w:ascii="Aptos Narrow" w:hAnsi="Aptos Narrow"/>
          <w:sz w:val="22"/>
          <w:szCs w:val="22"/>
        </w:rPr>
        <w:t xml:space="preserve">n </w:t>
      </w:r>
      <w:r w:rsidR="001F300F">
        <w:rPr>
          <w:rFonts w:ascii="Aptos Narrow" w:hAnsi="Aptos Narrow"/>
          <w:sz w:val="22"/>
          <w:szCs w:val="22"/>
        </w:rPr>
        <w:t>and</w:t>
      </w:r>
      <w:r w:rsidRPr="000E17DD">
        <w:rPr>
          <w:rFonts w:ascii="Aptos Narrow" w:hAnsi="Aptos Narrow" w:cs="Calibri"/>
          <w:sz w:val="22"/>
          <w:szCs w:val="22"/>
        </w:rPr>
        <w:t xml:space="preserve"> </w:t>
      </w:r>
      <w:r w:rsidR="001F300F" w:rsidRPr="000E17DD">
        <w:rPr>
          <w:rFonts w:ascii="Aptos Narrow" w:hAnsi="Aptos Narrow" w:cs="Calibri"/>
          <w:sz w:val="22"/>
          <w:szCs w:val="22"/>
        </w:rPr>
        <w:t>Indonesia</w:t>
      </w:r>
      <w:r w:rsidR="001F300F">
        <w:rPr>
          <w:rFonts w:ascii="Aptos Narrow" w:hAnsi="Aptos Narrow" w:cs="Calibri"/>
          <w:sz w:val="22"/>
          <w:szCs w:val="22"/>
        </w:rPr>
        <w:t>n Government’s</w:t>
      </w:r>
      <w:r w:rsidR="001F300F" w:rsidRPr="000E17DD">
        <w:rPr>
          <w:rFonts w:ascii="Aptos Narrow" w:hAnsi="Aptos Narrow" w:cs="Calibri"/>
          <w:sz w:val="22"/>
          <w:szCs w:val="22"/>
        </w:rPr>
        <w:t xml:space="preserve"> </w:t>
      </w:r>
      <w:r w:rsidRPr="000E17DD">
        <w:rPr>
          <w:rFonts w:ascii="Aptos Narrow" w:hAnsi="Aptos Narrow" w:cs="Calibri"/>
          <w:sz w:val="22"/>
          <w:szCs w:val="22"/>
        </w:rPr>
        <w:t>p</w:t>
      </w:r>
      <w:r>
        <w:rPr>
          <w:rFonts w:ascii="Aptos Narrow" w:hAnsi="Aptos Narrow" w:cs="Calibri"/>
          <w:sz w:val="22"/>
          <w:szCs w:val="22"/>
        </w:rPr>
        <w:t xml:space="preserve">riorities </w:t>
      </w:r>
      <w:r w:rsidRPr="00A74056">
        <w:rPr>
          <w:rFonts w:ascii="Aptos Narrow" w:hAnsi="Aptos Narrow" w:cs="Calibri"/>
          <w:sz w:val="22"/>
          <w:szCs w:val="22"/>
        </w:rPr>
        <w:t xml:space="preserve">outlined in the </w:t>
      </w:r>
      <w:r w:rsidR="001F300F">
        <w:rPr>
          <w:rFonts w:ascii="Aptos Narrow" w:hAnsi="Aptos Narrow" w:cs="Calibri"/>
          <w:sz w:val="22"/>
          <w:szCs w:val="22"/>
        </w:rPr>
        <w:t xml:space="preserve">Plan of Action for the </w:t>
      </w:r>
      <w:r w:rsidRPr="00A74056">
        <w:rPr>
          <w:rFonts w:ascii="Aptos Narrow" w:hAnsi="Aptos Narrow" w:cs="Calibri"/>
          <w:sz w:val="22"/>
          <w:szCs w:val="22"/>
        </w:rPr>
        <w:t>Indonesia-Australia Comprehensive Strategic Partnership (2025-2029).</w:t>
      </w:r>
    </w:p>
    <w:p w14:paraId="7D495F50" w14:textId="77777777" w:rsidR="002E6697" w:rsidRPr="00D37E61" w:rsidRDefault="002E6697" w:rsidP="00A06286">
      <w:pPr>
        <w:pStyle w:val="ListParagraph"/>
        <w:spacing w:before="120" w:after="0"/>
        <w:ind w:left="567"/>
        <w:jc w:val="both"/>
        <w:rPr>
          <w:rFonts w:ascii="Aptos Narrow" w:hAnsi="Aptos Narrow"/>
          <w:sz w:val="22"/>
          <w:szCs w:val="22"/>
        </w:rPr>
      </w:pPr>
    </w:p>
    <w:p w14:paraId="3A8FBC6D" w14:textId="77777777" w:rsidR="001D652F" w:rsidRPr="00501829" w:rsidRDefault="001D652F" w:rsidP="001D652F">
      <w:pPr>
        <w:pStyle w:val="ListParagraph"/>
        <w:numPr>
          <w:ilvl w:val="0"/>
          <w:numId w:val="4"/>
        </w:numPr>
        <w:spacing w:before="120" w:after="0"/>
        <w:ind w:left="426" w:hanging="426"/>
        <w:rPr>
          <w:rFonts w:ascii="Aptos Narrow" w:hAnsi="Aptos Narrow" w:cs="Calibri"/>
          <w:b/>
          <w:sz w:val="22"/>
          <w:szCs w:val="22"/>
        </w:rPr>
      </w:pPr>
      <w:r w:rsidRPr="00D37E61">
        <w:rPr>
          <w:rFonts w:ascii="Aptos Narrow" w:hAnsi="Aptos Narrow" w:cs="Calibri"/>
          <w:b/>
          <w:sz w:val="22"/>
          <w:szCs w:val="22"/>
        </w:rPr>
        <w:t>Effectiveness:</w:t>
      </w:r>
      <w:r w:rsidRPr="00D37E61">
        <w:rPr>
          <w:rFonts w:ascii="Aptos Narrow" w:hAnsi="Aptos Narrow" w:cs="Calibri"/>
          <w:sz w:val="22"/>
          <w:szCs w:val="22"/>
        </w:rPr>
        <w:t xml:space="preserve"> </w:t>
      </w:r>
      <w:r w:rsidRPr="00B448B2">
        <w:rPr>
          <w:rFonts w:ascii="Aptos Narrow" w:hAnsi="Aptos Narrow" w:cs="Calibri"/>
          <w:sz w:val="22"/>
          <w:szCs w:val="22"/>
        </w:rPr>
        <w:t xml:space="preserve">DFAT </w:t>
      </w:r>
      <w:r>
        <w:rPr>
          <w:rFonts w:ascii="Aptos Narrow" w:hAnsi="Aptos Narrow" w:cs="Calibri"/>
          <w:sz w:val="22"/>
          <w:szCs w:val="22"/>
        </w:rPr>
        <w:t>agrees</w:t>
      </w:r>
      <w:r w:rsidRPr="00B448B2">
        <w:rPr>
          <w:rFonts w:ascii="Aptos Narrow" w:hAnsi="Aptos Narrow" w:cs="Calibri"/>
          <w:sz w:val="22"/>
          <w:szCs w:val="22"/>
        </w:rPr>
        <w:t xml:space="preserve"> with the finding that AAI is effective in delivering activities across the awards cycle and achieving program outcomes. We appreciate the high levels of satisfaction reported by awardees and alumni.</w:t>
      </w:r>
      <w:r>
        <w:rPr>
          <w:rFonts w:ascii="Aptos Narrow" w:hAnsi="Aptos Narrow" w:cs="Calibri"/>
          <w:sz w:val="22"/>
          <w:szCs w:val="22"/>
        </w:rPr>
        <w:t xml:space="preserve"> </w:t>
      </w:r>
      <w:r w:rsidRPr="00501829">
        <w:rPr>
          <w:rFonts w:ascii="Aptos Narrow" w:hAnsi="Aptos Narrow" w:cs="Calibri"/>
          <w:sz w:val="22"/>
          <w:szCs w:val="22"/>
        </w:rPr>
        <w:t xml:space="preserve">To build on this success and address areas for improvement, DFAT will: </w:t>
      </w:r>
    </w:p>
    <w:p w14:paraId="373C81BB" w14:textId="54981357" w:rsidR="001D652F" w:rsidRPr="001D652F" w:rsidRDefault="001D652F" w:rsidP="001D652F">
      <w:pPr>
        <w:pStyle w:val="ListParagraph"/>
        <w:numPr>
          <w:ilvl w:val="0"/>
          <w:numId w:val="16"/>
        </w:numPr>
        <w:spacing w:before="120" w:after="0"/>
        <w:rPr>
          <w:rFonts w:ascii="Aptos Narrow" w:hAnsi="Aptos Narrow" w:cs="Calibri"/>
          <w:sz w:val="22"/>
          <w:szCs w:val="22"/>
        </w:rPr>
      </w:pPr>
      <w:r w:rsidRPr="001D652F">
        <w:rPr>
          <w:rFonts w:ascii="Aptos Narrow" w:hAnsi="Aptos Narrow" w:cs="Calibri"/>
          <w:sz w:val="22"/>
          <w:szCs w:val="22"/>
        </w:rPr>
        <w:t xml:space="preserve">refine the Split-Site </w:t>
      </w:r>
      <w:proofErr w:type="spellStart"/>
      <w:r w:rsidRPr="001D652F">
        <w:rPr>
          <w:rFonts w:ascii="Aptos Narrow" w:hAnsi="Aptos Narrow" w:cs="Calibri"/>
          <w:sz w:val="22"/>
          <w:szCs w:val="22"/>
        </w:rPr>
        <w:t>Masters</w:t>
      </w:r>
      <w:proofErr w:type="spellEnd"/>
      <w:r w:rsidRPr="001D652F">
        <w:rPr>
          <w:rFonts w:ascii="Aptos Narrow" w:hAnsi="Aptos Narrow" w:cs="Calibri"/>
          <w:sz w:val="22"/>
          <w:szCs w:val="22"/>
        </w:rPr>
        <w:t xml:space="preserve"> Program (SSMP) to enhance </w:t>
      </w:r>
      <w:r w:rsidR="001F300F">
        <w:rPr>
          <w:rFonts w:ascii="Aptos Narrow" w:hAnsi="Aptos Narrow" w:cs="Calibri"/>
          <w:sz w:val="22"/>
          <w:szCs w:val="22"/>
        </w:rPr>
        <w:t xml:space="preserve">its </w:t>
      </w:r>
      <w:r w:rsidRPr="001D652F">
        <w:rPr>
          <w:rFonts w:ascii="Aptos Narrow" w:hAnsi="Aptos Narrow" w:cs="Calibri"/>
          <w:sz w:val="22"/>
          <w:szCs w:val="22"/>
        </w:rPr>
        <w:t>outcomes</w:t>
      </w:r>
    </w:p>
    <w:p w14:paraId="2749BE7F" w14:textId="490984CD" w:rsidR="001D652F" w:rsidRPr="001D652F" w:rsidRDefault="001D652F" w:rsidP="001D652F">
      <w:pPr>
        <w:pStyle w:val="ListParagraph"/>
        <w:numPr>
          <w:ilvl w:val="0"/>
          <w:numId w:val="16"/>
        </w:numPr>
        <w:spacing w:before="120" w:after="0"/>
        <w:rPr>
          <w:rFonts w:ascii="Aptos Narrow" w:hAnsi="Aptos Narrow" w:cs="Calibri"/>
          <w:sz w:val="22"/>
          <w:szCs w:val="22"/>
        </w:rPr>
      </w:pPr>
      <w:r w:rsidRPr="001D652F">
        <w:rPr>
          <w:rFonts w:ascii="Aptos Narrow" w:hAnsi="Aptos Narrow" w:cs="Calibri"/>
          <w:sz w:val="22"/>
          <w:szCs w:val="22"/>
        </w:rPr>
        <w:t xml:space="preserve">explore opportunities to broaden collaboration with </w:t>
      </w:r>
      <w:r w:rsidR="001F300F">
        <w:rPr>
          <w:rFonts w:ascii="Aptos Narrow" w:hAnsi="Aptos Narrow" w:cs="Calibri"/>
          <w:sz w:val="22"/>
          <w:szCs w:val="22"/>
        </w:rPr>
        <w:t>the Indonesian Government</w:t>
      </w:r>
      <w:r w:rsidRPr="001D652F">
        <w:rPr>
          <w:rFonts w:ascii="Aptos Narrow" w:hAnsi="Aptos Narrow" w:cs="Calibri"/>
          <w:sz w:val="22"/>
          <w:szCs w:val="22"/>
        </w:rPr>
        <w:t xml:space="preserve"> to expand program offerings </w:t>
      </w:r>
    </w:p>
    <w:p w14:paraId="531DE6A0" w14:textId="77777777" w:rsidR="001D652F" w:rsidRPr="001D652F" w:rsidRDefault="001D652F" w:rsidP="001D652F">
      <w:pPr>
        <w:pStyle w:val="ListParagraph"/>
        <w:numPr>
          <w:ilvl w:val="0"/>
          <w:numId w:val="16"/>
        </w:numPr>
        <w:spacing w:before="120" w:after="0"/>
        <w:rPr>
          <w:rFonts w:ascii="Aptos Narrow" w:hAnsi="Aptos Narrow" w:cs="Calibri"/>
          <w:sz w:val="22"/>
          <w:szCs w:val="22"/>
        </w:rPr>
      </w:pPr>
      <w:r w:rsidRPr="001D652F">
        <w:rPr>
          <w:rFonts w:ascii="Aptos Narrow" w:hAnsi="Aptos Narrow" w:cs="Calibri"/>
          <w:sz w:val="22"/>
          <w:szCs w:val="22"/>
        </w:rPr>
        <w:t>enhance Pre-Departure Training (PDT) to better prepare awardees</w:t>
      </w:r>
    </w:p>
    <w:p w14:paraId="3D2575D2" w14:textId="77777777" w:rsidR="001D652F" w:rsidRPr="001D652F" w:rsidRDefault="001D652F" w:rsidP="001D652F">
      <w:pPr>
        <w:pStyle w:val="ListParagraph"/>
        <w:numPr>
          <w:ilvl w:val="0"/>
          <w:numId w:val="16"/>
        </w:numPr>
        <w:spacing w:before="120" w:after="0"/>
        <w:rPr>
          <w:rFonts w:ascii="Aptos Narrow" w:hAnsi="Aptos Narrow" w:cs="Calibri"/>
          <w:sz w:val="22"/>
          <w:szCs w:val="22"/>
        </w:rPr>
      </w:pPr>
      <w:r w:rsidRPr="001D652F">
        <w:rPr>
          <w:rFonts w:ascii="Aptos Narrow" w:hAnsi="Aptos Narrow" w:cs="Calibri"/>
          <w:sz w:val="22"/>
          <w:szCs w:val="22"/>
        </w:rPr>
        <w:t xml:space="preserve">strengthen on-award enrichment and linkages activities to maximise program impact </w:t>
      </w:r>
    </w:p>
    <w:p w14:paraId="6125D021" w14:textId="77777777" w:rsidR="001D652F" w:rsidRDefault="001D652F" w:rsidP="001D652F">
      <w:pPr>
        <w:pStyle w:val="ListParagraph"/>
        <w:numPr>
          <w:ilvl w:val="0"/>
          <w:numId w:val="16"/>
        </w:numPr>
        <w:spacing w:before="120" w:after="0"/>
        <w:rPr>
          <w:rFonts w:ascii="Aptos Narrow" w:hAnsi="Aptos Narrow" w:cs="Calibri"/>
          <w:sz w:val="22"/>
          <w:szCs w:val="22"/>
        </w:rPr>
      </w:pPr>
      <w:r w:rsidRPr="001D652F">
        <w:rPr>
          <w:rFonts w:ascii="Aptos Narrow" w:hAnsi="Aptos Narrow" w:cs="Calibri"/>
          <w:sz w:val="22"/>
          <w:szCs w:val="22"/>
        </w:rPr>
        <w:t>review and adjust the Contribution to Living Expenses (CLE) to ensure it adequately supports awardees' needs.</w:t>
      </w:r>
    </w:p>
    <w:p w14:paraId="36619168" w14:textId="77777777" w:rsidR="007A6EB6" w:rsidRPr="001D652F" w:rsidRDefault="007A6EB6" w:rsidP="007A6EB6">
      <w:pPr>
        <w:pStyle w:val="ListParagraph"/>
        <w:spacing w:before="120" w:after="0"/>
        <w:ind w:left="786"/>
        <w:rPr>
          <w:rFonts w:ascii="Aptos Narrow" w:hAnsi="Aptos Narrow" w:cs="Calibri"/>
          <w:sz w:val="22"/>
          <w:szCs w:val="22"/>
        </w:rPr>
      </w:pPr>
    </w:p>
    <w:p w14:paraId="7C9E43CF" w14:textId="48C503B7" w:rsidR="00C0337C" w:rsidRPr="005D7C0D" w:rsidRDefault="00C0337C" w:rsidP="002D7AA6">
      <w:pPr>
        <w:pStyle w:val="ListParagraph"/>
        <w:numPr>
          <w:ilvl w:val="0"/>
          <w:numId w:val="4"/>
        </w:numPr>
        <w:spacing w:before="120" w:after="0"/>
        <w:ind w:left="426" w:hanging="437"/>
        <w:rPr>
          <w:rFonts w:ascii="Aptos Narrow" w:hAnsi="Aptos Narrow" w:cs="Calibri"/>
          <w:b/>
          <w:bCs/>
          <w:sz w:val="22"/>
          <w:szCs w:val="22"/>
        </w:rPr>
      </w:pPr>
      <w:r w:rsidRPr="00D37E61">
        <w:rPr>
          <w:rFonts w:ascii="Aptos Narrow" w:hAnsi="Aptos Narrow" w:cs="Calibri"/>
          <w:b/>
          <w:bCs/>
          <w:sz w:val="22"/>
          <w:szCs w:val="22"/>
        </w:rPr>
        <w:t xml:space="preserve">GEDSI and Climate Change: </w:t>
      </w:r>
      <w:r w:rsidRPr="00F0756D">
        <w:rPr>
          <w:rFonts w:ascii="Aptos Narrow" w:hAnsi="Aptos Narrow" w:cs="Calibri"/>
          <w:sz w:val="22"/>
          <w:szCs w:val="22"/>
        </w:rPr>
        <w:t xml:space="preserve">DFAT acknowledges AAI's strong performance in advancing inclusive development, particularly through the effective integration of GEDSI. </w:t>
      </w:r>
      <w:r w:rsidRPr="00E77014">
        <w:rPr>
          <w:rFonts w:ascii="Aptos Narrow" w:hAnsi="Aptos Narrow" w:cs="Calibri"/>
          <w:sz w:val="22"/>
          <w:szCs w:val="22"/>
        </w:rPr>
        <w:t>With more developed guidance on cross-cutting priorities of GEDSI and climate change,</w:t>
      </w:r>
      <w:r>
        <w:rPr>
          <w:rFonts w:ascii="Aptos Narrow" w:hAnsi="Aptos Narrow" w:cs="Calibri"/>
          <w:sz w:val="22"/>
          <w:szCs w:val="22"/>
        </w:rPr>
        <w:t xml:space="preserve"> </w:t>
      </w:r>
      <w:r w:rsidR="002D7AA6" w:rsidRPr="00E77014">
        <w:rPr>
          <w:rFonts w:ascii="Aptos Narrow" w:hAnsi="Aptos Narrow" w:cs="Calibri"/>
          <w:sz w:val="22"/>
          <w:szCs w:val="22"/>
        </w:rPr>
        <w:t>AAI will</w:t>
      </w:r>
      <w:r w:rsidR="002D7AA6">
        <w:rPr>
          <w:rFonts w:ascii="Aptos Narrow" w:hAnsi="Aptos Narrow" w:cs="Calibri"/>
          <w:sz w:val="22"/>
          <w:szCs w:val="22"/>
        </w:rPr>
        <w:t xml:space="preserve"> further enhance its approach. In addition, DFAT will:</w:t>
      </w:r>
    </w:p>
    <w:p w14:paraId="5E9C4C97" w14:textId="77777777" w:rsidR="00C0337C" w:rsidRPr="002D7AA6" w:rsidRDefault="00C0337C" w:rsidP="002D7AA6">
      <w:pPr>
        <w:pStyle w:val="ListParagraph"/>
        <w:numPr>
          <w:ilvl w:val="0"/>
          <w:numId w:val="17"/>
        </w:numPr>
        <w:spacing w:before="120" w:after="0"/>
        <w:rPr>
          <w:rFonts w:ascii="Aptos Narrow" w:hAnsi="Aptos Narrow" w:cs="Calibri"/>
          <w:sz w:val="22"/>
          <w:szCs w:val="22"/>
        </w:rPr>
      </w:pPr>
      <w:r w:rsidRPr="002D7AA6">
        <w:rPr>
          <w:rFonts w:ascii="Aptos Narrow" w:hAnsi="Aptos Narrow" w:cs="Calibri"/>
          <w:sz w:val="22"/>
          <w:szCs w:val="22"/>
        </w:rPr>
        <w:t>conduct detailed analysis to mainstream climate change into the program</w:t>
      </w:r>
    </w:p>
    <w:p w14:paraId="2D332861" w14:textId="77777777" w:rsidR="00C0337C" w:rsidRPr="002D7AA6" w:rsidRDefault="00C0337C" w:rsidP="002D7AA6">
      <w:pPr>
        <w:pStyle w:val="ListParagraph"/>
        <w:numPr>
          <w:ilvl w:val="0"/>
          <w:numId w:val="17"/>
        </w:numPr>
        <w:spacing w:before="120" w:after="0"/>
        <w:rPr>
          <w:rFonts w:ascii="Aptos Narrow" w:hAnsi="Aptos Narrow" w:cs="Calibri"/>
          <w:sz w:val="22"/>
          <w:szCs w:val="22"/>
        </w:rPr>
      </w:pPr>
      <w:r w:rsidRPr="002D7AA6">
        <w:rPr>
          <w:rFonts w:ascii="Aptos Narrow" w:hAnsi="Aptos Narrow" w:cs="Calibri"/>
          <w:sz w:val="22"/>
          <w:szCs w:val="22"/>
        </w:rPr>
        <w:t>conduct detailed analysis on GEDSI requirements to inform support for Equity Target Groups (ETGs)</w:t>
      </w:r>
    </w:p>
    <w:p w14:paraId="1EA0DDD1" w14:textId="77777777" w:rsidR="00C0337C" w:rsidRPr="002D7AA6" w:rsidRDefault="00C0337C" w:rsidP="002D7AA6">
      <w:pPr>
        <w:pStyle w:val="ListParagraph"/>
        <w:numPr>
          <w:ilvl w:val="0"/>
          <w:numId w:val="17"/>
        </w:numPr>
        <w:spacing w:before="120" w:after="0"/>
        <w:rPr>
          <w:rFonts w:ascii="Aptos Narrow" w:hAnsi="Aptos Narrow" w:cs="Calibri"/>
          <w:sz w:val="22"/>
          <w:szCs w:val="22"/>
        </w:rPr>
      </w:pPr>
      <w:r w:rsidRPr="002D7AA6">
        <w:rPr>
          <w:rFonts w:ascii="Aptos Narrow" w:hAnsi="Aptos Narrow" w:cs="Calibri"/>
          <w:sz w:val="22"/>
          <w:szCs w:val="22"/>
        </w:rPr>
        <w:t>strengthen awardee support through a comprehensive strategy for managing psychosocial and mental health, in conjunction with the Australia Awards Global Program.</w:t>
      </w:r>
    </w:p>
    <w:p w14:paraId="23F865DD" w14:textId="77777777" w:rsidR="002E6697" w:rsidRPr="00B129DC" w:rsidRDefault="002E6697" w:rsidP="00664645">
      <w:pPr>
        <w:pStyle w:val="ListParagraph"/>
        <w:spacing w:before="120" w:after="0"/>
        <w:ind w:left="426"/>
        <w:jc w:val="both"/>
        <w:rPr>
          <w:rFonts w:ascii="Aptos Narrow" w:hAnsi="Aptos Narrow" w:cs="Calibri"/>
          <w:sz w:val="22"/>
          <w:szCs w:val="22"/>
        </w:rPr>
      </w:pPr>
    </w:p>
    <w:p w14:paraId="522C8E12" w14:textId="1F6F1004" w:rsidR="00F101EA" w:rsidRPr="007F11BC" w:rsidRDefault="00F101EA" w:rsidP="007F11BC">
      <w:pPr>
        <w:suppressAutoHyphens w:val="0"/>
        <w:spacing w:line="278" w:lineRule="auto"/>
        <w:rPr>
          <w:rFonts w:ascii="Aptos Narrow" w:hAnsi="Aptos Narrow"/>
          <w:iCs/>
          <w:color w:val="000000" w:themeColor="text1"/>
          <w:sz w:val="20"/>
          <w:szCs w:val="20"/>
        </w:rPr>
        <w:sectPr w:rsidR="00F101EA" w:rsidRPr="007F11BC" w:rsidSect="00374BF3">
          <w:pgSz w:w="12240" w:h="15840"/>
          <w:pgMar w:top="1077" w:right="1134" w:bottom="1077" w:left="1134" w:header="709" w:footer="709" w:gutter="0"/>
          <w:cols w:space="708"/>
          <w:docGrid w:linePitch="360"/>
        </w:sectPr>
      </w:pPr>
    </w:p>
    <w:bookmarkEnd w:id="0"/>
    <w:p w14:paraId="58DC349C" w14:textId="77777777" w:rsidR="00FC2F78" w:rsidRPr="00915160" w:rsidRDefault="00FC2F78" w:rsidP="00FC2F78">
      <w:pPr>
        <w:pStyle w:val="Caption"/>
        <w:rPr>
          <w:rFonts w:ascii="Aptos Narrow" w:hAnsi="Aptos Narrow"/>
          <w:b/>
          <w:bCs/>
          <w:i/>
          <w:iCs w:val="0"/>
          <w:color w:val="074F6A" w:themeColor="accent4" w:themeShade="80"/>
          <w:sz w:val="22"/>
          <w:szCs w:val="22"/>
        </w:rPr>
      </w:pPr>
      <w:r w:rsidRPr="00915160">
        <w:rPr>
          <w:rFonts w:ascii="Aptos Narrow" w:hAnsi="Aptos Narrow"/>
          <w:b/>
          <w:bCs/>
          <w:i/>
          <w:iCs w:val="0"/>
          <w:color w:val="074F6A" w:themeColor="accent4" w:themeShade="80"/>
          <w:sz w:val="22"/>
          <w:szCs w:val="22"/>
        </w:rPr>
        <w:lastRenderedPageBreak/>
        <w:t>Individual Management Response to the MTR Recommendations</w:t>
      </w:r>
    </w:p>
    <w:p w14:paraId="5A58F370" w14:textId="77777777" w:rsidR="004F6ACE" w:rsidRDefault="004F6ACE" w:rsidP="005B2CC3">
      <w:pPr>
        <w:rPr>
          <w:b/>
          <w:bCs/>
          <w:color w:val="156082" w:themeColor="accent1"/>
        </w:rPr>
      </w:pPr>
    </w:p>
    <w:p w14:paraId="4AA9B90B" w14:textId="345FCD6F" w:rsidR="005B2CC3" w:rsidRPr="00987179" w:rsidRDefault="005B2CC3" w:rsidP="007D766C">
      <w:pPr>
        <w:pStyle w:val="Heading2"/>
      </w:pPr>
      <w:r w:rsidRPr="00987179">
        <w:t>CRITERIA: RELEVANCE</w:t>
      </w:r>
    </w:p>
    <w:tbl>
      <w:tblPr>
        <w:tblStyle w:val="SustineoTables"/>
        <w:tblW w:w="14280" w:type="dxa"/>
        <w:tblLayout w:type="fixed"/>
        <w:tblLook w:val="0620" w:firstRow="1" w:lastRow="0" w:firstColumn="0" w:lastColumn="0" w:noHBand="1" w:noVBand="1"/>
      </w:tblPr>
      <w:tblGrid>
        <w:gridCol w:w="690"/>
        <w:gridCol w:w="1350"/>
        <w:gridCol w:w="3510"/>
        <w:gridCol w:w="7560"/>
        <w:gridCol w:w="1170"/>
      </w:tblGrid>
      <w:tr w:rsidR="00915160" w:rsidRPr="00290E0E" w14:paraId="483AB2DC" w14:textId="77777777" w:rsidTr="00EF5138">
        <w:trPr>
          <w:cnfStyle w:val="100000000000" w:firstRow="1" w:lastRow="0" w:firstColumn="0" w:lastColumn="0" w:oddVBand="0" w:evenVBand="0" w:oddHBand="0" w:evenHBand="0" w:firstRowFirstColumn="0" w:firstRowLastColumn="0" w:lastRowFirstColumn="0" w:lastRowLastColumn="0"/>
          <w:trHeight w:val="300"/>
        </w:trPr>
        <w:tc>
          <w:tcPr>
            <w:tcW w:w="690" w:type="dxa"/>
            <w:vAlign w:val="center"/>
          </w:tcPr>
          <w:p w14:paraId="4A674BE6" w14:textId="21E5DC32" w:rsidR="655FD186" w:rsidRDefault="10913C8B" w:rsidP="00EF5138">
            <w:pPr>
              <w:pStyle w:val="Tabletext"/>
              <w:jc w:val="center"/>
              <w:rPr>
                <w:rFonts w:ascii="Aptos Narrow" w:hAnsi="Aptos Narrow"/>
                <w:sz w:val="22"/>
                <w:szCs w:val="22"/>
              </w:rPr>
            </w:pPr>
            <w:r w:rsidRPr="6AD7FB03">
              <w:rPr>
                <w:rFonts w:ascii="Aptos Narrow" w:hAnsi="Aptos Narrow"/>
                <w:sz w:val="22"/>
                <w:szCs w:val="22"/>
              </w:rPr>
              <w:t>No</w:t>
            </w:r>
            <w:r w:rsidR="45977D53" w:rsidRPr="6AD7FB03">
              <w:rPr>
                <w:rFonts w:ascii="Aptos Narrow" w:hAnsi="Aptos Narrow"/>
                <w:sz w:val="22"/>
                <w:szCs w:val="22"/>
              </w:rPr>
              <w:t>.</w:t>
            </w:r>
          </w:p>
        </w:tc>
        <w:tc>
          <w:tcPr>
            <w:tcW w:w="1350" w:type="dxa"/>
            <w:vAlign w:val="center"/>
          </w:tcPr>
          <w:p w14:paraId="6C2CC970" w14:textId="250E1F84" w:rsidR="005B2CC3" w:rsidRPr="00290E0E" w:rsidRDefault="763A600B" w:rsidP="00B109EC">
            <w:pPr>
              <w:pStyle w:val="Tabletext"/>
              <w:ind w:right="-108"/>
              <w:jc w:val="center"/>
              <w:rPr>
                <w:rFonts w:ascii="Aptos Narrow" w:hAnsi="Aptos Narrow"/>
                <w:sz w:val="22"/>
                <w:szCs w:val="22"/>
              </w:rPr>
            </w:pPr>
            <w:proofErr w:type="gramStart"/>
            <w:r w:rsidRPr="6AD7FB03">
              <w:rPr>
                <w:rFonts w:ascii="Aptos Narrow" w:hAnsi="Aptos Narrow"/>
                <w:sz w:val="22"/>
                <w:szCs w:val="22"/>
              </w:rPr>
              <w:t>F</w:t>
            </w:r>
            <w:r w:rsidR="6CC69515" w:rsidRPr="6AD7FB03">
              <w:rPr>
                <w:rFonts w:ascii="Aptos Narrow" w:hAnsi="Aptos Narrow"/>
                <w:sz w:val="22"/>
                <w:szCs w:val="22"/>
              </w:rPr>
              <w:t>ocus</w:t>
            </w:r>
            <w:r w:rsidR="2D31DD50" w:rsidRPr="6AD7FB03">
              <w:rPr>
                <w:rFonts w:ascii="Aptos Narrow" w:hAnsi="Aptos Narrow"/>
                <w:sz w:val="22"/>
                <w:szCs w:val="22"/>
              </w:rPr>
              <w:t xml:space="preserve"> </w:t>
            </w:r>
            <w:r w:rsidR="20B5050E" w:rsidRPr="6AD7FB03">
              <w:rPr>
                <w:rFonts w:ascii="Aptos Narrow" w:hAnsi="Aptos Narrow"/>
                <w:sz w:val="22"/>
                <w:szCs w:val="22"/>
              </w:rPr>
              <w:t xml:space="preserve"> -</w:t>
            </w:r>
            <w:proofErr w:type="gramEnd"/>
            <w:r w:rsidR="20B5050E" w:rsidRPr="6AD7FB03">
              <w:rPr>
                <w:rFonts w:ascii="Aptos Narrow" w:hAnsi="Aptos Narrow"/>
                <w:sz w:val="22"/>
                <w:szCs w:val="22"/>
              </w:rPr>
              <w:t xml:space="preserve"> Priority</w:t>
            </w:r>
          </w:p>
        </w:tc>
        <w:tc>
          <w:tcPr>
            <w:tcW w:w="3510" w:type="dxa"/>
            <w:vAlign w:val="center"/>
          </w:tcPr>
          <w:p w14:paraId="55BE46E7" w14:textId="77777777" w:rsidR="005B2CC3" w:rsidRPr="00290E0E" w:rsidRDefault="005B2CC3" w:rsidP="00B109EC">
            <w:pPr>
              <w:pStyle w:val="Tabletext"/>
              <w:ind w:left="-108"/>
              <w:jc w:val="center"/>
              <w:rPr>
                <w:rFonts w:ascii="Aptos Narrow" w:hAnsi="Aptos Narrow"/>
                <w:sz w:val="22"/>
                <w:szCs w:val="22"/>
              </w:rPr>
            </w:pPr>
            <w:r w:rsidRPr="00290E0E">
              <w:rPr>
                <w:rFonts w:ascii="Aptos Narrow" w:hAnsi="Aptos Narrow"/>
                <w:sz w:val="22"/>
                <w:szCs w:val="22"/>
              </w:rPr>
              <w:t>Recommendation</w:t>
            </w:r>
          </w:p>
        </w:tc>
        <w:tc>
          <w:tcPr>
            <w:tcW w:w="7560" w:type="dxa"/>
            <w:vAlign w:val="center"/>
          </w:tcPr>
          <w:p w14:paraId="1063CFC7" w14:textId="77777777" w:rsidR="005B2CC3" w:rsidRPr="00290E0E" w:rsidRDefault="005B2CC3" w:rsidP="00B109EC">
            <w:pPr>
              <w:pStyle w:val="Tabletext"/>
              <w:ind w:right="-76"/>
              <w:jc w:val="center"/>
              <w:rPr>
                <w:rFonts w:ascii="Aptos Narrow" w:hAnsi="Aptos Narrow"/>
                <w:sz w:val="22"/>
                <w:szCs w:val="22"/>
              </w:rPr>
            </w:pPr>
            <w:r w:rsidRPr="00290E0E">
              <w:rPr>
                <w:rFonts w:ascii="Aptos Narrow" w:hAnsi="Aptos Narrow"/>
                <w:sz w:val="22"/>
                <w:szCs w:val="22"/>
              </w:rPr>
              <w:t>DFAT Response</w:t>
            </w:r>
          </w:p>
        </w:tc>
        <w:tc>
          <w:tcPr>
            <w:tcW w:w="1170" w:type="dxa"/>
            <w:vAlign w:val="center"/>
          </w:tcPr>
          <w:p w14:paraId="6026B6AB" w14:textId="77777777" w:rsidR="005B2CC3" w:rsidRPr="00290E0E" w:rsidRDefault="005B2CC3" w:rsidP="00B109EC">
            <w:pPr>
              <w:pStyle w:val="Tabletext"/>
              <w:ind w:right="-76"/>
              <w:jc w:val="center"/>
              <w:rPr>
                <w:rFonts w:ascii="Aptos Narrow" w:hAnsi="Aptos Narrow"/>
                <w:sz w:val="22"/>
                <w:szCs w:val="22"/>
              </w:rPr>
            </w:pPr>
            <w:r>
              <w:rPr>
                <w:rFonts w:ascii="Aptos Narrow" w:hAnsi="Aptos Narrow"/>
                <w:sz w:val="22"/>
                <w:szCs w:val="22"/>
              </w:rPr>
              <w:t>Timeframe</w:t>
            </w:r>
          </w:p>
        </w:tc>
      </w:tr>
      <w:tr w:rsidR="005B2CC3" w:rsidRPr="00290E0E" w14:paraId="52F12265" w14:textId="77777777" w:rsidTr="00EF5138">
        <w:trPr>
          <w:cantSplit/>
          <w:trHeight w:val="300"/>
        </w:trPr>
        <w:tc>
          <w:tcPr>
            <w:tcW w:w="690" w:type="dxa"/>
          </w:tcPr>
          <w:p w14:paraId="3BFC8377" w14:textId="16F8C043" w:rsidR="084D7C2F" w:rsidRDefault="084D7C2F" w:rsidP="00EF5138">
            <w:pPr>
              <w:pStyle w:val="Tabletext"/>
              <w:rPr>
                <w:rFonts w:ascii="Aptos Narrow" w:hAnsi="Aptos Narrow"/>
                <w:sz w:val="22"/>
                <w:szCs w:val="22"/>
              </w:rPr>
            </w:pPr>
            <w:r w:rsidRPr="68A75737">
              <w:rPr>
                <w:rFonts w:ascii="Aptos Narrow" w:hAnsi="Aptos Narrow"/>
                <w:sz w:val="22"/>
                <w:szCs w:val="22"/>
              </w:rPr>
              <w:t>1</w:t>
            </w:r>
          </w:p>
        </w:tc>
        <w:tc>
          <w:tcPr>
            <w:tcW w:w="1350" w:type="dxa"/>
          </w:tcPr>
          <w:p w14:paraId="2A2DC3D3" w14:textId="7B909093" w:rsidR="005B2CC3" w:rsidRPr="00290E0E" w:rsidRDefault="6CC69515" w:rsidP="00B109EC">
            <w:pPr>
              <w:pStyle w:val="Tabletext"/>
              <w:ind w:right="-108"/>
              <w:rPr>
                <w:rFonts w:ascii="Aptos Narrow" w:hAnsi="Aptos Narrow"/>
                <w:sz w:val="22"/>
                <w:szCs w:val="22"/>
              </w:rPr>
            </w:pPr>
            <w:r w:rsidRPr="00EF5138">
              <w:rPr>
                <w:rFonts w:ascii="Aptos Narrow" w:hAnsi="Aptos Narrow"/>
                <w:sz w:val="22"/>
                <w:szCs w:val="22"/>
              </w:rPr>
              <w:t>Strategic</w:t>
            </w:r>
            <w:r w:rsidR="344FE6C4" w:rsidRPr="6AD7FB03">
              <w:rPr>
                <w:rFonts w:ascii="Aptos Narrow" w:hAnsi="Aptos Narrow"/>
                <w:sz w:val="22"/>
                <w:szCs w:val="22"/>
              </w:rPr>
              <w:t xml:space="preserve"> – </w:t>
            </w:r>
            <w:r w:rsidR="0E4ABEFC" w:rsidRPr="00EF5138">
              <w:rPr>
                <w:rFonts w:ascii="Aptos Narrow" w:hAnsi="Aptos Narrow"/>
                <w:sz w:val="22"/>
                <w:szCs w:val="22"/>
              </w:rPr>
              <w:t>Medium</w:t>
            </w:r>
            <w:r w:rsidR="344FE6C4" w:rsidRPr="6AD7FB03">
              <w:rPr>
                <w:rFonts w:ascii="Aptos Narrow" w:hAnsi="Aptos Narrow"/>
                <w:sz w:val="22"/>
                <w:szCs w:val="22"/>
              </w:rPr>
              <w:t xml:space="preserve"> </w:t>
            </w:r>
          </w:p>
        </w:tc>
        <w:tc>
          <w:tcPr>
            <w:tcW w:w="3510" w:type="dxa"/>
          </w:tcPr>
          <w:p w14:paraId="01F042AD" w14:textId="01E6E993" w:rsidR="005B2CC3" w:rsidRPr="00290E0E" w:rsidRDefault="005B2CC3" w:rsidP="001C2724">
            <w:pPr>
              <w:pStyle w:val="Tabletext"/>
              <w:ind w:left="-108"/>
              <w:rPr>
                <w:rFonts w:ascii="Aptos Narrow" w:hAnsi="Aptos Narrow"/>
                <w:sz w:val="22"/>
                <w:szCs w:val="22"/>
              </w:rPr>
            </w:pPr>
            <w:r w:rsidRPr="00290E0E">
              <w:rPr>
                <w:rFonts w:ascii="Aptos Narrow" w:hAnsi="Aptos Narrow"/>
                <w:sz w:val="22"/>
                <w:szCs w:val="22"/>
              </w:rPr>
              <w:t>Continue and strengthen coordination and consultation with Consulates General and DFAT Canberra Indonesia Branch to ensure strong program alignment with Government of Australia strategic policies.</w:t>
            </w:r>
          </w:p>
        </w:tc>
        <w:tc>
          <w:tcPr>
            <w:tcW w:w="7560" w:type="dxa"/>
          </w:tcPr>
          <w:p w14:paraId="56C984A3" w14:textId="77777777" w:rsidR="005B2CC3" w:rsidRDefault="005B2CC3" w:rsidP="00B109EC">
            <w:pPr>
              <w:pStyle w:val="Tabletext"/>
              <w:rPr>
                <w:rFonts w:ascii="Aptos Narrow" w:hAnsi="Aptos Narrow"/>
                <w:sz w:val="22"/>
                <w:szCs w:val="22"/>
              </w:rPr>
            </w:pPr>
            <w:r w:rsidRPr="00290E0E">
              <w:rPr>
                <w:rFonts w:ascii="Aptos Narrow" w:hAnsi="Aptos Narrow"/>
                <w:sz w:val="22"/>
                <w:szCs w:val="22"/>
              </w:rPr>
              <w:t xml:space="preserve">Agree. </w:t>
            </w:r>
          </w:p>
          <w:p w14:paraId="4D3E4C75" w14:textId="0435F1ED" w:rsidR="005B2CC3" w:rsidRPr="00290E0E" w:rsidRDefault="005B2CC3" w:rsidP="00EF5138">
            <w:pPr>
              <w:pStyle w:val="Tabletext"/>
              <w:rPr>
                <w:rFonts w:ascii="Aptos Narrow" w:hAnsi="Aptos Narrow"/>
                <w:sz w:val="22"/>
                <w:szCs w:val="22"/>
              </w:rPr>
            </w:pPr>
            <w:r w:rsidRPr="00290E0E">
              <w:rPr>
                <w:rFonts w:ascii="Aptos Narrow" w:hAnsi="Aptos Narrow"/>
                <w:sz w:val="22"/>
                <w:szCs w:val="22"/>
              </w:rPr>
              <w:t>DFAT will enhance coordination</w:t>
            </w:r>
            <w:r w:rsidR="001F300F">
              <w:rPr>
                <w:rFonts w:ascii="Aptos Narrow" w:hAnsi="Aptos Narrow"/>
                <w:sz w:val="22"/>
                <w:szCs w:val="22"/>
              </w:rPr>
              <w:t xml:space="preserve"> through internal coordination measures between the Australian Embassy Jakarta, Australian Consulates General Bali, Makassar and Surabaya and DFAT Indonesia Branch.</w:t>
            </w:r>
          </w:p>
        </w:tc>
        <w:tc>
          <w:tcPr>
            <w:tcW w:w="1170" w:type="dxa"/>
          </w:tcPr>
          <w:p w14:paraId="6A0813EC"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Ongoing</w:t>
            </w:r>
          </w:p>
        </w:tc>
      </w:tr>
      <w:tr w:rsidR="005B2CC3" w:rsidRPr="00290E0E" w14:paraId="4D111971" w14:textId="77777777" w:rsidTr="00EF5138">
        <w:trPr>
          <w:cantSplit/>
          <w:trHeight w:val="300"/>
        </w:trPr>
        <w:tc>
          <w:tcPr>
            <w:tcW w:w="690" w:type="dxa"/>
          </w:tcPr>
          <w:p w14:paraId="0BC81D17" w14:textId="76CAB408" w:rsidR="577A7365" w:rsidRDefault="577A7365" w:rsidP="00EF5138">
            <w:pPr>
              <w:pStyle w:val="Tabletext"/>
              <w:rPr>
                <w:rFonts w:ascii="Aptos Narrow" w:hAnsi="Aptos Narrow"/>
                <w:sz w:val="22"/>
                <w:szCs w:val="22"/>
              </w:rPr>
            </w:pPr>
            <w:r w:rsidRPr="68A75737">
              <w:rPr>
                <w:rFonts w:ascii="Aptos Narrow" w:hAnsi="Aptos Narrow"/>
                <w:sz w:val="22"/>
                <w:szCs w:val="22"/>
              </w:rPr>
              <w:t>2</w:t>
            </w:r>
          </w:p>
        </w:tc>
        <w:tc>
          <w:tcPr>
            <w:tcW w:w="1350" w:type="dxa"/>
          </w:tcPr>
          <w:p w14:paraId="07C1587B" w14:textId="124C21C5" w:rsidR="005B2CC3" w:rsidRPr="00290E0E" w:rsidRDefault="36AE8BCC" w:rsidP="00B109EC">
            <w:pPr>
              <w:pStyle w:val="Tabletext"/>
              <w:ind w:right="-108"/>
              <w:rPr>
                <w:rFonts w:ascii="Aptos Narrow" w:hAnsi="Aptos Narrow"/>
                <w:sz w:val="22"/>
                <w:szCs w:val="22"/>
              </w:rPr>
            </w:pPr>
            <w:r w:rsidRPr="00EF5138">
              <w:rPr>
                <w:rFonts w:ascii="Aptos Narrow" w:hAnsi="Aptos Narrow"/>
                <w:sz w:val="22"/>
                <w:szCs w:val="22"/>
              </w:rPr>
              <w:t>Strategic</w:t>
            </w:r>
            <w:r w:rsidR="2AE13479" w:rsidRPr="6AD7FB03">
              <w:rPr>
                <w:rFonts w:ascii="Aptos Narrow" w:hAnsi="Aptos Narrow"/>
                <w:sz w:val="22"/>
                <w:szCs w:val="22"/>
              </w:rPr>
              <w:t xml:space="preserve"> – </w:t>
            </w:r>
            <w:r w:rsidRPr="00EF5138">
              <w:rPr>
                <w:rFonts w:ascii="Aptos Narrow" w:hAnsi="Aptos Narrow"/>
                <w:sz w:val="22"/>
                <w:szCs w:val="22"/>
              </w:rPr>
              <w:t>Medium</w:t>
            </w:r>
            <w:r w:rsidR="2AE13479" w:rsidRPr="6AD7FB03">
              <w:rPr>
                <w:rFonts w:ascii="Aptos Narrow" w:hAnsi="Aptos Narrow"/>
                <w:sz w:val="22"/>
                <w:szCs w:val="22"/>
              </w:rPr>
              <w:t xml:space="preserve"> </w:t>
            </w:r>
          </w:p>
        </w:tc>
        <w:tc>
          <w:tcPr>
            <w:tcW w:w="3510" w:type="dxa"/>
          </w:tcPr>
          <w:p w14:paraId="1422A6D1" w14:textId="77777777" w:rsidR="005B2CC3" w:rsidRPr="00290E0E" w:rsidRDefault="005B2CC3" w:rsidP="00B109EC">
            <w:pPr>
              <w:pStyle w:val="Tabletext"/>
              <w:ind w:left="-108"/>
              <w:rPr>
                <w:rFonts w:ascii="Aptos Narrow" w:hAnsi="Aptos Narrow"/>
                <w:sz w:val="22"/>
                <w:szCs w:val="22"/>
              </w:rPr>
            </w:pPr>
            <w:r w:rsidRPr="00290E0E">
              <w:rPr>
                <w:rFonts w:ascii="Aptos Narrow" w:hAnsi="Aptos Narrow"/>
                <w:sz w:val="22"/>
                <w:szCs w:val="22"/>
              </w:rPr>
              <w:t>Review and assess the current thematic spread of awardees and their fields of study to develop a more focused and targeted selection in line with the Australia–Indonesia Development Partnership Plan 2024–2028 and in consultation with relevant branches in the Embassy, Consulates General and DFAT Canberra.</w:t>
            </w:r>
          </w:p>
        </w:tc>
        <w:tc>
          <w:tcPr>
            <w:tcW w:w="7560" w:type="dxa"/>
          </w:tcPr>
          <w:p w14:paraId="7CB6D304" w14:textId="77777777" w:rsidR="00C341E6" w:rsidRDefault="00C341E6" w:rsidP="00C341E6">
            <w:pPr>
              <w:pStyle w:val="Tabletext"/>
              <w:rPr>
                <w:rFonts w:ascii="Aptos Narrow" w:hAnsi="Aptos Narrow"/>
                <w:sz w:val="22"/>
                <w:szCs w:val="22"/>
              </w:rPr>
            </w:pPr>
            <w:r w:rsidRPr="68A75737">
              <w:rPr>
                <w:rFonts w:ascii="Aptos Narrow" w:hAnsi="Aptos Narrow"/>
                <w:sz w:val="22"/>
                <w:szCs w:val="22"/>
              </w:rPr>
              <w:t xml:space="preserve">Agree. </w:t>
            </w:r>
          </w:p>
          <w:p w14:paraId="39B7BC7B" w14:textId="0DB83CCA" w:rsidR="005B2CC3" w:rsidRDefault="005B2CC3" w:rsidP="00B109EC">
            <w:pPr>
              <w:pStyle w:val="Tabletext"/>
              <w:rPr>
                <w:rFonts w:ascii="Aptos Narrow" w:hAnsi="Aptos Narrow"/>
                <w:sz w:val="22"/>
                <w:szCs w:val="22"/>
              </w:rPr>
            </w:pPr>
            <w:r w:rsidRPr="00290E0E">
              <w:rPr>
                <w:rFonts w:ascii="Aptos Narrow" w:hAnsi="Aptos Narrow"/>
                <w:sz w:val="22"/>
                <w:szCs w:val="22"/>
              </w:rPr>
              <w:t>The</w:t>
            </w:r>
            <w:r>
              <w:rPr>
                <w:rFonts w:ascii="Aptos Narrow" w:hAnsi="Aptos Narrow"/>
                <w:sz w:val="22"/>
                <w:szCs w:val="22"/>
              </w:rPr>
              <w:t xml:space="preserve"> program has a range </w:t>
            </w:r>
            <w:r w:rsidRPr="00290E0E">
              <w:rPr>
                <w:rFonts w:ascii="Aptos Narrow" w:hAnsi="Aptos Narrow"/>
                <w:sz w:val="22"/>
                <w:szCs w:val="22"/>
              </w:rPr>
              <w:t>of modalities</w:t>
            </w:r>
            <w:r>
              <w:rPr>
                <w:rFonts w:ascii="Aptos Narrow" w:hAnsi="Aptos Narrow"/>
                <w:sz w:val="22"/>
                <w:szCs w:val="22"/>
              </w:rPr>
              <w:t xml:space="preserve"> that</w:t>
            </w:r>
            <w:r w:rsidRPr="00290E0E">
              <w:rPr>
                <w:rFonts w:ascii="Aptos Narrow" w:hAnsi="Aptos Narrow"/>
                <w:sz w:val="22"/>
                <w:szCs w:val="22"/>
              </w:rPr>
              <w:t xml:space="preserve"> </w:t>
            </w:r>
            <w:r>
              <w:rPr>
                <w:rFonts w:ascii="Aptos Narrow" w:hAnsi="Aptos Narrow"/>
                <w:sz w:val="22"/>
                <w:szCs w:val="22"/>
              </w:rPr>
              <w:t>offer</w:t>
            </w:r>
            <w:r w:rsidRPr="00290E0E">
              <w:rPr>
                <w:rFonts w:ascii="Aptos Narrow" w:hAnsi="Aptos Narrow"/>
                <w:sz w:val="22"/>
                <w:szCs w:val="22"/>
              </w:rPr>
              <w:t xml:space="preserve"> a broad range of fields of study </w:t>
            </w:r>
            <w:r>
              <w:rPr>
                <w:rFonts w:ascii="Aptos Narrow" w:hAnsi="Aptos Narrow"/>
                <w:sz w:val="22"/>
                <w:szCs w:val="22"/>
              </w:rPr>
              <w:t>which</w:t>
            </w:r>
            <w:r w:rsidRPr="00290E0E">
              <w:rPr>
                <w:rFonts w:ascii="Aptos Narrow" w:hAnsi="Aptos Narrow"/>
                <w:sz w:val="22"/>
                <w:szCs w:val="22"/>
              </w:rPr>
              <w:t xml:space="preserve"> align with the priorities of both the Government of Australia (</w:t>
            </w:r>
            <w:proofErr w:type="spellStart"/>
            <w:r w:rsidRPr="00290E0E">
              <w:rPr>
                <w:rFonts w:ascii="Aptos Narrow" w:hAnsi="Aptos Narrow"/>
                <w:sz w:val="22"/>
                <w:szCs w:val="22"/>
              </w:rPr>
              <w:t>GoA</w:t>
            </w:r>
            <w:proofErr w:type="spellEnd"/>
            <w:r w:rsidRPr="00290E0E">
              <w:rPr>
                <w:rFonts w:ascii="Aptos Narrow" w:hAnsi="Aptos Narrow"/>
                <w:sz w:val="22"/>
                <w:szCs w:val="22"/>
              </w:rPr>
              <w:t>) and the Government of Indonesia (</w:t>
            </w:r>
            <w:proofErr w:type="spellStart"/>
            <w:r w:rsidRPr="00290E0E">
              <w:rPr>
                <w:rFonts w:ascii="Aptos Narrow" w:hAnsi="Aptos Narrow"/>
                <w:sz w:val="22"/>
                <w:szCs w:val="22"/>
              </w:rPr>
              <w:t>GoI</w:t>
            </w:r>
            <w:proofErr w:type="spellEnd"/>
            <w:r w:rsidRPr="00290E0E">
              <w:rPr>
                <w:rFonts w:ascii="Aptos Narrow" w:hAnsi="Aptos Narrow"/>
                <w:sz w:val="22"/>
                <w:szCs w:val="22"/>
              </w:rPr>
              <w:t>)</w:t>
            </w:r>
            <w:r w:rsidR="003B36D3">
              <w:rPr>
                <w:rFonts w:ascii="Aptos Narrow" w:hAnsi="Aptos Narrow"/>
                <w:sz w:val="22"/>
                <w:szCs w:val="22"/>
              </w:rPr>
              <w:t xml:space="preserve">, </w:t>
            </w:r>
            <w:r w:rsidR="003B36D3" w:rsidRPr="00A74056">
              <w:rPr>
                <w:rFonts w:ascii="Aptos Narrow" w:hAnsi="Aptos Narrow" w:cs="Calibri"/>
                <w:sz w:val="22"/>
                <w:szCs w:val="22"/>
              </w:rPr>
              <w:t xml:space="preserve">outlined in the </w:t>
            </w:r>
            <w:r w:rsidR="003B36D3">
              <w:rPr>
                <w:rFonts w:ascii="Aptos Narrow" w:hAnsi="Aptos Narrow" w:cs="Calibri"/>
                <w:sz w:val="22"/>
                <w:szCs w:val="22"/>
              </w:rPr>
              <w:t xml:space="preserve">Plan of Action for the </w:t>
            </w:r>
            <w:r w:rsidR="003B36D3" w:rsidRPr="00A74056">
              <w:rPr>
                <w:rFonts w:ascii="Aptos Narrow" w:hAnsi="Aptos Narrow" w:cs="Calibri"/>
                <w:sz w:val="22"/>
                <w:szCs w:val="22"/>
              </w:rPr>
              <w:t>Indonesia-Australia Comprehensive Strategic Partnership (2025-2029)</w:t>
            </w:r>
            <w:r w:rsidR="003B36D3">
              <w:rPr>
                <w:rFonts w:ascii="Aptos Narrow" w:hAnsi="Aptos Narrow" w:cs="Calibri"/>
                <w:sz w:val="22"/>
                <w:szCs w:val="22"/>
              </w:rPr>
              <w:t>, as well as the Australia-Indonesia Development Partnership Plan (2024-2028)</w:t>
            </w:r>
            <w:r w:rsidRPr="00290E0E">
              <w:rPr>
                <w:rFonts w:ascii="Aptos Narrow" w:hAnsi="Aptos Narrow"/>
                <w:sz w:val="22"/>
                <w:szCs w:val="22"/>
              </w:rPr>
              <w:t xml:space="preserve">. </w:t>
            </w:r>
            <w:r>
              <w:rPr>
                <w:rFonts w:ascii="Aptos Narrow" w:hAnsi="Aptos Narrow"/>
                <w:sz w:val="22"/>
                <w:szCs w:val="22"/>
              </w:rPr>
              <w:t xml:space="preserve">The original Investment Design specified that the program should target a diverse range of scholars representing a broad range of socio-economic and thematic backgrounds. </w:t>
            </w:r>
          </w:p>
          <w:p w14:paraId="1AAC923C" w14:textId="77777777" w:rsidR="00E41CD5" w:rsidRDefault="005B2CC3" w:rsidP="00E41CD5">
            <w:pPr>
              <w:pStyle w:val="Tabletext"/>
              <w:rPr>
                <w:rFonts w:ascii="Aptos Narrow" w:hAnsi="Aptos Narrow"/>
                <w:sz w:val="22"/>
                <w:szCs w:val="22"/>
              </w:rPr>
            </w:pPr>
            <w:r w:rsidRPr="00290E0E">
              <w:rPr>
                <w:rFonts w:ascii="Aptos Narrow" w:hAnsi="Aptos Narrow"/>
                <w:sz w:val="22"/>
                <w:szCs w:val="22"/>
              </w:rPr>
              <w:t>Additionally, specific scholarship programs, such as the G20, LPDP-Australia Awards Scholarship (AAS), Nusantara Scholarships and the forthcoming Garuda Scholarships, enable more targeted support and focused options</w:t>
            </w:r>
            <w:r>
              <w:rPr>
                <w:rFonts w:ascii="Aptos Narrow" w:hAnsi="Aptos Narrow"/>
                <w:sz w:val="22"/>
                <w:szCs w:val="22"/>
              </w:rPr>
              <w:t>.</w:t>
            </w:r>
            <w:r w:rsidR="00E41CD5">
              <w:t xml:space="preserve"> </w:t>
            </w:r>
            <w:r w:rsidR="00E41CD5" w:rsidRPr="00E41CD5">
              <w:rPr>
                <w:rFonts w:ascii="Aptos Narrow" w:hAnsi="Aptos Narrow"/>
                <w:sz w:val="22"/>
                <w:szCs w:val="22"/>
              </w:rPr>
              <w:t>Future ad-hoc scholarships should be carefully designed to ensure alignment with program priorities and effectiveness, building on lessons learned from existing initiative</w:t>
            </w:r>
            <w:r w:rsidR="00E41CD5">
              <w:rPr>
                <w:rFonts w:ascii="Aptos Narrow" w:hAnsi="Aptos Narrow"/>
                <w:sz w:val="22"/>
                <w:szCs w:val="22"/>
              </w:rPr>
              <w:t>s.</w:t>
            </w:r>
          </w:p>
          <w:p w14:paraId="5217CE90" w14:textId="344CC174" w:rsidR="005B2CC3" w:rsidRPr="00290E0E" w:rsidRDefault="00B76511">
            <w:pPr>
              <w:pStyle w:val="Tabletext"/>
              <w:rPr>
                <w:rFonts w:ascii="Aptos Narrow" w:hAnsi="Aptos Narrow"/>
                <w:sz w:val="22"/>
                <w:szCs w:val="22"/>
              </w:rPr>
            </w:pPr>
            <w:r w:rsidRPr="6AD7FB03">
              <w:rPr>
                <w:rFonts w:ascii="Aptos Narrow" w:hAnsi="Aptos Narrow"/>
                <w:sz w:val="22"/>
                <w:szCs w:val="22"/>
              </w:rPr>
              <w:t xml:space="preserve">Congruent with recommendation 3, AAI will develop a framework for supporting a thematic spread and seek </w:t>
            </w:r>
            <w:r w:rsidR="002D02E6">
              <w:rPr>
                <w:rFonts w:ascii="Aptos Narrow" w:hAnsi="Aptos Narrow"/>
                <w:sz w:val="22"/>
                <w:szCs w:val="22"/>
              </w:rPr>
              <w:t xml:space="preserve">Program Coordinating Committee (PCC) </w:t>
            </w:r>
            <w:r w:rsidRPr="6AD7FB03">
              <w:rPr>
                <w:rFonts w:ascii="Aptos Narrow" w:hAnsi="Aptos Narrow"/>
                <w:sz w:val="22"/>
                <w:szCs w:val="22"/>
              </w:rPr>
              <w:t>input into updates to this framework to ensure it remains relevant. Post will consult with relevant DFAT teams to review and optimi</w:t>
            </w:r>
            <w:r w:rsidR="00204BB9">
              <w:rPr>
                <w:rFonts w:ascii="Aptos Narrow" w:hAnsi="Aptos Narrow"/>
                <w:sz w:val="22"/>
                <w:szCs w:val="22"/>
              </w:rPr>
              <w:t>s</w:t>
            </w:r>
            <w:r w:rsidRPr="6AD7FB03">
              <w:rPr>
                <w:rFonts w:ascii="Aptos Narrow" w:hAnsi="Aptos Narrow"/>
                <w:sz w:val="22"/>
                <w:szCs w:val="22"/>
              </w:rPr>
              <w:t>e the thematic distribution of scholarship</w:t>
            </w:r>
            <w:r w:rsidR="00204BB9">
              <w:rPr>
                <w:rFonts w:ascii="Aptos Narrow" w:hAnsi="Aptos Narrow"/>
                <w:sz w:val="22"/>
                <w:szCs w:val="22"/>
              </w:rPr>
              <w:t>s</w:t>
            </w:r>
            <w:r w:rsidRPr="6AD7FB03">
              <w:rPr>
                <w:rFonts w:ascii="Aptos Narrow" w:hAnsi="Aptos Narrow"/>
                <w:sz w:val="22"/>
                <w:szCs w:val="22"/>
              </w:rPr>
              <w:t xml:space="preserve"> for better alignment and impact.</w:t>
            </w:r>
          </w:p>
        </w:tc>
        <w:tc>
          <w:tcPr>
            <w:tcW w:w="1170" w:type="dxa"/>
          </w:tcPr>
          <w:p w14:paraId="765C46B2"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Ongoing</w:t>
            </w:r>
          </w:p>
        </w:tc>
      </w:tr>
      <w:tr w:rsidR="68A75737" w14:paraId="1060174A" w14:textId="77777777" w:rsidTr="00EF5138">
        <w:trPr>
          <w:cantSplit/>
          <w:trHeight w:val="300"/>
        </w:trPr>
        <w:tc>
          <w:tcPr>
            <w:tcW w:w="690" w:type="dxa"/>
          </w:tcPr>
          <w:p w14:paraId="44CA7CB7" w14:textId="1A1EE7D8" w:rsidR="45C5A45D" w:rsidRDefault="45C5A45D" w:rsidP="68A75737">
            <w:pPr>
              <w:pStyle w:val="Tabletext"/>
              <w:rPr>
                <w:rFonts w:ascii="Aptos Narrow" w:hAnsi="Aptos Narrow"/>
                <w:sz w:val="22"/>
                <w:szCs w:val="22"/>
              </w:rPr>
            </w:pPr>
            <w:r w:rsidRPr="68A75737">
              <w:rPr>
                <w:rFonts w:ascii="Aptos Narrow" w:hAnsi="Aptos Narrow"/>
                <w:sz w:val="22"/>
                <w:szCs w:val="22"/>
              </w:rPr>
              <w:lastRenderedPageBreak/>
              <w:t>3</w:t>
            </w:r>
          </w:p>
        </w:tc>
        <w:tc>
          <w:tcPr>
            <w:tcW w:w="1350" w:type="dxa"/>
          </w:tcPr>
          <w:p w14:paraId="636E6520" w14:textId="7460160D" w:rsidR="68A75737" w:rsidRDefault="18F99B03" w:rsidP="68A75737">
            <w:pPr>
              <w:pStyle w:val="Tabletext"/>
              <w:ind w:right="-108"/>
              <w:rPr>
                <w:rFonts w:ascii="Aptos Narrow" w:hAnsi="Aptos Narrow"/>
                <w:sz w:val="22"/>
                <w:szCs w:val="22"/>
              </w:rPr>
            </w:pPr>
            <w:r w:rsidRPr="00EF5138">
              <w:rPr>
                <w:rFonts w:ascii="Aptos Narrow" w:hAnsi="Aptos Narrow"/>
                <w:sz w:val="22"/>
                <w:szCs w:val="22"/>
              </w:rPr>
              <w:t>Strategic</w:t>
            </w:r>
            <w:r w:rsidR="18467E1A" w:rsidRPr="6AD7FB03">
              <w:rPr>
                <w:rFonts w:ascii="Aptos Narrow" w:hAnsi="Aptos Narrow"/>
                <w:sz w:val="22"/>
                <w:szCs w:val="22"/>
              </w:rPr>
              <w:t xml:space="preserve"> – </w:t>
            </w:r>
            <w:r w:rsidR="2A4D2052" w:rsidRPr="00EF5138">
              <w:rPr>
                <w:rFonts w:ascii="Aptos Narrow" w:hAnsi="Aptos Narrow"/>
                <w:sz w:val="22"/>
                <w:szCs w:val="22"/>
              </w:rPr>
              <w:t>High</w:t>
            </w:r>
            <w:r w:rsidR="18467E1A" w:rsidRPr="6AD7FB03">
              <w:rPr>
                <w:rFonts w:ascii="Aptos Narrow" w:hAnsi="Aptos Narrow"/>
                <w:sz w:val="22"/>
                <w:szCs w:val="22"/>
              </w:rPr>
              <w:t xml:space="preserve"> </w:t>
            </w:r>
          </w:p>
        </w:tc>
        <w:tc>
          <w:tcPr>
            <w:tcW w:w="3510" w:type="dxa"/>
          </w:tcPr>
          <w:p w14:paraId="4D6C2313" w14:textId="160A0F72" w:rsidR="68A75737" w:rsidRDefault="68A75737" w:rsidP="68A75737">
            <w:pPr>
              <w:pStyle w:val="Tabletext"/>
              <w:ind w:left="-108"/>
              <w:rPr>
                <w:rFonts w:ascii="Aptos Narrow" w:hAnsi="Aptos Narrow"/>
                <w:sz w:val="22"/>
                <w:szCs w:val="22"/>
              </w:rPr>
            </w:pPr>
            <w:r w:rsidRPr="68A75737">
              <w:rPr>
                <w:rFonts w:ascii="Aptos Narrow" w:hAnsi="Aptos Narrow"/>
                <w:sz w:val="22"/>
                <w:szCs w:val="22"/>
              </w:rPr>
              <w:t xml:space="preserve">Ensure that new Government of </w:t>
            </w:r>
            <w:proofErr w:type="gramStart"/>
            <w:r w:rsidRPr="68A75737">
              <w:rPr>
                <w:rFonts w:ascii="Aptos Narrow" w:hAnsi="Aptos Narrow"/>
                <w:sz w:val="22"/>
                <w:szCs w:val="22"/>
              </w:rPr>
              <w:t>Australia  policies</w:t>
            </w:r>
            <w:proofErr w:type="gramEnd"/>
            <w:r w:rsidRPr="68A75737">
              <w:rPr>
                <w:rFonts w:ascii="Aptos Narrow" w:hAnsi="Aptos Narrow"/>
                <w:sz w:val="22"/>
                <w:szCs w:val="22"/>
              </w:rPr>
              <w:t>, strategies, and requirements on overseas development assistance are integrated in the next phase of AAI (2026–2030), particularly indicators on climate change in line with new DFAT requirements.</w:t>
            </w:r>
          </w:p>
        </w:tc>
        <w:tc>
          <w:tcPr>
            <w:tcW w:w="7560" w:type="dxa"/>
          </w:tcPr>
          <w:p w14:paraId="6EA212AC"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Agree. </w:t>
            </w:r>
          </w:p>
          <w:p w14:paraId="6956BD45" w14:textId="092286B6"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AAI will undertake a strategic and operational refinement to ensure alignment with the updated Government of </w:t>
            </w:r>
            <w:proofErr w:type="gramStart"/>
            <w:r w:rsidRPr="68A75737">
              <w:rPr>
                <w:rFonts w:ascii="Aptos Narrow" w:hAnsi="Aptos Narrow"/>
                <w:sz w:val="22"/>
                <w:szCs w:val="22"/>
              </w:rPr>
              <w:t>Australia  (</w:t>
            </w:r>
            <w:proofErr w:type="spellStart"/>
            <w:proofErr w:type="gramEnd"/>
            <w:r w:rsidRPr="68A75737">
              <w:rPr>
                <w:rFonts w:ascii="Aptos Narrow" w:hAnsi="Aptos Narrow"/>
                <w:sz w:val="22"/>
                <w:szCs w:val="22"/>
              </w:rPr>
              <w:t>GoA</w:t>
            </w:r>
            <w:proofErr w:type="spellEnd"/>
            <w:r w:rsidRPr="68A75737">
              <w:rPr>
                <w:rFonts w:ascii="Aptos Narrow" w:hAnsi="Aptos Narrow"/>
                <w:sz w:val="22"/>
                <w:szCs w:val="22"/>
              </w:rPr>
              <w:t xml:space="preserve">) policies, strategies and requirements. </w:t>
            </w:r>
            <w:r w:rsidRPr="68A75737">
              <w:rPr>
                <w:rFonts w:ascii="Aptos Narrow" w:hAnsi="Aptos Narrow" w:cs="Calibri"/>
                <w:sz w:val="22"/>
                <w:szCs w:val="22"/>
              </w:rPr>
              <w:t>Alignment with Government of Indonesia (</w:t>
            </w:r>
            <w:proofErr w:type="spellStart"/>
            <w:r w:rsidRPr="68A75737">
              <w:rPr>
                <w:rFonts w:ascii="Aptos Narrow" w:hAnsi="Aptos Narrow" w:cs="Calibri"/>
                <w:sz w:val="22"/>
                <w:szCs w:val="22"/>
              </w:rPr>
              <w:t>GoI</w:t>
            </w:r>
            <w:proofErr w:type="spellEnd"/>
            <w:r w:rsidRPr="68A75737">
              <w:rPr>
                <w:rFonts w:ascii="Aptos Narrow" w:hAnsi="Aptos Narrow" w:cs="Calibri"/>
                <w:sz w:val="22"/>
                <w:szCs w:val="22"/>
              </w:rPr>
              <w:t>) strategic policies will also be strengthened</w:t>
            </w:r>
            <w:r w:rsidRPr="68A75737">
              <w:rPr>
                <w:rFonts w:ascii="Aptos Narrow" w:hAnsi="Aptos Narrow"/>
                <w:sz w:val="22"/>
                <w:szCs w:val="22"/>
              </w:rPr>
              <w:t xml:space="preserve">, ensuring strong alignment with both Governments’ priorities </w:t>
            </w:r>
            <w:r w:rsidRPr="68A75737">
              <w:rPr>
                <w:rFonts w:ascii="Aptos Narrow" w:hAnsi="Aptos Narrow" w:cs="Calibri"/>
                <w:sz w:val="22"/>
                <w:szCs w:val="22"/>
              </w:rPr>
              <w:t>outlined in the Plan of Action for the Indonesia-Australia Comprehensive Strategic Partnership (2025-2029).</w:t>
            </w:r>
          </w:p>
          <w:p w14:paraId="67569504" w14:textId="14E22CD1"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Linked to recommendation 18, this will include undertaking an analysis to </w:t>
            </w:r>
            <w:r w:rsidRPr="68A75737">
              <w:rPr>
                <w:rFonts w:ascii="Aptos Narrow" w:hAnsi="Aptos Narrow" w:cstheme="minorBidi"/>
                <w:sz w:val="22"/>
                <w:szCs w:val="22"/>
              </w:rPr>
              <w:t xml:space="preserve">mainstream climate change into the </w:t>
            </w:r>
            <w:r w:rsidRPr="68A75737">
              <w:rPr>
                <w:rFonts w:ascii="Aptos Narrow" w:hAnsi="Aptos Narrow"/>
                <w:sz w:val="22"/>
                <w:szCs w:val="22"/>
              </w:rPr>
              <w:t xml:space="preserve">program and refining GEDSI objectives, including indicators, programming and reporting, across all AAI program modalities. </w:t>
            </w:r>
          </w:p>
        </w:tc>
        <w:tc>
          <w:tcPr>
            <w:tcW w:w="1170" w:type="dxa"/>
          </w:tcPr>
          <w:p w14:paraId="563E53AC"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July-Dec 2025</w:t>
            </w:r>
          </w:p>
        </w:tc>
      </w:tr>
    </w:tbl>
    <w:p w14:paraId="2B80AF42" w14:textId="77777777" w:rsidR="005B2CC3" w:rsidRDefault="005B2CC3" w:rsidP="005B2CC3">
      <w:pPr>
        <w:suppressAutoHyphens w:val="0"/>
        <w:spacing w:line="278" w:lineRule="auto"/>
        <w:rPr>
          <w:b/>
          <w:bCs/>
          <w:color w:val="156082" w:themeColor="accent1"/>
        </w:rPr>
      </w:pPr>
      <w:r>
        <w:rPr>
          <w:b/>
          <w:bCs/>
          <w:color w:val="156082" w:themeColor="accent1"/>
        </w:rPr>
        <w:br w:type="page"/>
      </w:r>
    </w:p>
    <w:p w14:paraId="02D03E16" w14:textId="77777777" w:rsidR="005B2CC3" w:rsidRDefault="005B2CC3" w:rsidP="007D766C">
      <w:pPr>
        <w:pStyle w:val="Heading2"/>
      </w:pPr>
      <w:r w:rsidRPr="00987179">
        <w:lastRenderedPageBreak/>
        <w:t xml:space="preserve">CRITERIA: </w:t>
      </w:r>
      <w:r>
        <w:t>EFFECTIVENESS</w:t>
      </w:r>
    </w:p>
    <w:tbl>
      <w:tblPr>
        <w:tblStyle w:val="SustineoTables"/>
        <w:tblW w:w="14355" w:type="dxa"/>
        <w:tblLayout w:type="fixed"/>
        <w:tblLook w:val="0620" w:firstRow="1" w:lastRow="0" w:firstColumn="0" w:lastColumn="0" w:noHBand="1" w:noVBand="1"/>
      </w:tblPr>
      <w:tblGrid>
        <w:gridCol w:w="780"/>
        <w:gridCol w:w="1350"/>
        <w:gridCol w:w="3780"/>
        <w:gridCol w:w="5490"/>
        <w:gridCol w:w="2955"/>
      </w:tblGrid>
      <w:tr w:rsidR="005B2CC3" w:rsidRPr="00290E0E" w14:paraId="11FF6773" w14:textId="77777777" w:rsidTr="00EF5138">
        <w:trPr>
          <w:cnfStyle w:val="100000000000" w:firstRow="1" w:lastRow="0" w:firstColumn="0" w:lastColumn="0" w:oddVBand="0" w:evenVBand="0" w:oddHBand="0" w:evenHBand="0" w:firstRowFirstColumn="0" w:firstRowLastColumn="0" w:lastRowFirstColumn="0" w:lastRowLastColumn="0"/>
          <w:trHeight w:val="300"/>
        </w:trPr>
        <w:tc>
          <w:tcPr>
            <w:tcW w:w="780" w:type="dxa"/>
            <w:vAlign w:val="center"/>
          </w:tcPr>
          <w:p w14:paraId="453A1594" w14:textId="63B5EFD3" w:rsidR="21F41847" w:rsidRDefault="1AB67130" w:rsidP="00EF5138">
            <w:pPr>
              <w:pStyle w:val="Tabletext"/>
              <w:jc w:val="center"/>
              <w:rPr>
                <w:rFonts w:ascii="Aptos Narrow" w:hAnsi="Aptos Narrow"/>
                <w:sz w:val="22"/>
                <w:szCs w:val="22"/>
              </w:rPr>
            </w:pPr>
            <w:r w:rsidRPr="6AD7FB03">
              <w:rPr>
                <w:rFonts w:ascii="Aptos Narrow" w:hAnsi="Aptos Narrow"/>
                <w:sz w:val="22"/>
                <w:szCs w:val="22"/>
              </w:rPr>
              <w:t>No</w:t>
            </w:r>
            <w:r w:rsidR="32F6A30E" w:rsidRPr="6AD7FB03">
              <w:rPr>
                <w:rFonts w:ascii="Aptos Narrow" w:hAnsi="Aptos Narrow"/>
                <w:sz w:val="22"/>
                <w:szCs w:val="22"/>
              </w:rPr>
              <w:t>.</w:t>
            </w:r>
          </w:p>
        </w:tc>
        <w:tc>
          <w:tcPr>
            <w:tcW w:w="1350" w:type="dxa"/>
            <w:vAlign w:val="center"/>
          </w:tcPr>
          <w:p w14:paraId="09EA93EF" w14:textId="5F22DDE6" w:rsidR="005B2CC3" w:rsidRPr="00290E0E" w:rsidRDefault="0CF31FD8" w:rsidP="00B109EC">
            <w:pPr>
              <w:pStyle w:val="Tabletext"/>
              <w:ind w:right="-108"/>
              <w:jc w:val="center"/>
              <w:rPr>
                <w:rFonts w:ascii="Aptos Narrow" w:hAnsi="Aptos Narrow"/>
                <w:sz w:val="22"/>
                <w:szCs w:val="22"/>
              </w:rPr>
            </w:pPr>
            <w:r w:rsidRPr="6AD7FB03">
              <w:rPr>
                <w:rFonts w:ascii="Aptos Narrow" w:hAnsi="Aptos Narrow"/>
                <w:sz w:val="22"/>
                <w:szCs w:val="22"/>
              </w:rPr>
              <w:t xml:space="preserve"> </w:t>
            </w:r>
            <w:r w:rsidR="04E37B16" w:rsidRPr="6AD7FB03">
              <w:rPr>
                <w:rFonts w:ascii="Aptos Narrow" w:hAnsi="Aptos Narrow"/>
                <w:sz w:val="22"/>
                <w:szCs w:val="22"/>
              </w:rPr>
              <w:t>F</w:t>
            </w:r>
            <w:r w:rsidR="6CC69515" w:rsidRPr="6AD7FB03">
              <w:rPr>
                <w:rFonts w:ascii="Aptos Narrow" w:hAnsi="Aptos Narrow"/>
                <w:sz w:val="22"/>
                <w:szCs w:val="22"/>
              </w:rPr>
              <w:t>ocus</w:t>
            </w:r>
            <w:r w:rsidRPr="6AD7FB03">
              <w:rPr>
                <w:rFonts w:ascii="Aptos Narrow" w:hAnsi="Aptos Narrow"/>
                <w:sz w:val="22"/>
                <w:szCs w:val="22"/>
              </w:rPr>
              <w:t xml:space="preserve"> – Priority </w:t>
            </w:r>
          </w:p>
        </w:tc>
        <w:tc>
          <w:tcPr>
            <w:tcW w:w="3780" w:type="dxa"/>
            <w:vAlign w:val="center"/>
          </w:tcPr>
          <w:p w14:paraId="531EDBFC" w14:textId="77777777" w:rsidR="005B2CC3" w:rsidRPr="00290E0E" w:rsidRDefault="6CC69515" w:rsidP="6AD7FB03">
            <w:pPr>
              <w:pStyle w:val="Tabletext"/>
              <w:jc w:val="center"/>
              <w:rPr>
                <w:rFonts w:ascii="Aptos Narrow" w:hAnsi="Aptos Narrow"/>
                <w:sz w:val="22"/>
                <w:szCs w:val="22"/>
              </w:rPr>
            </w:pPr>
            <w:r w:rsidRPr="6AD7FB03">
              <w:rPr>
                <w:rFonts w:ascii="Aptos Narrow" w:hAnsi="Aptos Narrow"/>
                <w:sz w:val="22"/>
                <w:szCs w:val="22"/>
              </w:rPr>
              <w:t>Recommendation</w:t>
            </w:r>
          </w:p>
        </w:tc>
        <w:tc>
          <w:tcPr>
            <w:tcW w:w="5490" w:type="dxa"/>
            <w:vAlign w:val="center"/>
          </w:tcPr>
          <w:p w14:paraId="6F691B16" w14:textId="77777777" w:rsidR="005B2CC3" w:rsidRPr="00290E0E" w:rsidRDefault="005B2CC3" w:rsidP="00B109EC">
            <w:pPr>
              <w:pStyle w:val="Tabletext"/>
              <w:ind w:right="-76"/>
              <w:jc w:val="center"/>
              <w:rPr>
                <w:rFonts w:ascii="Aptos Narrow" w:hAnsi="Aptos Narrow"/>
                <w:sz w:val="22"/>
                <w:szCs w:val="22"/>
              </w:rPr>
            </w:pPr>
            <w:r w:rsidRPr="00290E0E">
              <w:rPr>
                <w:rFonts w:ascii="Aptos Narrow" w:hAnsi="Aptos Narrow"/>
                <w:sz w:val="22"/>
                <w:szCs w:val="22"/>
              </w:rPr>
              <w:t>DFAT Response</w:t>
            </w:r>
          </w:p>
        </w:tc>
        <w:tc>
          <w:tcPr>
            <w:tcW w:w="2955" w:type="dxa"/>
            <w:vAlign w:val="center"/>
          </w:tcPr>
          <w:p w14:paraId="2E411640" w14:textId="77777777" w:rsidR="005B2CC3" w:rsidRPr="00290E0E" w:rsidRDefault="005B2CC3" w:rsidP="00B109EC">
            <w:pPr>
              <w:pStyle w:val="Tabletext"/>
              <w:ind w:right="-76"/>
              <w:jc w:val="center"/>
              <w:rPr>
                <w:rFonts w:ascii="Aptos Narrow" w:hAnsi="Aptos Narrow"/>
                <w:sz w:val="22"/>
                <w:szCs w:val="22"/>
              </w:rPr>
            </w:pPr>
            <w:r>
              <w:rPr>
                <w:rFonts w:ascii="Aptos Narrow" w:hAnsi="Aptos Narrow"/>
                <w:sz w:val="22"/>
                <w:szCs w:val="22"/>
              </w:rPr>
              <w:t>Timeframe</w:t>
            </w:r>
          </w:p>
        </w:tc>
      </w:tr>
      <w:tr w:rsidR="68A75737" w14:paraId="4E98050A" w14:textId="77777777" w:rsidTr="001C2724">
        <w:trPr>
          <w:trHeight w:val="300"/>
        </w:trPr>
        <w:tc>
          <w:tcPr>
            <w:tcW w:w="780" w:type="dxa"/>
          </w:tcPr>
          <w:p w14:paraId="0DC834D3" w14:textId="7E47BD9E" w:rsidR="49163B8C" w:rsidRDefault="49163B8C" w:rsidP="68A75737">
            <w:pPr>
              <w:pStyle w:val="Tabletext"/>
              <w:rPr>
                <w:rFonts w:ascii="Aptos Narrow" w:hAnsi="Aptos Narrow"/>
                <w:sz w:val="22"/>
                <w:szCs w:val="22"/>
              </w:rPr>
            </w:pPr>
            <w:r w:rsidRPr="68A75737">
              <w:rPr>
                <w:rFonts w:ascii="Aptos Narrow" w:hAnsi="Aptos Narrow"/>
                <w:sz w:val="22"/>
                <w:szCs w:val="22"/>
              </w:rPr>
              <w:t>4</w:t>
            </w:r>
          </w:p>
        </w:tc>
        <w:tc>
          <w:tcPr>
            <w:tcW w:w="1350" w:type="dxa"/>
          </w:tcPr>
          <w:p w14:paraId="6C668883" w14:textId="54B83C67" w:rsidR="68A75737" w:rsidRDefault="18F99B03" w:rsidP="68A75737">
            <w:pPr>
              <w:pStyle w:val="Tabletext"/>
              <w:ind w:right="-108"/>
              <w:rPr>
                <w:rFonts w:ascii="Aptos Narrow" w:hAnsi="Aptos Narrow"/>
                <w:b/>
                <w:sz w:val="22"/>
                <w:szCs w:val="22"/>
              </w:rPr>
            </w:pPr>
            <w:r w:rsidRPr="6AD7FB03">
              <w:rPr>
                <w:rFonts w:ascii="Aptos Narrow" w:hAnsi="Aptos Narrow"/>
                <w:sz w:val="22"/>
                <w:szCs w:val="22"/>
              </w:rPr>
              <w:t>Operational</w:t>
            </w:r>
            <w:r w:rsidR="1D193D68" w:rsidRPr="6AD7FB03">
              <w:rPr>
                <w:rFonts w:ascii="Aptos Narrow" w:hAnsi="Aptos Narrow"/>
                <w:sz w:val="22"/>
                <w:szCs w:val="22"/>
              </w:rPr>
              <w:t xml:space="preserve"> – </w:t>
            </w:r>
            <w:r w:rsidRPr="6AD7FB03">
              <w:rPr>
                <w:rFonts w:ascii="Aptos Narrow" w:hAnsi="Aptos Narrow"/>
                <w:sz w:val="22"/>
                <w:szCs w:val="22"/>
              </w:rPr>
              <w:t>Medium</w:t>
            </w:r>
          </w:p>
        </w:tc>
        <w:tc>
          <w:tcPr>
            <w:tcW w:w="3780" w:type="dxa"/>
            <w:vAlign w:val="center"/>
          </w:tcPr>
          <w:p w14:paraId="7CF69C96" w14:textId="77777777" w:rsidR="68A75737" w:rsidRDefault="18F99B03" w:rsidP="6AD7FB03">
            <w:pPr>
              <w:pStyle w:val="Tabletext"/>
              <w:rPr>
                <w:rFonts w:ascii="Aptos Narrow" w:hAnsi="Aptos Narrow"/>
                <w:sz w:val="22"/>
                <w:szCs w:val="22"/>
              </w:rPr>
            </w:pPr>
            <w:r w:rsidRPr="6AD7FB03">
              <w:rPr>
                <w:rFonts w:ascii="Aptos Narrow" w:hAnsi="Aptos Narrow"/>
                <w:sz w:val="22"/>
                <w:szCs w:val="22"/>
              </w:rPr>
              <w:t>Maintain the Joint Selection Team (JST) but provide additional guidance to Team members on how to apply an intersectional approach when considering candidates from Equity Target Groups and Equity Target Provinces</w:t>
            </w:r>
          </w:p>
        </w:tc>
        <w:tc>
          <w:tcPr>
            <w:tcW w:w="5490" w:type="dxa"/>
          </w:tcPr>
          <w:p w14:paraId="00172147"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Agree.</w:t>
            </w:r>
          </w:p>
          <w:p w14:paraId="51233F9B" w14:textId="4C160C7C" w:rsidR="68A75737" w:rsidRDefault="68A75737" w:rsidP="68A75737">
            <w:pPr>
              <w:pStyle w:val="Tabletext"/>
              <w:rPr>
                <w:rFonts w:ascii="Aptos Narrow" w:hAnsi="Aptos Narrow"/>
                <w:sz w:val="22"/>
                <w:szCs w:val="22"/>
              </w:rPr>
            </w:pPr>
            <w:r w:rsidRPr="68A75737">
              <w:rPr>
                <w:rFonts w:ascii="Aptos Narrow" w:hAnsi="Aptos Narrow"/>
                <w:sz w:val="22"/>
                <w:szCs w:val="22"/>
              </w:rPr>
              <w:t>Enhancing the JST’s intersectional approach will be part of a comprehensive refinement of GEDSI approach and effective targeting of Equity Target Groups (ETGs). This is to ensure fairness and inclusivity of the selection process enabling equal opportunities for ETGs to participate and succeed.</w:t>
            </w:r>
          </w:p>
        </w:tc>
        <w:tc>
          <w:tcPr>
            <w:tcW w:w="2955" w:type="dxa"/>
            <w:vAlign w:val="center"/>
          </w:tcPr>
          <w:p w14:paraId="3788825C"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To be applied immediately for the upcoming JST in July 2025 for the </w:t>
            </w:r>
            <w:proofErr w:type="gramStart"/>
            <w:r w:rsidRPr="68A75737">
              <w:rPr>
                <w:rFonts w:ascii="Aptos Narrow" w:hAnsi="Aptos Narrow"/>
                <w:sz w:val="22"/>
                <w:szCs w:val="22"/>
              </w:rPr>
              <w:t>Masters</w:t>
            </w:r>
            <w:proofErr w:type="gramEnd"/>
            <w:r w:rsidRPr="68A75737">
              <w:rPr>
                <w:rFonts w:ascii="Aptos Narrow" w:hAnsi="Aptos Narrow"/>
                <w:sz w:val="22"/>
                <w:szCs w:val="22"/>
              </w:rPr>
              <w:t xml:space="preserve"> and PhD 2026 Intake. </w:t>
            </w:r>
          </w:p>
          <w:p w14:paraId="7C788663"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To be continuously refined and improved for each subsequent JST panel. </w:t>
            </w:r>
          </w:p>
        </w:tc>
      </w:tr>
      <w:tr w:rsidR="005B2CC3" w:rsidRPr="00290E0E" w14:paraId="479A9390" w14:textId="77777777" w:rsidTr="00EF5138">
        <w:trPr>
          <w:cantSplit/>
          <w:trHeight w:val="300"/>
        </w:trPr>
        <w:tc>
          <w:tcPr>
            <w:tcW w:w="780" w:type="dxa"/>
            <w:tcBorders>
              <w:bottom w:val="single" w:sz="4" w:space="0" w:color="E97132" w:themeColor="accent2"/>
            </w:tcBorders>
          </w:tcPr>
          <w:p w14:paraId="11F964DF" w14:textId="47AC63DE" w:rsidR="3C9F21A3" w:rsidRDefault="3C9F21A3" w:rsidP="00EF5138">
            <w:pPr>
              <w:pStyle w:val="Tabletext"/>
              <w:rPr>
                <w:rFonts w:ascii="Aptos Narrow" w:hAnsi="Aptos Narrow"/>
                <w:sz w:val="22"/>
                <w:szCs w:val="22"/>
              </w:rPr>
            </w:pPr>
            <w:r w:rsidRPr="68A75737">
              <w:rPr>
                <w:rFonts w:ascii="Aptos Narrow" w:hAnsi="Aptos Narrow"/>
                <w:sz w:val="22"/>
                <w:szCs w:val="22"/>
              </w:rPr>
              <w:t>5</w:t>
            </w:r>
          </w:p>
        </w:tc>
        <w:tc>
          <w:tcPr>
            <w:tcW w:w="1350" w:type="dxa"/>
            <w:tcBorders>
              <w:bottom w:val="single" w:sz="4" w:space="0" w:color="E97132" w:themeColor="accent2"/>
            </w:tcBorders>
          </w:tcPr>
          <w:p w14:paraId="0E306439" w14:textId="3AF230C2" w:rsidR="005B2CC3" w:rsidRPr="00290E0E" w:rsidRDefault="6CC69515" w:rsidP="00B109EC">
            <w:pPr>
              <w:pStyle w:val="Tabletext"/>
              <w:ind w:right="-108"/>
              <w:rPr>
                <w:rFonts w:ascii="Aptos Narrow" w:hAnsi="Aptos Narrow"/>
                <w:sz w:val="22"/>
                <w:szCs w:val="22"/>
              </w:rPr>
            </w:pPr>
            <w:r w:rsidRPr="00EF5138">
              <w:rPr>
                <w:rFonts w:ascii="Aptos Narrow" w:hAnsi="Aptos Narrow"/>
                <w:sz w:val="22"/>
                <w:szCs w:val="22"/>
              </w:rPr>
              <w:t>Strategic</w:t>
            </w:r>
            <w:r w:rsidR="75BC3CA9" w:rsidRPr="6AD7FB03">
              <w:rPr>
                <w:rFonts w:ascii="Aptos Narrow" w:hAnsi="Aptos Narrow"/>
                <w:sz w:val="22"/>
                <w:szCs w:val="22"/>
              </w:rPr>
              <w:t xml:space="preserve"> – </w:t>
            </w:r>
            <w:r w:rsidR="10DB1282" w:rsidRPr="00EF5138">
              <w:rPr>
                <w:rFonts w:ascii="Aptos Narrow" w:hAnsi="Aptos Narrow"/>
                <w:sz w:val="22"/>
                <w:szCs w:val="22"/>
              </w:rPr>
              <w:t>Medium</w:t>
            </w:r>
          </w:p>
        </w:tc>
        <w:tc>
          <w:tcPr>
            <w:tcW w:w="3780" w:type="dxa"/>
            <w:tcBorders>
              <w:bottom w:val="single" w:sz="4" w:space="0" w:color="E97132" w:themeColor="accent2"/>
            </w:tcBorders>
          </w:tcPr>
          <w:p w14:paraId="12816A5F"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 xml:space="preserve">Undertake a comprehensive review of the current Split Site </w:t>
            </w:r>
            <w:proofErr w:type="spellStart"/>
            <w:r w:rsidRPr="6AD7FB03">
              <w:rPr>
                <w:rFonts w:ascii="Aptos Narrow" w:hAnsi="Aptos Narrow"/>
                <w:sz w:val="22"/>
                <w:szCs w:val="22"/>
              </w:rPr>
              <w:t>Masters</w:t>
            </w:r>
            <w:proofErr w:type="spellEnd"/>
            <w:r w:rsidRPr="6AD7FB03">
              <w:rPr>
                <w:rFonts w:ascii="Aptos Narrow" w:hAnsi="Aptos Narrow"/>
                <w:sz w:val="22"/>
                <w:szCs w:val="22"/>
              </w:rPr>
              <w:t xml:space="preserve"> Program approach and explore alternative or additional approaches. </w:t>
            </w:r>
          </w:p>
          <w:p w14:paraId="09DA71FE" w14:textId="77777777" w:rsidR="005B2CC3" w:rsidRPr="00290E0E" w:rsidRDefault="005B2CC3" w:rsidP="6AD7FB03">
            <w:pPr>
              <w:pStyle w:val="Tabletext"/>
              <w:rPr>
                <w:rFonts w:ascii="Aptos Narrow" w:hAnsi="Aptos Narrow"/>
                <w:sz w:val="22"/>
                <w:szCs w:val="22"/>
              </w:rPr>
            </w:pPr>
          </w:p>
        </w:tc>
        <w:tc>
          <w:tcPr>
            <w:tcW w:w="5490" w:type="dxa"/>
            <w:tcBorders>
              <w:bottom w:val="single" w:sz="4" w:space="0" w:color="E97132" w:themeColor="accent2"/>
            </w:tcBorders>
          </w:tcPr>
          <w:p w14:paraId="17947A93" w14:textId="385C6D94" w:rsidR="005B2CC3" w:rsidRPr="00F25C04" w:rsidRDefault="005B2CC3" w:rsidP="00EF5138">
            <w:pPr>
              <w:pStyle w:val="Tabletext"/>
              <w:rPr>
                <w:rFonts w:ascii="Aptos Narrow" w:hAnsi="Aptos Narrow"/>
                <w:sz w:val="22"/>
                <w:szCs w:val="22"/>
              </w:rPr>
            </w:pPr>
            <w:r w:rsidRPr="68A75737">
              <w:rPr>
                <w:rFonts w:ascii="Aptos Narrow" w:hAnsi="Aptos Narrow"/>
                <w:sz w:val="22"/>
                <w:szCs w:val="22"/>
              </w:rPr>
              <w:t>Partially Agree.</w:t>
            </w:r>
            <w:r>
              <w:br/>
            </w:r>
            <w:r w:rsidR="003B36D3" w:rsidRPr="68A75737">
              <w:rPr>
                <w:rFonts w:ascii="Aptos Narrow" w:hAnsi="Aptos Narrow"/>
                <w:sz w:val="22"/>
                <w:szCs w:val="22"/>
              </w:rPr>
              <w:t xml:space="preserve"> A comprehensive review is not considered necessary at this stage, as significant work has already gone into reviewing the program. AAI</w:t>
            </w:r>
            <w:r w:rsidRPr="68A75737">
              <w:rPr>
                <w:rFonts w:ascii="Aptos Narrow" w:hAnsi="Aptos Narrow"/>
                <w:sz w:val="22"/>
                <w:szCs w:val="22"/>
              </w:rPr>
              <w:t xml:space="preserve"> will conduct additional studies/ reviews to supplement existing data to support refinement of the SSMP. DFAT will work with</w:t>
            </w:r>
            <w:r w:rsidR="16DDCE44" w:rsidRPr="68A75737">
              <w:rPr>
                <w:rFonts w:ascii="Aptos Narrow" w:hAnsi="Aptos Narrow"/>
                <w:sz w:val="22"/>
                <w:szCs w:val="22"/>
              </w:rPr>
              <w:t xml:space="preserve"> </w:t>
            </w:r>
            <w:r w:rsidR="25F240EF" w:rsidRPr="68A75737">
              <w:rPr>
                <w:rFonts w:ascii="Aptos Narrow" w:hAnsi="Aptos Narrow"/>
                <w:sz w:val="22"/>
                <w:szCs w:val="22"/>
              </w:rPr>
              <w:t xml:space="preserve">the </w:t>
            </w:r>
            <w:r w:rsidR="19D45641" w:rsidRPr="68A75737">
              <w:rPr>
                <w:rFonts w:ascii="Aptos Narrow" w:hAnsi="Aptos Narrow"/>
                <w:sz w:val="22"/>
                <w:szCs w:val="22"/>
              </w:rPr>
              <w:t xml:space="preserve">Indonesian </w:t>
            </w:r>
            <w:r w:rsidR="25F240EF" w:rsidRPr="68A75737">
              <w:rPr>
                <w:rFonts w:ascii="Aptos Narrow" w:hAnsi="Aptos Narrow"/>
                <w:sz w:val="22"/>
                <w:szCs w:val="22"/>
              </w:rPr>
              <w:t xml:space="preserve">Ministry of State </w:t>
            </w:r>
            <w:r w:rsidR="00EA6356" w:rsidRPr="68A75737">
              <w:rPr>
                <w:rFonts w:ascii="Aptos Narrow" w:hAnsi="Aptos Narrow"/>
                <w:sz w:val="22"/>
                <w:szCs w:val="22"/>
              </w:rPr>
              <w:t>(</w:t>
            </w:r>
            <w:proofErr w:type="spellStart"/>
            <w:r w:rsidR="00EA6356" w:rsidRPr="68A75737">
              <w:rPr>
                <w:rFonts w:ascii="Aptos Narrow" w:hAnsi="Aptos Narrow"/>
                <w:sz w:val="22"/>
                <w:szCs w:val="22"/>
              </w:rPr>
              <w:t>SetNeg</w:t>
            </w:r>
            <w:proofErr w:type="spellEnd"/>
            <w:r w:rsidR="00EA6356" w:rsidRPr="68A75737">
              <w:rPr>
                <w:rFonts w:ascii="Aptos Narrow" w:hAnsi="Aptos Narrow"/>
                <w:sz w:val="22"/>
                <w:szCs w:val="22"/>
              </w:rPr>
              <w:t xml:space="preserve">), which leads the coordination of SSMP with Indonesian government organizations, </w:t>
            </w:r>
            <w:r w:rsidRPr="68A75737">
              <w:rPr>
                <w:rFonts w:ascii="Aptos Narrow" w:hAnsi="Aptos Narrow"/>
                <w:sz w:val="22"/>
                <w:szCs w:val="22"/>
              </w:rPr>
              <w:t xml:space="preserve">to enhance effectiveness/overall impact and relevance of the SSMP. </w:t>
            </w:r>
          </w:p>
        </w:tc>
        <w:tc>
          <w:tcPr>
            <w:tcW w:w="2955" w:type="dxa"/>
            <w:tcBorders>
              <w:bottom w:val="single" w:sz="4" w:space="0" w:color="E97132" w:themeColor="accent2"/>
            </w:tcBorders>
          </w:tcPr>
          <w:p w14:paraId="362F1738" w14:textId="08EEA784" w:rsidR="005B2CC3" w:rsidRPr="00290E0E" w:rsidRDefault="005B2CC3" w:rsidP="00B109EC">
            <w:pPr>
              <w:pStyle w:val="Tabletext"/>
              <w:rPr>
                <w:rFonts w:ascii="Aptos Narrow" w:hAnsi="Aptos Narrow"/>
                <w:sz w:val="22"/>
                <w:szCs w:val="22"/>
              </w:rPr>
            </w:pPr>
            <w:r>
              <w:rPr>
                <w:rFonts w:ascii="Aptos Narrow" w:hAnsi="Aptos Narrow"/>
                <w:sz w:val="22"/>
                <w:szCs w:val="22"/>
              </w:rPr>
              <w:t xml:space="preserve">AAI will develop refinements to the SSMP model concurrently with the rollout of SSMP cohort 10 from July 2025. Refinements will be in place and ready to be applied for the rollout of SSMP cohort 11 in </w:t>
            </w:r>
            <w:r w:rsidR="00454BAB">
              <w:rPr>
                <w:rFonts w:ascii="Aptos Narrow" w:hAnsi="Aptos Narrow"/>
                <w:sz w:val="22"/>
                <w:szCs w:val="22"/>
              </w:rPr>
              <w:t>mid-2026</w:t>
            </w:r>
            <w:r>
              <w:rPr>
                <w:rFonts w:ascii="Aptos Narrow" w:hAnsi="Aptos Narrow"/>
                <w:sz w:val="22"/>
                <w:szCs w:val="22"/>
              </w:rPr>
              <w:t xml:space="preserve">. </w:t>
            </w:r>
          </w:p>
        </w:tc>
      </w:tr>
      <w:tr w:rsidR="005B2CC3" w:rsidRPr="00290E0E" w14:paraId="6F4A7B85" w14:textId="77777777" w:rsidTr="00EF5138">
        <w:trPr>
          <w:cantSplit/>
          <w:trHeight w:val="300"/>
        </w:trPr>
        <w:tc>
          <w:tcPr>
            <w:tcW w:w="780" w:type="dxa"/>
          </w:tcPr>
          <w:p w14:paraId="2DA9F3F0" w14:textId="24BDFDF9" w:rsidR="4FDBB6BD" w:rsidRDefault="4FDBB6BD" w:rsidP="00EF5138">
            <w:pPr>
              <w:pStyle w:val="Tabletext"/>
              <w:rPr>
                <w:rFonts w:ascii="Aptos Narrow" w:hAnsi="Aptos Narrow"/>
                <w:sz w:val="22"/>
                <w:szCs w:val="22"/>
              </w:rPr>
            </w:pPr>
            <w:r w:rsidRPr="68A75737">
              <w:rPr>
                <w:rFonts w:ascii="Aptos Narrow" w:hAnsi="Aptos Narrow"/>
                <w:sz w:val="22"/>
                <w:szCs w:val="22"/>
              </w:rPr>
              <w:t>6</w:t>
            </w:r>
          </w:p>
        </w:tc>
        <w:tc>
          <w:tcPr>
            <w:tcW w:w="1350" w:type="dxa"/>
          </w:tcPr>
          <w:p w14:paraId="101BDB73" w14:textId="58EB0A28" w:rsidR="005B2CC3" w:rsidRPr="00290E0E" w:rsidRDefault="49A2025A" w:rsidP="00B109EC">
            <w:pPr>
              <w:pStyle w:val="Tabletext"/>
              <w:ind w:right="-108"/>
              <w:rPr>
                <w:rFonts w:ascii="Aptos Narrow" w:hAnsi="Aptos Narrow"/>
                <w:sz w:val="22"/>
                <w:szCs w:val="22"/>
              </w:rPr>
            </w:pPr>
            <w:r w:rsidRPr="00EF5138">
              <w:rPr>
                <w:rFonts w:ascii="Aptos Narrow" w:hAnsi="Aptos Narrow"/>
                <w:sz w:val="22"/>
                <w:szCs w:val="22"/>
              </w:rPr>
              <w:t>Strategic</w:t>
            </w:r>
            <w:r w:rsidR="592D3978" w:rsidRPr="6AD7FB03">
              <w:rPr>
                <w:rFonts w:ascii="Aptos Narrow" w:hAnsi="Aptos Narrow"/>
                <w:sz w:val="22"/>
                <w:szCs w:val="22"/>
              </w:rPr>
              <w:t xml:space="preserve"> – </w:t>
            </w:r>
            <w:r w:rsidRPr="00EF5138">
              <w:rPr>
                <w:rFonts w:ascii="Aptos Narrow" w:hAnsi="Aptos Narrow"/>
                <w:sz w:val="22"/>
                <w:szCs w:val="22"/>
              </w:rPr>
              <w:t>Medium</w:t>
            </w:r>
          </w:p>
        </w:tc>
        <w:tc>
          <w:tcPr>
            <w:tcW w:w="3780" w:type="dxa"/>
          </w:tcPr>
          <w:p w14:paraId="02407251"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Explore further co–funding opportunities with the Indonesian Endowment Fund for Education (LPDP) and new opportunities with state–owned enterprises to close emerging funding gaps from Government of Indonesia agencies.</w:t>
            </w:r>
          </w:p>
        </w:tc>
        <w:tc>
          <w:tcPr>
            <w:tcW w:w="5490" w:type="dxa"/>
          </w:tcPr>
          <w:p w14:paraId="06F6AF8A" w14:textId="77777777"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Agre</w:t>
            </w:r>
            <w:r>
              <w:rPr>
                <w:rFonts w:ascii="Aptos Narrow" w:hAnsi="Aptos Narrow"/>
                <w:sz w:val="22"/>
                <w:szCs w:val="22"/>
              </w:rPr>
              <w:t>e.</w:t>
            </w:r>
          </w:p>
          <w:p w14:paraId="40B8F941" w14:textId="099A2411"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DFAT will explore further opportunities to broaden partnerships with LPDP</w:t>
            </w:r>
            <w:r w:rsidR="0047631F">
              <w:rPr>
                <w:rFonts w:ascii="Aptos Narrow" w:hAnsi="Aptos Narrow"/>
                <w:sz w:val="22"/>
                <w:szCs w:val="22"/>
              </w:rPr>
              <w:t>.</w:t>
            </w:r>
            <w:r>
              <w:rPr>
                <w:rFonts w:ascii="Aptos Narrow" w:hAnsi="Aptos Narrow"/>
                <w:sz w:val="22"/>
                <w:szCs w:val="22"/>
              </w:rPr>
              <w:t xml:space="preserve"> </w:t>
            </w:r>
          </w:p>
          <w:p w14:paraId="030AED5F" w14:textId="3CA94F57" w:rsidR="005B2CC3" w:rsidRPr="00F25C04" w:rsidRDefault="005B2CC3" w:rsidP="00EF5138">
            <w:pPr>
              <w:pStyle w:val="Tabletext"/>
              <w:rPr>
                <w:rFonts w:ascii="Aptos Narrow" w:hAnsi="Aptos Narrow"/>
                <w:sz w:val="22"/>
                <w:szCs w:val="22"/>
              </w:rPr>
            </w:pPr>
          </w:p>
        </w:tc>
        <w:tc>
          <w:tcPr>
            <w:tcW w:w="2955" w:type="dxa"/>
          </w:tcPr>
          <w:p w14:paraId="554108FD" w14:textId="77777777" w:rsidR="005B2CC3" w:rsidRDefault="005B2CC3" w:rsidP="00B109EC">
            <w:pPr>
              <w:pStyle w:val="Tabletext"/>
              <w:rPr>
                <w:rFonts w:ascii="Aptos Narrow" w:hAnsi="Aptos Narrow"/>
                <w:sz w:val="22"/>
                <w:szCs w:val="22"/>
              </w:rPr>
            </w:pPr>
            <w:r>
              <w:rPr>
                <w:rFonts w:ascii="Aptos Narrow" w:hAnsi="Aptos Narrow"/>
                <w:sz w:val="22"/>
                <w:szCs w:val="22"/>
              </w:rPr>
              <w:t xml:space="preserve">Dialogue will commence with LPDP immediately as per recommendation 5 above. </w:t>
            </w:r>
          </w:p>
          <w:p w14:paraId="3B02A396" w14:textId="77777777" w:rsidR="005B2CC3" w:rsidRPr="00290E0E" w:rsidRDefault="005B2CC3" w:rsidP="00B109EC">
            <w:pPr>
              <w:pStyle w:val="Tabletext"/>
              <w:rPr>
                <w:rFonts w:ascii="Aptos Narrow" w:hAnsi="Aptos Narrow"/>
                <w:sz w:val="22"/>
                <w:szCs w:val="22"/>
              </w:rPr>
            </w:pPr>
          </w:p>
        </w:tc>
      </w:tr>
      <w:tr w:rsidR="005B2CC3" w:rsidRPr="00290E0E" w14:paraId="05F12003" w14:textId="77777777" w:rsidTr="00EF5138">
        <w:trPr>
          <w:cantSplit/>
          <w:trHeight w:val="300"/>
        </w:trPr>
        <w:tc>
          <w:tcPr>
            <w:tcW w:w="780" w:type="dxa"/>
          </w:tcPr>
          <w:p w14:paraId="582F1775" w14:textId="176D9B8B" w:rsidR="35D4846C" w:rsidRDefault="35D4846C" w:rsidP="00EF5138">
            <w:pPr>
              <w:pStyle w:val="Tabletext"/>
              <w:rPr>
                <w:rFonts w:ascii="Aptos Narrow" w:hAnsi="Aptos Narrow"/>
                <w:sz w:val="22"/>
                <w:szCs w:val="22"/>
              </w:rPr>
            </w:pPr>
            <w:r w:rsidRPr="68A75737">
              <w:rPr>
                <w:rFonts w:ascii="Aptos Narrow" w:hAnsi="Aptos Narrow"/>
                <w:sz w:val="22"/>
                <w:szCs w:val="22"/>
              </w:rPr>
              <w:t>7</w:t>
            </w:r>
          </w:p>
        </w:tc>
        <w:tc>
          <w:tcPr>
            <w:tcW w:w="1350" w:type="dxa"/>
          </w:tcPr>
          <w:p w14:paraId="177188D7" w14:textId="5BEF6B4B" w:rsidR="005B2CC3" w:rsidRPr="00290E0E" w:rsidRDefault="34B67C59" w:rsidP="00B109EC">
            <w:pPr>
              <w:pStyle w:val="Tabletext"/>
              <w:ind w:right="-108"/>
              <w:rPr>
                <w:rFonts w:ascii="Aptos Narrow" w:hAnsi="Aptos Narrow"/>
                <w:sz w:val="22"/>
                <w:szCs w:val="22"/>
              </w:rPr>
            </w:pPr>
            <w:r w:rsidRPr="00EF5138">
              <w:rPr>
                <w:rFonts w:ascii="Aptos Narrow" w:hAnsi="Aptos Narrow"/>
                <w:sz w:val="22"/>
                <w:szCs w:val="22"/>
              </w:rPr>
              <w:t>Strategic</w:t>
            </w:r>
            <w:r w:rsidR="5167BED4" w:rsidRPr="6AD7FB03">
              <w:rPr>
                <w:rFonts w:ascii="Aptos Narrow" w:hAnsi="Aptos Narrow"/>
                <w:sz w:val="22"/>
                <w:szCs w:val="22"/>
              </w:rPr>
              <w:t xml:space="preserve"> – </w:t>
            </w:r>
            <w:r w:rsidRPr="00EF5138">
              <w:rPr>
                <w:rFonts w:ascii="Aptos Narrow" w:hAnsi="Aptos Narrow"/>
                <w:sz w:val="22"/>
                <w:szCs w:val="22"/>
              </w:rPr>
              <w:t>Medium</w:t>
            </w:r>
            <w:r w:rsidR="5167BED4" w:rsidRPr="6AD7FB03">
              <w:rPr>
                <w:rFonts w:ascii="Aptos Narrow" w:hAnsi="Aptos Narrow"/>
                <w:sz w:val="22"/>
                <w:szCs w:val="22"/>
              </w:rPr>
              <w:t xml:space="preserve"> </w:t>
            </w:r>
          </w:p>
        </w:tc>
        <w:tc>
          <w:tcPr>
            <w:tcW w:w="3780" w:type="dxa"/>
          </w:tcPr>
          <w:p w14:paraId="5AA82159"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 xml:space="preserve">Document learnings from the Nusantara pilot and consider similar approaches as potential new AAI modalities in line with specific Government of Australia and Government of Indonesia priority areas such as climate change. </w:t>
            </w:r>
          </w:p>
        </w:tc>
        <w:tc>
          <w:tcPr>
            <w:tcW w:w="5490" w:type="dxa"/>
          </w:tcPr>
          <w:p w14:paraId="43804962" w14:textId="0AF3FBA2" w:rsidR="005B2CC3" w:rsidRDefault="003B36D3" w:rsidP="00B109EC">
            <w:pPr>
              <w:pStyle w:val="Tabletext"/>
              <w:rPr>
                <w:rFonts w:ascii="Aptos Narrow" w:hAnsi="Aptos Narrow"/>
                <w:sz w:val="22"/>
                <w:szCs w:val="22"/>
              </w:rPr>
            </w:pPr>
            <w:r>
              <w:rPr>
                <w:rFonts w:ascii="Aptos Narrow" w:hAnsi="Aptos Narrow"/>
                <w:sz w:val="22"/>
                <w:szCs w:val="22"/>
              </w:rPr>
              <w:t>Agree and completed</w:t>
            </w:r>
            <w:r w:rsidR="005B2CC3" w:rsidRPr="00290E0E">
              <w:rPr>
                <w:rFonts w:ascii="Aptos Narrow" w:hAnsi="Aptos Narrow"/>
                <w:sz w:val="22"/>
                <w:szCs w:val="22"/>
              </w:rPr>
              <w:t xml:space="preserve">. </w:t>
            </w:r>
          </w:p>
          <w:p w14:paraId="2B8BFE42" w14:textId="77777777" w:rsidR="005B2CC3" w:rsidRDefault="005B2CC3" w:rsidP="00B109EC">
            <w:pPr>
              <w:pStyle w:val="Tabletext"/>
              <w:rPr>
                <w:rFonts w:ascii="Aptos Narrow" w:hAnsi="Aptos Narrow"/>
                <w:sz w:val="22"/>
                <w:szCs w:val="22"/>
              </w:rPr>
            </w:pPr>
            <w:r w:rsidRPr="00290E0E">
              <w:rPr>
                <w:rFonts w:ascii="Aptos Narrow" w:hAnsi="Aptos Narrow"/>
                <w:sz w:val="22"/>
                <w:szCs w:val="22"/>
              </w:rPr>
              <w:t>The learnings from Nusantara pilot have been documented and will inform the design and implementation of future pilot scholarship initiatives.</w:t>
            </w:r>
          </w:p>
          <w:p w14:paraId="34A5F2A8"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(also addressed in recommendation 2)</w:t>
            </w:r>
          </w:p>
        </w:tc>
        <w:tc>
          <w:tcPr>
            <w:tcW w:w="2955" w:type="dxa"/>
          </w:tcPr>
          <w:p w14:paraId="5D5AF836"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NA</w:t>
            </w:r>
          </w:p>
        </w:tc>
      </w:tr>
      <w:tr w:rsidR="0022343F" w:rsidRPr="00290E0E" w14:paraId="33CCE4BC" w14:textId="77777777" w:rsidTr="00EF5138">
        <w:trPr>
          <w:cantSplit/>
          <w:trHeight w:val="300"/>
        </w:trPr>
        <w:tc>
          <w:tcPr>
            <w:tcW w:w="780" w:type="dxa"/>
          </w:tcPr>
          <w:p w14:paraId="4058D723" w14:textId="4FDE882C" w:rsidR="46895642" w:rsidRDefault="46895642" w:rsidP="00EF5138">
            <w:pPr>
              <w:pStyle w:val="Tabletext"/>
              <w:rPr>
                <w:rFonts w:ascii="Aptos Narrow" w:hAnsi="Aptos Narrow"/>
                <w:sz w:val="22"/>
                <w:szCs w:val="22"/>
              </w:rPr>
            </w:pPr>
            <w:r w:rsidRPr="68A75737">
              <w:rPr>
                <w:rFonts w:ascii="Aptos Narrow" w:hAnsi="Aptos Narrow"/>
                <w:sz w:val="22"/>
                <w:szCs w:val="22"/>
              </w:rPr>
              <w:t>8</w:t>
            </w:r>
          </w:p>
        </w:tc>
        <w:tc>
          <w:tcPr>
            <w:tcW w:w="1350" w:type="dxa"/>
          </w:tcPr>
          <w:p w14:paraId="0E65D841" w14:textId="4D093218" w:rsidR="0022343F" w:rsidRPr="00290E0E" w:rsidRDefault="56FD4651" w:rsidP="0022343F">
            <w:pPr>
              <w:pStyle w:val="Tabletext"/>
              <w:ind w:right="-108"/>
              <w:rPr>
                <w:rFonts w:ascii="Aptos Narrow" w:hAnsi="Aptos Narrow"/>
                <w:sz w:val="22"/>
                <w:szCs w:val="22"/>
              </w:rPr>
            </w:pPr>
            <w:r w:rsidRPr="00EF5138">
              <w:rPr>
                <w:rFonts w:ascii="Aptos Narrow" w:hAnsi="Aptos Narrow"/>
                <w:sz w:val="22"/>
                <w:szCs w:val="22"/>
              </w:rPr>
              <w:t>Strategic</w:t>
            </w:r>
            <w:r w:rsidR="209D0BDD" w:rsidRPr="00EF5138">
              <w:rPr>
                <w:rFonts w:ascii="Aptos Narrow" w:hAnsi="Aptos Narrow"/>
                <w:sz w:val="22"/>
                <w:szCs w:val="22"/>
              </w:rPr>
              <w:t xml:space="preserve"> – Low </w:t>
            </w:r>
          </w:p>
        </w:tc>
        <w:tc>
          <w:tcPr>
            <w:tcW w:w="3780" w:type="dxa"/>
          </w:tcPr>
          <w:p w14:paraId="6B6F1FEA" w14:textId="77777777" w:rsidR="0022343F" w:rsidRPr="00290E0E" w:rsidRDefault="574B39AF" w:rsidP="6AD7FB03">
            <w:pPr>
              <w:pStyle w:val="Tabletext"/>
              <w:rPr>
                <w:rFonts w:ascii="Aptos Narrow" w:hAnsi="Aptos Narrow"/>
                <w:sz w:val="22"/>
                <w:szCs w:val="22"/>
              </w:rPr>
            </w:pPr>
            <w:r w:rsidRPr="6AD7FB03">
              <w:rPr>
                <w:rFonts w:ascii="Aptos Narrow" w:hAnsi="Aptos Narrow"/>
                <w:sz w:val="22"/>
                <w:szCs w:val="22"/>
              </w:rPr>
              <w:t xml:space="preserve">Advocate for annual indexation of Contribution to Living Expenses for all Australia Awards awardees globally. </w:t>
            </w:r>
          </w:p>
        </w:tc>
        <w:tc>
          <w:tcPr>
            <w:tcW w:w="5490" w:type="dxa"/>
          </w:tcPr>
          <w:p w14:paraId="5B6E1A6F" w14:textId="77777777" w:rsidR="0022343F" w:rsidRPr="00290E0E" w:rsidRDefault="0022343F" w:rsidP="0022343F">
            <w:pPr>
              <w:pStyle w:val="Tabletext"/>
              <w:rPr>
                <w:rFonts w:ascii="Aptos Narrow" w:hAnsi="Aptos Narrow"/>
                <w:sz w:val="22"/>
                <w:szCs w:val="22"/>
              </w:rPr>
            </w:pPr>
            <w:r w:rsidRPr="00290E0E">
              <w:rPr>
                <w:rFonts w:ascii="Aptos Narrow" w:hAnsi="Aptos Narrow"/>
                <w:sz w:val="22"/>
                <w:szCs w:val="22"/>
              </w:rPr>
              <w:t>Agree.</w:t>
            </w:r>
          </w:p>
          <w:p w14:paraId="29F8FDAD" w14:textId="47952F7A" w:rsidR="0022343F" w:rsidRDefault="003B36D3" w:rsidP="0022343F">
            <w:pPr>
              <w:pStyle w:val="Tabletext"/>
              <w:rPr>
                <w:rFonts w:ascii="Aptos Narrow" w:hAnsi="Aptos Narrow"/>
                <w:sz w:val="22"/>
                <w:szCs w:val="22"/>
              </w:rPr>
            </w:pPr>
            <w:r>
              <w:rPr>
                <w:rFonts w:ascii="Aptos Narrow" w:hAnsi="Aptos Narrow"/>
                <w:sz w:val="22"/>
                <w:szCs w:val="22"/>
              </w:rPr>
              <w:t>T</w:t>
            </w:r>
            <w:r w:rsidR="0022343F" w:rsidRPr="00290E0E">
              <w:rPr>
                <w:rFonts w:ascii="Aptos Narrow" w:hAnsi="Aptos Narrow"/>
                <w:sz w:val="22"/>
                <w:szCs w:val="22"/>
              </w:rPr>
              <w:t xml:space="preserve">his recommendation </w:t>
            </w:r>
            <w:r>
              <w:rPr>
                <w:rFonts w:ascii="Aptos Narrow" w:hAnsi="Aptos Narrow"/>
                <w:sz w:val="22"/>
                <w:szCs w:val="22"/>
              </w:rPr>
              <w:t xml:space="preserve">has been provided </w:t>
            </w:r>
            <w:r w:rsidR="0022343F" w:rsidRPr="00290E0E">
              <w:rPr>
                <w:rFonts w:ascii="Aptos Narrow" w:hAnsi="Aptos Narrow"/>
                <w:sz w:val="22"/>
                <w:szCs w:val="22"/>
              </w:rPr>
              <w:t xml:space="preserve">to </w:t>
            </w:r>
            <w:r>
              <w:rPr>
                <w:rFonts w:ascii="Aptos Narrow" w:hAnsi="Aptos Narrow"/>
                <w:sz w:val="22"/>
                <w:szCs w:val="22"/>
              </w:rPr>
              <w:t>the Australia Awards Global program</w:t>
            </w:r>
            <w:r w:rsidRPr="00290E0E">
              <w:rPr>
                <w:rFonts w:ascii="Aptos Narrow" w:hAnsi="Aptos Narrow"/>
                <w:sz w:val="22"/>
                <w:szCs w:val="22"/>
              </w:rPr>
              <w:t xml:space="preserve"> </w:t>
            </w:r>
            <w:r w:rsidR="0022343F" w:rsidRPr="00290E0E">
              <w:rPr>
                <w:rFonts w:ascii="Aptos Narrow" w:hAnsi="Aptos Narrow"/>
                <w:sz w:val="22"/>
                <w:szCs w:val="22"/>
              </w:rPr>
              <w:t>for consideration</w:t>
            </w:r>
            <w:r w:rsidR="0022343F">
              <w:rPr>
                <w:rFonts w:ascii="Aptos Narrow" w:hAnsi="Aptos Narrow"/>
                <w:sz w:val="22"/>
                <w:szCs w:val="22"/>
              </w:rPr>
              <w:t>.</w:t>
            </w:r>
          </w:p>
          <w:p w14:paraId="2E70C7BA" w14:textId="77777777" w:rsidR="0022343F" w:rsidRPr="00290E0E" w:rsidRDefault="0022343F" w:rsidP="0022343F">
            <w:pPr>
              <w:pStyle w:val="Tabletext"/>
              <w:rPr>
                <w:rFonts w:ascii="Aptos Narrow" w:hAnsi="Aptos Narrow"/>
                <w:sz w:val="22"/>
                <w:szCs w:val="22"/>
              </w:rPr>
            </w:pPr>
          </w:p>
        </w:tc>
        <w:tc>
          <w:tcPr>
            <w:tcW w:w="2955" w:type="dxa"/>
          </w:tcPr>
          <w:p w14:paraId="37AAF02E" w14:textId="77777777" w:rsidR="0022343F" w:rsidRPr="00290E0E" w:rsidRDefault="0022343F" w:rsidP="0022343F">
            <w:pPr>
              <w:pStyle w:val="Tabletext"/>
              <w:rPr>
                <w:rFonts w:ascii="Aptos Narrow" w:hAnsi="Aptos Narrow"/>
                <w:sz w:val="22"/>
                <w:szCs w:val="22"/>
              </w:rPr>
            </w:pPr>
            <w:r>
              <w:rPr>
                <w:rFonts w:ascii="Aptos Narrow" w:hAnsi="Aptos Narrow"/>
                <w:sz w:val="22"/>
                <w:szCs w:val="22"/>
              </w:rPr>
              <w:t>Ongoing</w:t>
            </w:r>
          </w:p>
        </w:tc>
      </w:tr>
      <w:tr w:rsidR="0022343F" w:rsidRPr="00290E0E" w14:paraId="6659E808" w14:textId="77777777" w:rsidTr="00EF5138">
        <w:trPr>
          <w:cantSplit/>
          <w:trHeight w:val="300"/>
        </w:trPr>
        <w:tc>
          <w:tcPr>
            <w:tcW w:w="780" w:type="dxa"/>
          </w:tcPr>
          <w:p w14:paraId="6458890D" w14:textId="6A4BB6F3" w:rsidR="5D5CB340" w:rsidRDefault="5D5CB340" w:rsidP="00EF5138">
            <w:pPr>
              <w:pStyle w:val="Tabletext"/>
              <w:rPr>
                <w:rFonts w:ascii="Aptos Narrow" w:hAnsi="Aptos Narrow"/>
                <w:sz w:val="22"/>
                <w:szCs w:val="22"/>
              </w:rPr>
            </w:pPr>
            <w:r w:rsidRPr="68A75737">
              <w:rPr>
                <w:rFonts w:ascii="Aptos Narrow" w:hAnsi="Aptos Narrow"/>
                <w:sz w:val="22"/>
                <w:szCs w:val="22"/>
              </w:rPr>
              <w:lastRenderedPageBreak/>
              <w:t>9</w:t>
            </w:r>
          </w:p>
        </w:tc>
        <w:tc>
          <w:tcPr>
            <w:tcW w:w="1350" w:type="dxa"/>
          </w:tcPr>
          <w:p w14:paraId="566FD9D6" w14:textId="414B44E5" w:rsidR="0022343F" w:rsidRPr="00290E0E" w:rsidRDefault="56FD4651" w:rsidP="0022343F">
            <w:pPr>
              <w:pStyle w:val="Tabletext"/>
              <w:ind w:right="-108"/>
              <w:rPr>
                <w:rFonts w:ascii="Aptos Narrow" w:hAnsi="Aptos Narrow"/>
                <w:sz w:val="22"/>
                <w:szCs w:val="22"/>
              </w:rPr>
            </w:pPr>
            <w:r w:rsidRPr="6AD7FB03">
              <w:rPr>
                <w:rFonts w:ascii="Aptos Narrow" w:hAnsi="Aptos Narrow"/>
                <w:sz w:val="22"/>
                <w:szCs w:val="22"/>
              </w:rPr>
              <w:t>Operational</w:t>
            </w:r>
            <w:r w:rsidR="1AD58322" w:rsidRPr="6AD7FB03">
              <w:rPr>
                <w:rFonts w:ascii="Aptos Narrow" w:hAnsi="Aptos Narrow"/>
                <w:sz w:val="22"/>
                <w:szCs w:val="22"/>
              </w:rPr>
              <w:t xml:space="preserve"> – </w:t>
            </w:r>
            <w:r w:rsidR="13E29031" w:rsidRPr="6AD7FB03">
              <w:rPr>
                <w:rFonts w:ascii="Aptos Narrow" w:hAnsi="Aptos Narrow"/>
                <w:sz w:val="22"/>
                <w:szCs w:val="22"/>
              </w:rPr>
              <w:t>High</w:t>
            </w:r>
          </w:p>
        </w:tc>
        <w:tc>
          <w:tcPr>
            <w:tcW w:w="3780" w:type="dxa"/>
          </w:tcPr>
          <w:p w14:paraId="7DB601CA" w14:textId="77777777" w:rsidR="0022343F" w:rsidRPr="00290E0E" w:rsidRDefault="574B39AF" w:rsidP="6AD7FB03">
            <w:pPr>
              <w:pStyle w:val="Tabletext"/>
              <w:rPr>
                <w:rFonts w:ascii="Aptos Narrow" w:hAnsi="Aptos Narrow"/>
                <w:sz w:val="22"/>
                <w:szCs w:val="22"/>
              </w:rPr>
            </w:pPr>
            <w:r w:rsidRPr="6AD7FB03">
              <w:rPr>
                <w:rFonts w:ascii="Aptos Narrow" w:hAnsi="Aptos Narrow"/>
                <w:sz w:val="22"/>
                <w:szCs w:val="22"/>
              </w:rPr>
              <w:t>Explore opportunities to increase the on–award enrichment and linkages activities, with a focus on internships, work placements and exposure to Australian work environments, and expanding the ILLA program, with a focus on schools rather than universities.</w:t>
            </w:r>
          </w:p>
        </w:tc>
        <w:tc>
          <w:tcPr>
            <w:tcW w:w="5490" w:type="dxa"/>
          </w:tcPr>
          <w:p w14:paraId="5C27E53E" w14:textId="268E377F" w:rsidR="0022343F" w:rsidRPr="00290E0E" w:rsidRDefault="0022343F" w:rsidP="00EF5138">
            <w:pPr>
              <w:pStyle w:val="Tabletext"/>
              <w:rPr>
                <w:rFonts w:ascii="Aptos Narrow" w:hAnsi="Aptos Narrow"/>
                <w:sz w:val="22"/>
                <w:szCs w:val="22"/>
              </w:rPr>
            </w:pPr>
            <w:r w:rsidRPr="00290E0E">
              <w:rPr>
                <w:rFonts w:ascii="Aptos Narrow" w:hAnsi="Aptos Narrow"/>
                <w:sz w:val="22"/>
                <w:szCs w:val="22"/>
              </w:rPr>
              <w:t>Agree.</w:t>
            </w:r>
            <w:r w:rsidRPr="00290E0E">
              <w:rPr>
                <w:rFonts w:ascii="Aptos Narrow" w:hAnsi="Aptos Narrow"/>
                <w:sz w:val="22"/>
                <w:szCs w:val="22"/>
              </w:rPr>
              <w:br/>
            </w:r>
            <w:r w:rsidR="003B36D3">
              <w:rPr>
                <w:rFonts w:ascii="Aptos Narrow" w:hAnsi="Aptos Narrow"/>
                <w:sz w:val="22"/>
                <w:szCs w:val="22"/>
              </w:rPr>
              <w:t>AAI</w:t>
            </w:r>
            <w:r w:rsidRPr="00290E0E">
              <w:rPr>
                <w:rFonts w:ascii="Aptos Narrow" w:hAnsi="Aptos Narrow"/>
                <w:sz w:val="22"/>
                <w:szCs w:val="22"/>
              </w:rPr>
              <w:t xml:space="preserve"> </w:t>
            </w:r>
            <w:r>
              <w:rPr>
                <w:rFonts w:ascii="Aptos Narrow" w:hAnsi="Aptos Narrow"/>
                <w:sz w:val="22"/>
                <w:szCs w:val="22"/>
              </w:rPr>
              <w:t>has a rolling annual</w:t>
            </w:r>
            <w:r w:rsidRPr="00290E0E">
              <w:rPr>
                <w:rFonts w:ascii="Aptos Narrow" w:hAnsi="Aptos Narrow"/>
                <w:sz w:val="22"/>
                <w:szCs w:val="22"/>
              </w:rPr>
              <w:t xml:space="preserve"> Enrichment </w:t>
            </w:r>
            <w:r>
              <w:rPr>
                <w:rFonts w:ascii="Aptos Narrow" w:hAnsi="Aptos Narrow"/>
                <w:sz w:val="22"/>
                <w:szCs w:val="22"/>
              </w:rPr>
              <w:t xml:space="preserve">and Linkages </w:t>
            </w:r>
            <w:r w:rsidRPr="00290E0E">
              <w:rPr>
                <w:rFonts w:ascii="Aptos Narrow" w:hAnsi="Aptos Narrow"/>
                <w:sz w:val="22"/>
                <w:szCs w:val="22"/>
              </w:rPr>
              <w:t xml:space="preserve">Plan </w:t>
            </w:r>
            <w:r>
              <w:rPr>
                <w:rFonts w:ascii="Aptos Narrow" w:hAnsi="Aptos Narrow"/>
                <w:sz w:val="22"/>
                <w:szCs w:val="22"/>
              </w:rPr>
              <w:t xml:space="preserve">built into the program Annual Plan. AAI will incorporate the MTR findings and this recommendation into the next iteration of the </w:t>
            </w:r>
            <w:r w:rsidRPr="00290E0E">
              <w:rPr>
                <w:rFonts w:ascii="Aptos Narrow" w:hAnsi="Aptos Narrow"/>
                <w:sz w:val="22"/>
                <w:szCs w:val="22"/>
              </w:rPr>
              <w:t xml:space="preserve">Enrichment </w:t>
            </w:r>
            <w:r>
              <w:rPr>
                <w:rFonts w:ascii="Aptos Narrow" w:hAnsi="Aptos Narrow"/>
                <w:sz w:val="22"/>
                <w:szCs w:val="22"/>
              </w:rPr>
              <w:t xml:space="preserve">and Linkages </w:t>
            </w:r>
            <w:r w:rsidRPr="00290E0E">
              <w:rPr>
                <w:rFonts w:ascii="Aptos Narrow" w:hAnsi="Aptos Narrow"/>
                <w:sz w:val="22"/>
                <w:szCs w:val="22"/>
              </w:rPr>
              <w:t>Plan</w:t>
            </w:r>
            <w:r>
              <w:rPr>
                <w:rFonts w:ascii="Aptos Narrow" w:hAnsi="Aptos Narrow"/>
                <w:sz w:val="22"/>
                <w:szCs w:val="22"/>
              </w:rPr>
              <w:t xml:space="preserve"> to </w:t>
            </w:r>
            <w:r w:rsidRPr="00290E0E">
              <w:rPr>
                <w:rFonts w:ascii="Aptos Narrow" w:hAnsi="Aptos Narrow"/>
                <w:sz w:val="22"/>
                <w:szCs w:val="22"/>
              </w:rPr>
              <w:t>enhance the experience of Indonesian scholars in Australia. The Plan will provide range of strategic options f</w:t>
            </w:r>
            <w:r>
              <w:rPr>
                <w:rFonts w:ascii="Aptos Narrow" w:hAnsi="Aptos Narrow"/>
                <w:sz w:val="22"/>
                <w:szCs w:val="22"/>
              </w:rPr>
              <w:t>or</w:t>
            </w:r>
            <w:r w:rsidRPr="00290E0E">
              <w:rPr>
                <w:rFonts w:ascii="Aptos Narrow" w:hAnsi="Aptos Narrow"/>
                <w:sz w:val="22"/>
                <w:szCs w:val="22"/>
              </w:rPr>
              <w:t xml:space="preserve"> </w:t>
            </w:r>
            <w:r>
              <w:rPr>
                <w:rFonts w:ascii="Aptos Narrow" w:hAnsi="Aptos Narrow"/>
                <w:sz w:val="22"/>
                <w:szCs w:val="22"/>
              </w:rPr>
              <w:t xml:space="preserve">on-award </w:t>
            </w:r>
            <w:r w:rsidRPr="00290E0E">
              <w:rPr>
                <w:rFonts w:ascii="Aptos Narrow" w:hAnsi="Aptos Narrow"/>
                <w:sz w:val="22"/>
                <w:szCs w:val="22"/>
              </w:rPr>
              <w:t>activities for scholars under different modalit</w:t>
            </w:r>
            <w:r>
              <w:rPr>
                <w:rFonts w:ascii="Aptos Narrow" w:hAnsi="Aptos Narrow"/>
                <w:sz w:val="22"/>
                <w:szCs w:val="22"/>
              </w:rPr>
              <w:t>ies</w:t>
            </w:r>
            <w:r w:rsidRPr="00290E0E">
              <w:rPr>
                <w:rFonts w:ascii="Aptos Narrow" w:hAnsi="Aptos Narrow"/>
                <w:sz w:val="22"/>
                <w:szCs w:val="22"/>
              </w:rPr>
              <w:t xml:space="preserve">. </w:t>
            </w:r>
          </w:p>
        </w:tc>
        <w:tc>
          <w:tcPr>
            <w:tcW w:w="2955" w:type="dxa"/>
          </w:tcPr>
          <w:p w14:paraId="01926DF1" w14:textId="77777777" w:rsidR="0022343F" w:rsidRDefault="0022343F" w:rsidP="0022343F">
            <w:pPr>
              <w:pStyle w:val="Tabletext"/>
              <w:rPr>
                <w:rFonts w:ascii="Aptos Narrow" w:hAnsi="Aptos Narrow"/>
                <w:sz w:val="22"/>
                <w:szCs w:val="22"/>
              </w:rPr>
            </w:pPr>
            <w:r>
              <w:rPr>
                <w:rFonts w:ascii="Aptos Narrow" w:hAnsi="Aptos Narrow"/>
                <w:sz w:val="22"/>
                <w:szCs w:val="22"/>
              </w:rPr>
              <w:t xml:space="preserve">Design and planning work to be conducted in preparation of the AAI Annual Plan 2025-26. </w:t>
            </w:r>
          </w:p>
          <w:p w14:paraId="69907809" w14:textId="77777777" w:rsidR="0022343F" w:rsidRPr="00290E0E" w:rsidRDefault="0022343F" w:rsidP="0022343F">
            <w:pPr>
              <w:pStyle w:val="Tabletext"/>
              <w:rPr>
                <w:rFonts w:ascii="Aptos Narrow" w:hAnsi="Aptos Narrow"/>
                <w:sz w:val="22"/>
                <w:szCs w:val="22"/>
              </w:rPr>
            </w:pPr>
            <w:r>
              <w:rPr>
                <w:rFonts w:ascii="Aptos Narrow" w:hAnsi="Aptos Narrow"/>
                <w:sz w:val="22"/>
                <w:szCs w:val="22"/>
              </w:rPr>
              <w:t xml:space="preserve">Delivery of these activities will be from Nov 2025 onwards and ongoing through the next phase. </w:t>
            </w:r>
          </w:p>
        </w:tc>
      </w:tr>
      <w:tr w:rsidR="0022343F" w:rsidRPr="00290E0E" w14:paraId="6C3E3651" w14:textId="77777777" w:rsidTr="00EF5138">
        <w:trPr>
          <w:cantSplit/>
          <w:trHeight w:val="300"/>
        </w:trPr>
        <w:tc>
          <w:tcPr>
            <w:tcW w:w="780" w:type="dxa"/>
          </w:tcPr>
          <w:p w14:paraId="68BF54A2" w14:textId="6C367AFA" w:rsidR="02D2BC83" w:rsidRDefault="02D2BC83" w:rsidP="00EF5138">
            <w:pPr>
              <w:pStyle w:val="Tabletext"/>
              <w:rPr>
                <w:rFonts w:ascii="Aptos Narrow" w:hAnsi="Aptos Narrow"/>
                <w:sz w:val="22"/>
                <w:szCs w:val="22"/>
              </w:rPr>
            </w:pPr>
            <w:r w:rsidRPr="68A75737">
              <w:rPr>
                <w:rFonts w:ascii="Aptos Narrow" w:hAnsi="Aptos Narrow"/>
                <w:sz w:val="22"/>
                <w:szCs w:val="22"/>
              </w:rPr>
              <w:t>10</w:t>
            </w:r>
          </w:p>
        </w:tc>
        <w:tc>
          <w:tcPr>
            <w:tcW w:w="1350" w:type="dxa"/>
          </w:tcPr>
          <w:p w14:paraId="22275C64" w14:textId="38F3D14A" w:rsidR="0022343F" w:rsidRPr="00290E0E" w:rsidRDefault="56FD4651" w:rsidP="0022343F">
            <w:pPr>
              <w:pStyle w:val="Tabletext"/>
              <w:ind w:right="-108"/>
              <w:rPr>
                <w:rFonts w:ascii="Aptos Narrow" w:hAnsi="Aptos Narrow"/>
                <w:sz w:val="22"/>
                <w:szCs w:val="22"/>
              </w:rPr>
            </w:pPr>
            <w:r w:rsidRPr="6AD7FB03">
              <w:rPr>
                <w:rFonts w:ascii="Aptos Narrow" w:hAnsi="Aptos Narrow"/>
                <w:sz w:val="22"/>
                <w:szCs w:val="22"/>
              </w:rPr>
              <w:t>Operational</w:t>
            </w:r>
            <w:r w:rsidR="2068C6B9" w:rsidRPr="6AD7FB03">
              <w:rPr>
                <w:rFonts w:ascii="Aptos Narrow" w:hAnsi="Aptos Narrow"/>
                <w:sz w:val="22"/>
                <w:szCs w:val="22"/>
              </w:rPr>
              <w:t xml:space="preserve"> – </w:t>
            </w:r>
            <w:r w:rsidR="1F5D5D6F" w:rsidRPr="6AD7FB03">
              <w:rPr>
                <w:rFonts w:ascii="Aptos Narrow" w:hAnsi="Aptos Narrow"/>
                <w:sz w:val="22"/>
                <w:szCs w:val="22"/>
              </w:rPr>
              <w:t>Medium</w:t>
            </w:r>
          </w:p>
        </w:tc>
        <w:tc>
          <w:tcPr>
            <w:tcW w:w="3780" w:type="dxa"/>
          </w:tcPr>
          <w:p w14:paraId="15D64AB0" w14:textId="25E64826" w:rsidR="0022343F" w:rsidRPr="00290E0E" w:rsidRDefault="56FD4651" w:rsidP="6AD7FB03">
            <w:pPr>
              <w:pStyle w:val="Tabletext"/>
              <w:rPr>
                <w:rFonts w:ascii="Aptos Narrow" w:hAnsi="Aptos Narrow"/>
                <w:sz w:val="22"/>
                <w:szCs w:val="22"/>
              </w:rPr>
            </w:pPr>
            <w:r w:rsidRPr="6AD7FB03">
              <w:rPr>
                <w:rFonts w:ascii="Aptos Narrow" w:hAnsi="Aptos Narrow"/>
                <w:sz w:val="22"/>
                <w:szCs w:val="22"/>
              </w:rPr>
              <w:t>Review and revise the content and duration of pre–departure training</w:t>
            </w:r>
            <w:r w:rsidR="1E9CA10D" w:rsidRPr="6AD7FB03">
              <w:rPr>
                <w:rFonts w:ascii="Aptos Narrow" w:hAnsi="Aptos Narrow"/>
                <w:sz w:val="22"/>
                <w:szCs w:val="22"/>
              </w:rPr>
              <w:t xml:space="preserve"> (PDT)</w:t>
            </w:r>
            <w:r w:rsidRPr="6AD7FB03">
              <w:rPr>
                <w:rFonts w:ascii="Aptos Narrow" w:hAnsi="Aptos Narrow"/>
                <w:sz w:val="22"/>
                <w:szCs w:val="22"/>
              </w:rPr>
              <w:t xml:space="preserve"> with the objective of improving effectiveness for awardees</w:t>
            </w:r>
          </w:p>
          <w:p w14:paraId="58FC1003" w14:textId="77777777" w:rsidR="0022343F" w:rsidRPr="00290E0E" w:rsidRDefault="0022343F" w:rsidP="6AD7FB03">
            <w:pPr>
              <w:pStyle w:val="Tabletext"/>
              <w:rPr>
                <w:rFonts w:ascii="Aptos Narrow" w:hAnsi="Aptos Narrow"/>
                <w:sz w:val="22"/>
                <w:szCs w:val="22"/>
              </w:rPr>
            </w:pPr>
          </w:p>
        </w:tc>
        <w:tc>
          <w:tcPr>
            <w:tcW w:w="5490" w:type="dxa"/>
          </w:tcPr>
          <w:p w14:paraId="4F925649" w14:textId="77777777" w:rsidR="0022343F" w:rsidRPr="00290E0E" w:rsidRDefault="0022343F" w:rsidP="0022343F">
            <w:pPr>
              <w:pStyle w:val="Tabletext"/>
              <w:rPr>
                <w:rFonts w:ascii="Aptos Narrow" w:hAnsi="Aptos Narrow"/>
                <w:sz w:val="22"/>
                <w:szCs w:val="22"/>
              </w:rPr>
            </w:pPr>
            <w:r w:rsidRPr="00290E0E">
              <w:rPr>
                <w:rFonts w:ascii="Aptos Narrow" w:hAnsi="Aptos Narrow"/>
                <w:sz w:val="22"/>
                <w:szCs w:val="22"/>
              </w:rPr>
              <w:t>Agree.</w:t>
            </w:r>
          </w:p>
          <w:p w14:paraId="6938DCFA" w14:textId="250F1839" w:rsidR="00D70398" w:rsidRDefault="0022343F" w:rsidP="00D70398">
            <w:pPr>
              <w:pStyle w:val="Tabletext"/>
              <w:rPr>
                <w:rFonts w:ascii="Aptos Narrow" w:hAnsi="Aptos Narrow"/>
                <w:sz w:val="22"/>
                <w:szCs w:val="22"/>
              </w:rPr>
            </w:pPr>
            <w:r w:rsidRPr="00290E0E">
              <w:rPr>
                <w:rFonts w:ascii="Aptos Narrow" w:hAnsi="Aptos Narrow"/>
                <w:sz w:val="22"/>
                <w:szCs w:val="22"/>
              </w:rPr>
              <w:t xml:space="preserve">The program will </w:t>
            </w:r>
            <w:r w:rsidR="003B36D3">
              <w:rPr>
                <w:rFonts w:ascii="Aptos Narrow" w:hAnsi="Aptos Narrow"/>
                <w:sz w:val="22"/>
                <w:szCs w:val="22"/>
              </w:rPr>
              <w:t>explore</w:t>
            </w:r>
            <w:r w:rsidRPr="00290E0E">
              <w:rPr>
                <w:rFonts w:ascii="Aptos Narrow" w:hAnsi="Aptos Narrow"/>
                <w:sz w:val="22"/>
                <w:szCs w:val="22"/>
              </w:rPr>
              <w:t xml:space="preserve"> refin</w:t>
            </w:r>
            <w:r w:rsidR="003B36D3">
              <w:rPr>
                <w:rFonts w:ascii="Aptos Narrow" w:hAnsi="Aptos Narrow"/>
                <w:sz w:val="22"/>
                <w:szCs w:val="22"/>
              </w:rPr>
              <w:t>ing</w:t>
            </w:r>
            <w:r w:rsidRPr="00290E0E">
              <w:rPr>
                <w:rFonts w:ascii="Aptos Narrow" w:hAnsi="Aptos Narrow"/>
                <w:sz w:val="22"/>
                <w:szCs w:val="22"/>
              </w:rPr>
              <w:t xml:space="preserve"> the PDT program ensuring optimal support and preparation for scholars before their departure. The program will</w:t>
            </w:r>
            <w:r>
              <w:rPr>
                <w:rFonts w:ascii="Aptos Narrow" w:hAnsi="Aptos Narrow"/>
                <w:sz w:val="22"/>
                <w:szCs w:val="22"/>
              </w:rPr>
              <w:t xml:space="preserve"> refine the PDT program by</w:t>
            </w:r>
            <w:r w:rsidRPr="00290E0E">
              <w:rPr>
                <w:rFonts w:ascii="Aptos Narrow" w:hAnsi="Aptos Narrow"/>
                <w:sz w:val="22"/>
                <w:szCs w:val="22"/>
              </w:rPr>
              <w:t>:</w:t>
            </w:r>
          </w:p>
          <w:p w14:paraId="7A5908CD" w14:textId="77777777" w:rsidR="00D70398" w:rsidRDefault="0022343F" w:rsidP="00D70398">
            <w:pPr>
              <w:pStyle w:val="Tabletext"/>
              <w:numPr>
                <w:ilvl w:val="0"/>
                <w:numId w:val="20"/>
              </w:numPr>
              <w:rPr>
                <w:rFonts w:ascii="Aptos Narrow" w:hAnsi="Aptos Narrow"/>
                <w:sz w:val="22"/>
                <w:szCs w:val="22"/>
              </w:rPr>
            </w:pPr>
            <w:r w:rsidRPr="00290E0E">
              <w:rPr>
                <w:rFonts w:ascii="Aptos Narrow" w:hAnsi="Aptos Narrow"/>
                <w:sz w:val="22"/>
                <w:szCs w:val="22"/>
              </w:rPr>
              <w:t>Evaluat</w:t>
            </w:r>
            <w:r>
              <w:rPr>
                <w:rFonts w:ascii="Aptos Narrow" w:hAnsi="Aptos Narrow"/>
                <w:sz w:val="22"/>
                <w:szCs w:val="22"/>
              </w:rPr>
              <w:t>ing</w:t>
            </w:r>
            <w:r w:rsidRPr="00290E0E">
              <w:rPr>
                <w:rFonts w:ascii="Aptos Narrow" w:hAnsi="Aptos Narrow"/>
                <w:sz w:val="22"/>
                <w:szCs w:val="22"/>
              </w:rPr>
              <w:t xml:space="preserve"> the effectiveness of 2025 short-PDT pilot cohort, identifying strengths and areas for improvement</w:t>
            </w:r>
            <w:r>
              <w:rPr>
                <w:rFonts w:ascii="Aptos Narrow" w:hAnsi="Aptos Narrow"/>
                <w:sz w:val="22"/>
                <w:szCs w:val="22"/>
              </w:rPr>
              <w:t>, including strengthening GEDSI and PSEAH components.</w:t>
            </w:r>
          </w:p>
          <w:p w14:paraId="39AC966E" w14:textId="6BDB4F34" w:rsidR="0022343F" w:rsidRPr="001C2724" w:rsidRDefault="0022343F" w:rsidP="0022343F">
            <w:pPr>
              <w:pStyle w:val="Tabletext"/>
              <w:numPr>
                <w:ilvl w:val="0"/>
                <w:numId w:val="20"/>
              </w:numPr>
              <w:rPr>
                <w:rFonts w:ascii="Aptos Narrow" w:hAnsi="Aptos Narrow"/>
                <w:sz w:val="22"/>
                <w:szCs w:val="22"/>
              </w:rPr>
            </w:pPr>
            <w:r w:rsidRPr="00D70398">
              <w:rPr>
                <w:rFonts w:ascii="Aptos Narrow" w:hAnsi="Aptos Narrow"/>
                <w:sz w:val="22"/>
                <w:szCs w:val="22"/>
              </w:rPr>
              <w:t>Exploring flexible PDT options including options for duration that cater to the diverse needs of scholars, potentially including customised or modular training approaches including hybrid mechanisms.</w:t>
            </w:r>
          </w:p>
        </w:tc>
        <w:tc>
          <w:tcPr>
            <w:tcW w:w="2955" w:type="dxa"/>
          </w:tcPr>
          <w:p w14:paraId="2D13D0CE" w14:textId="77777777" w:rsidR="0022343F" w:rsidRPr="00290E0E" w:rsidRDefault="0022343F" w:rsidP="0022343F">
            <w:pPr>
              <w:pStyle w:val="Tabletext"/>
              <w:rPr>
                <w:rFonts w:ascii="Aptos Narrow" w:hAnsi="Aptos Narrow"/>
                <w:sz w:val="22"/>
                <w:szCs w:val="22"/>
              </w:rPr>
            </w:pPr>
            <w:r>
              <w:rPr>
                <w:rFonts w:ascii="Aptos Narrow" w:hAnsi="Aptos Narrow"/>
                <w:sz w:val="22"/>
                <w:szCs w:val="22"/>
              </w:rPr>
              <w:t xml:space="preserve">July-Sept 2025, in preparation for the PDT season for the cohort of scholars to be selected under the </w:t>
            </w:r>
            <w:proofErr w:type="gramStart"/>
            <w:r>
              <w:rPr>
                <w:rFonts w:ascii="Aptos Narrow" w:hAnsi="Aptos Narrow"/>
                <w:sz w:val="22"/>
                <w:szCs w:val="22"/>
              </w:rPr>
              <w:t>Masters</w:t>
            </w:r>
            <w:proofErr w:type="gramEnd"/>
            <w:r>
              <w:rPr>
                <w:rFonts w:ascii="Aptos Narrow" w:hAnsi="Aptos Narrow"/>
                <w:sz w:val="22"/>
                <w:szCs w:val="22"/>
              </w:rPr>
              <w:t xml:space="preserve"> and PhD 2026 Intake.</w:t>
            </w:r>
          </w:p>
        </w:tc>
      </w:tr>
    </w:tbl>
    <w:p w14:paraId="223A834D" w14:textId="77777777" w:rsidR="005B2CC3" w:rsidRDefault="005B2CC3" w:rsidP="005B2CC3"/>
    <w:p w14:paraId="39CBDA98" w14:textId="77777777" w:rsidR="005B2CC3" w:rsidRDefault="005B2CC3" w:rsidP="005B2CC3">
      <w:pPr>
        <w:suppressAutoHyphens w:val="0"/>
        <w:spacing w:line="278" w:lineRule="auto"/>
      </w:pPr>
      <w:r>
        <w:br w:type="page"/>
      </w:r>
    </w:p>
    <w:p w14:paraId="5C8DC6D8" w14:textId="77777777" w:rsidR="005B2CC3" w:rsidRDefault="005B2CC3" w:rsidP="007D766C">
      <w:pPr>
        <w:pStyle w:val="Heading2"/>
      </w:pPr>
      <w:r w:rsidRPr="00987179">
        <w:lastRenderedPageBreak/>
        <w:t xml:space="preserve">CRITERIA: </w:t>
      </w:r>
      <w:r>
        <w:t>EFFICIENCY</w:t>
      </w:r>
    </w:p>
    <w:tbl>
      <w:tblPr>
        <w:tblStyle w:val="SustineoTables"/>
        <w:tblW w:w="14265" w:type="dxa"/>
        <w:tblLayout w:type="fixed"/>
        <w:tblLook w:val="0620" w:firstRow="1" w:lastRow="0" w:firstColumn="0" w:lastColumn="0" w:noHBand="1" w:noVBand="1"/>
      </w:tblPr>
      <w:tblGrid>
        <w:gridCol w:w="780"/>
        <w:gridCol w:w="1350"/>
        <w:gridCol w:w="4410"/>
        <w:gridCol w:w="4410"/>
        <w:gridCol w:w="3315"/>
      </w:tblGrid>
      <w:tr w:rsidR="005B2CC3" w:rsidRPr="00290E0E" w14:paraId="5AF0D062" w14:textId="77777777" w:rsidTr="00EF5138">
        <w:trPr>
          <w:cnfStyle w:val="100000000000" w:firstRow="1" w:lastRow="0" w:firstColumn="0" w:lastColumn="0" w:oddVBand="0" w:evenVBand="0" w:oddHBand="0" w:evenHBand="0" w:firstRowFirstColumn="0" w:firstRowLastColumn="0" w:lastRowFirstColumn="0" w:lastRowLastColumn="0"/>
          <w:trHeight w:val="300"/>
        </w:trPr>
        <w:tc>
          <w:tcPr>
            <w:tcW w:w="780" w:type="dxa"/>
            <w:vAlign w:val="center"/>
          </w:tcPr>
          <w:p w14:paraId="6D2C1957" w14:textId="701259F3" w:rsidR="1041CB9B" w:rsidRDefault="1041CB9B" w:rsidP="00EF5138">
            <w:pPr>
              <w:pStyle w:val="Tabletext"/>
              <w:jc w:val="center"/>
              <w:rPr>
                <w:rFonts w:ascii="Aptos Narrow" w:hAnsi="Aptos Narrow"/>
                <w:sz w:val="22"/>
                <w:szCs w:val="22"/>
              </w:rPr>
            </w:pPr>
            <w:r w:rsidRPr="68A75737">
              <w:rPr>
                <w:rFonts w:ascii="Aptos Narrow" w:hAnsi="Aptos Narrow"/>
                <w:sz w:val="22"/>
                <w:szCs w:val="22"/>
              </w:rPr>
              <w:t>No</w:t>
            </w:r>
          </w:p>
        </w:tc>
        <w:tc>
          <w:tcPr>
            <w:tcW w:w="1350" w:type="dxa"/>
            <w:vAlign w:val="center"/>
          </w:tcPr>
          <w:p w14:paraId="46122D33" w14:textId="7B5A1DB3" w:rsidR="005B2CC3" w:rsidRPr="00290E0E" w:rsidRDefault="005B2CC3" w:rsidP="00B109EC">
            <w:pPr>
              <w:pStyle w:val="Tabletext"/>
              <w:ind w:right="-108"/>
              <w:jc w:val="center"/>
              <w:rPr>
                <w:rFonts w:ascii="Aptos Narrow" w:hAnsi="Aptos Narrow"/>
                <w:sz w:val="22"/>
                <w:szCs w:val="22"/>
              </w:rPr>
            </w:pPr>
            <w:r w:rsidRPr="68A75737">
              <w:rPr>
                <w:rFonts w:ascii="Aptos Narrow" w:hAnsi="Aptos Narrow"/>
                <w:sz w:val="22"/>
                <w:szCs w:val="22"/>
              </w:rPr>
              <w:t>Focus</w:t>
            </w:r>
            <w:r w:rsidR="4790F80F" w:rsidRPr="68A75737">
              <w:rPr>
                <w:rFonts w:ascii="Aptos Narrow" w:hAnsi="Aptos Narrow"/>
                <w:sz w:val="22"/>
                <w:szCs w:val="22"/>
              </w:rPr>
              <w:t xml:space="preserve"> - Priority</w:t>
            </w:r>
          </w:p>
        </w:tc>
        <w:tc>
          <w:tcPr>
            <w:tcW w:w="4410" w:type="dxa"/>
            <w:vAlign w:val="center"/>
          </w:tcPr>
          <w:p w14:paraId="019C01D9" w14:textId="77777777" w:rsidR="005B2CC3" w:rsidRPr="00290E0E" w:rsidRDefault="6CC69515" w:rsidP="6AD7FB03">
            <w:pPr>
              <w:pStyle w:val="Tabletext"/>
              <w:jc w:val="center"/>
              <w:rPr>
                <w:rFonts w:ascii="Aptos Narrow" w:hAnsi="Aptos Narrow"/>
                <w:sz w:val="22"/>
                <w:szCs w:val="22"/>
              </w:rPr>
            </w:pPr>
            <w:r w:rsidRPr="6AD7FB03">
              <w:rPr>
                <w:rFonts w:ascii="Aptos Narrow" w:hAnsi="Aptos Narrow"/>
                <w:sz w:val="22"/>
                <w:szCs w:val="22"/>
              </w:rPr>
              <w:t>Recommendation</w:t>
            </w:r>
          </w:p>
        </w:tc>
        <w:tc>
          <w:tcPr>
            <w:tcW w:w="4410" w:type="dxa"/>
            <w:vAlign w:val="center"/>
          </w:tcPr>
          <w:p w14:paraId="5DBCC424" w14:textId="77777777" w:rsidR="005B2CC3" w:rsidRPr="00290E0E" w:rsidRDefault="005B2CC3" w:rsidP="00B109EC">
            <w:pPr>
              <w:pStyle w:val="Tabletext"/>
              <w:ind w:right="-76"/>
              <w:jc w:val="center"/>
              <w:rPr>
                <w:rFonts w:ascii="Aptos Narrow" w:hAnsi="Aptos Narrow"/>
                <w:sz w:val="22"/>
                <w:szCs w:val="22"/>
              </w:rPr>
            </w:pPr>
            <w:r w:rsidRPr="00290E0E">
              <w:rPr>
                <w:rFonts w:ascii="Aptos Narrow" w:hAnsi="Aptos Narrow"/>
                <w:sz w:val="22"/>
                <w:szCs w:val="22"/>
              </w:rPr>
              <w:t>DFAT Response</w:t>
            </w:r>
          </w:p>
        </w:tc>
        <w:tc>
          <w:tcPr>
            <w:tcW w:w="3315" w:type="dxa"/>
            <w:vAlign w:val="center"/>
          </w:tcPr>
          <w:p w14:paraId="2DBD8700" w14:textId="77777777" w:rsidR="005B2CC3" w:rsidRPr="00290E0E" w:rsidRDefault="005B2CC3" w:rsidP="00B109EC">
            <w:pPr>
              <w:pStyle w:val="Tabletext"/>
              <w:ind w:right="-76"/>
              <w:jc w:val="center"/>
              <w:rPr>
                <w:rFonts w:ascii="Aptos Narrow" w:hAnsi="Aptos Narrow"/>
                <w:sz w:val="22"/>
                <w:szCs w:val="22"/>
              </w:rPr>
            </w:pPr>
            <w:r>
              <w:rPr>
                <w:rFonts w:ascii="Aptos Narrow" w:hAnsi="Aptos Narrow"/>
                <w:sz w:val="22"/>
                <w:szCs w:val="22"/>
              </w:rPr>
              <w:t>Timeframe</w:t>
            </w:r>
          </w:p>
        </w:tc>
      </w:tr>
      <w:tr w:rsidR="68A75737" w14:paraId="242CF07E" w14:textId="77777777" w:rsidTr="001836E1">
        <w:trPr>
          <w:trHeight w:val="300"/>
        </w:trPr>
        <w:tc>
          <w:tcPr>
            <w:tcW w:w="780" w:type="dxa"/>
          </w:tcPr>
          <w:p w14:paraId="1CFF005A" w14:textId="14166C68" w:rsidR="1A3BC34D" w:rsidRDefault="1A3BC34D" w:rsidP="68A75737">
            <w:pPr>
              <w:pStyle w:val="Tabletext"/>
              <w:rPr>
                <w:rFonts w:ascii="Aptos Narrow" w:hAnsi="Aptos Narrow"/>
                <w:sz w:val="22"/>
                <w:szCs w:val="22"/>
              </w:rPr>
            </w:pPr>
            <w:r w:rsidRPr="68A75737">
              <w:rPr>
                <w:rFonts w:ascii="Aptos Narrow" w:hAnsi="Aptos Narrow"/>
                <w:sz w:val="22"/>
                <w:szCs w:val="22"/>
              </w:rPr>
              <w:t>11</w:t>
            </w:r>
          </w:p>
        </w:tc>
        <w:tc>
          <w:tcPr>
            <w:tcW w:w="1350" w:type="dxa"/>
          </w:tcPr>
          <w:p w14:paraId="3A944955" w14:textId="4B3249F2" w:rsidR="68A75737" w:rsidRDefault="18F99B03" w:rsidP="68A75737">
            <w:pPr>
              <w:pStyle w:val="Tabletext"/>
              <w:ind w:right="-108"/>
              <w:rPr>
                <w:rFonts w:ascii="Aptos Narrow" w:hAnsi="Aptos Narrow"/>
                <w:sz w:val="22"/>
                <w:szCs w:val="22"/>
              </w:rPr>
            </w:pPr>
            <w:r w:rsidRPr="6AD7FB03">
              <w:rPr>
                <w:rFonts w:ascii="Aptos Narrow" w:hAnsi="Aptos Narrow"/>
                <w:sz w:val="22"/>
                <w:szCs w:val="22"/>
              </w:rPr>
              <w:t>Operational</w:t>
            </w:r>
            <w:r w:rsidR="3EA7F816" w:rsidRPr="6AD7FB03">
              <w:rPr>
                <w:rFonts w:ascii="Aptos Narrow" w:hAnsi="Aptos Narrow"/>
                <w:sz w:val="22"/>
                <w:szCs w:val="22"/>
              </w:rPr>
              <w:t xml:space="preserve"> – </w:t>
            </w:r>
            <w:r w:rsidR="2C5554BE" w:rsidRPr="6AD7FB03">
              <w:rPr>
                <w:rFonts w:ascii="Aptos Narrow" w:hAnsi="Aptos Narrow"/>
                <w:sz w:val="22"/>
                <w:szCs w:val="22"/>
              </w:rPr>
              <w:t>Medium</w:t>
            </w:r>
            <w:r w:rsidR="3EA7F816" w:rsidRPr="6AD7FB03">
              <w:rPr>
                <w:rFonts w:ascii="Aptos Narrow" w:hAnsi="Aptos Narrow"/>
                <w:sz w:val="22"/>
                <w:szCs w:val="22"/>
              </w:rPr>
              <w:t xml:space="preserve"> </w:t>
            </w:r>
          </w:p>
        </w:tc>
        <w:tc>
          <w:tcPr>
            <w:tcW w:w="4410" w:type="dxa"/>
            <w:vAlign w:val="center"/>
          </w:tcPr>
          <w:p w14:paraId="01C6C2CF" w14:textId="77777777" w:rsidR="68A75737" w:rsidRDefault="18F99B03" w:rsidP="6AD7FB03">
            <w:pPr>
              <w:pStyle w:val="Tabletext"/>
              <w:rPr>
                <w:rFonts w:ascii="Aptos Narrow" w:hAnsi="Aptos Narrow"/>
                <w:sz w:val="22"/>
                <w:szCs w:val="22"/>
              </w:rPr>
            </w:pPr>
            <w:r w:rsidRPr="6AD7FB03">
              <w:rPr>
                <w:rFonts w:ascii="Aptos Narrow" w:hAnsi="Aptos Narrow"/>
                <w:sz w:val="22"/>
                <w:szCs w:val="22"/>
              </w:rPr>
              <w:t>Ensure that communication products such as the annual calendar of short courses and social media content is disseminated to stakeholders across DFAT with as much notice as possible.</w:t>
            </w:r>
          </w:p>
        </w:tc>
        <w:tc>
          <w:tcPr>
            <w:tcW w:w="4410" w:type="dxa"/>
            <w:vAlign w:val="center"/>
          </w:tcPr>
          <w:p w14:paraId="2095B69B"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Agree.</w:t>
            </w:r>
          </w:p>
          <w:p w14:paraId="678CBAC4"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The program will continue ongoing efforts to ensure appropriate lead-time for DFAT stakeholders to action.</w:t>
            </w:r>
          </w:p>
        </w:tc>
        <w:tc>
          <w:tcPr>
            <w:tcW w:w="3315" w:type="dxa"/>
            <w:vAlign w:val="center"/>
          </w:tcPr>
          <w:p w14:paraId="12E2517E" w14:textId="77777777" w:rsidR="68A75737" w:rsidRDefault="68A75737" w:rsidP="68A75737">
            <w:pPr>
              <w:pStyle w:val="Tabletext"/>
              <w:rPr>
                <w:rFonts w:ascii="Aptos Narrow" w:hAnsi="Aptos Narrow"/>
                <w:sz w:val="22"/>
                <w:szCs w:val="22"/>
              </w:rPr>
            </w:pPr>
            <w:r w:rsidRPr="68A75737">
              <w:rPr>
                <w:rFonts w:ascii="Aptos Narrow" w:hAnsi="Aptos Narrow"/>
                <w:sz w:val="22"/>
                <w:szCs w:val="22"/>
              </w:rPr>
              <w:t xml:space="preserve">Done, with ongoing refinements and adjustments. </w:t>
            </w:r>
          </w:p>
        </w:tc>
      </w:tr>
      <w:tr w:rsidR="005B2CC3" w:rsidRPr="00290E0E" w14:paraId="66AC9E20" w14:textId="77777777" w:rsidTr="00EF5138">
        <w:trPr>
          <w:cantSplit/>
          <w:trHeight w:val="300"/>
        </w:trPr>
        <w:tc>
          <w:tcPr>
            <w:tcW w:w="780" w:type="dxa"/>
          </w:tcPr>
          <w:p w14:paraId="1D6EFBFE" w14:textId="4D48AF97" w:rsidR="1B6CB43A" w:rsidRDefault="1B6CB43A" w:rsidP="00EF5138">
            <w:pPr>
              <w:pStyle w:val="Tabletext"/>
              <w:rPr>
                <w:rFonts w:ascii="Aptos Narrow" w:hAnsi="Aptos Narrow"/>
                <w:sz w:val="22"/>
                <w:szCs w:val="22"/>
              </w:rPr>
            </w:pPr>
            <w:r w:rsidRPr="68A75737">
              <w:rPr>
                <w:rFonts w:ascii="Aptos Narrow" w:hAnsi="Aptos Narrow"/>
                <w:sz w:val="22"/>
                <w:szCs w:val="22"/>
              </w:rPr>
              <w:t>12</w:t>
            </w:r>
          </w:p>
        </w:tc>
        <w:tc>
          <w:tcPr>
            <w:tcW w:w="1350" w:type="dxa"/>
          </w:tcPr>
          <w:p w14:paraId="63772115" w14:textId="634BB4BC" w:rsidR="005B2CC3" w:rsidRPr="00290E0E" w:rsidRDefault="6CC69515" w:rsidP="00B109EC">
            <w:pPr>
              <w:pStyle w:val="Tabletext"/>
              <w:ind w:right="-108"/>
              <w:rPr>
                <w:rFonts w:ascii="Aptos Narrow" w:hAnsi="Aptos Narrow"/>
                <w:sz w:val="22"/>
                <w:szCs w:val="22"/>
              </w:rPr>
            </w:pPr>
            <w:r w:rsidRPr="6AD7FB03">
              <w:rPr>
                <w:rFonts w:ascii="Aptos Narrow" w:hAnsi="Aptos Narrow"/>
                <w:sz w:val="22"/>
                <w:szCs w:val="22"/>
              </w:rPr>
              <w:t>Operational</w:t>
            </w:r>
            <w:r w:rsidR="239BBDD8" w:rsidRPr="6AD7FB03">
              <w:rPr>
                <w:rFonts w:ascii="Aptos Narrow" w:hAnsi="Aptos Narrow"/>
                <w:sz w:val="22"/>
                <w:szCs w:val="22"/>
              </w:rPr>
              <w:t xml:space="preserve"> – </w:t>
            </w:r>
            <w:r w:rsidR="7BB943DD" w:rsidRPr="6AD7FB03">
              <w:rPr>
                <w:rFonts w:ascii="Aptos Narrow" w:hAnsi="Aptos Narrow"/>
                <w:sz w:val="22"/>
                <w:szCs w:val="22"/>
              </w:rPr>
              <w:t>High</w:t>
            </w:r>
            <w:r w:rsidR="239BBDD8" w:rsidRPr="6AD7FB03">
              <w:rPr>
                <w:rFonts w:ascii="Aptos Narrow" w:hAnsi="Aptos Narrow"/>
                <w:sz w:val="22"/>
                <w:szCs w:val="22"/>
              </w:rPr>
              <w:t xml:space="preserve"> </w:t>
            </w:r>
          </w:p>
        </w:tc>
        <w:tc>
          <w:tcPr>
            <w:tcW w:w="4410" w:type="dxa"/>
          </w:tcPr>
          <w:p w14:paraId="7C7D2471"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Continue to develop and strengthen the AAI MEL system to improve alignment and integration with DFAT MEL frameworks and systems, sharpen and standardise cross–cutting indicators and strengthen narrative analysis of outcomes.</w:t>
            </w:r>
          </w:p>
        </w:tc>
        <w:tc>
          <w:tcPr>
            <w:tcW w:w="4410" w:type="dxa"/>
          </w:tcPr>
          <w:p w14:paraId="62853A88" w14:textId="77777777"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 xml:space="preserve">Agree. </w:t>
            </w:r>
          </w:p>
        </w:tc>
        <w:tc>
          <w:tcPr>
            <w:tcW w:w="3315" w:type="dxa"/>
          </w:tcPr>
          <w:p w14:paraId="2C2370D6"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Ongoing including through an updated MEL plan to be delivered by May 2026.</w:t>
            </w:r>
          </w:p>
        </w:tc>
      </w:tr>
      <w:tr w:rsidR="005B2CC3" w:rsidRPr="00290E0E" w14:paraId="6C1AD4FE" w14:textId="77777777" w:rsidTr="00EF5138">
        <w:trPr>
          <w:cantSplit/>
          <w:trHeight w:val="300"/>
        </w:trPr>
        <w:tc>
          <w:tcPr>
            <w:tcW w:w="780" w:type="dxa"/>
          </w:tcPr>
          <w:p w14:paraId="283F7E12" w14:textId="12561481" w:rsidR="774DDEAA" w:rsidRDefault="774DDEAA" w:rsidP="00EF5138">
            <w:pPr>
              <w:pStyle w:val="Tabletext"/>
              <w:rPr>
                <w:rFonts w:ascii="Aptos Narrow" w:hAnsi="Aptos Narrow"/>
                <w:sz w:val="22"/>
                <w:szCs w:val="22"/>
              </w:rPr>
            </w:pPr>
            <w:r w:rsidRPr="68A75737">
              <w:rPr>
                <w:rFonts w:ascii="Aptos Narrow" w:hAnsi="Aptos Narrow"/>
                <w:sz w:val="22"/>
                <w:szCs w:val="22"/>
              </w:rPr>
              <w:t>13</w:t>
            </w:r>
          </w:p>
        </w:tc>
        <w:tc>
          <w:tcPr>
            <w:tcW w:w="1350" w:type="dxa"/>
          </w:tcPr>
          <w:p w14:paraId="1C1EEC99" w14:textId="3BE4906B" w:rsidR="005B2CC3" w:rsidRPr="00290E0E" w:rsidRDefault="6CC69515" w:rsidP="00B109EC">
            <w:pPr>
              <w:pStyle w:val="Tabletext"/>
              <w:ind w:right="-108"/>
              <w:rPr>
                <w:rFonts w:ascii="Aptos Narrow" w:hAnsi="Aptos Narrow"/>
                <w:sz w:val="22"/>
                <w:szCs w:val="22"/>
              </w:rPr>
            </w:pPr>
            <w:r w:rsidRPr="6AD7FB03">
              <w:rPr>
                <w:rFonts w:ascii="Aptos Narrow" w:hAnsi="Aptos Narrow"/>
                <w:sz w:val="22"/>
                <w:szCs w:val="22"/>
              </w:rPr>
              <w:t>Operational</w:t>
            </w:r>
            <w:r w:rsidR="358F3E34" w:rsidRPr="6AD7FB03">
              <w:rPr>
                <w:rFonts w:ascii="Aptos Narrow" w:hAnsi="Aptos Narrow"/>
                <w:sz w:val="22"/>
                <w:szCs w:val="22"/>
              </w:rPr>
              <w:t xml:space="preserve"> – </w:t>
            </w:r>
            <w:r w:rsidR="1166FEAA" w:rsidRPr="6AD7FB03">
              <w:rPr>
                <w:rFonts w:ascii="Aptos Narrow" w:hAnsi="Aptos Narrow"/>
                <w:sz w:val="22"/>
                <w:szCs w:val="22"/>
              </w:rPr>
              <w:t>Low</w:t>
            </w:r>
            <w:r w:rsidR="358F3E34" w:rsidRPr="6AD7FB03">
              <w:rPr>
                <w:rFonts w:ascii="Aptos Narrow" w:hAnsi="Aptos Narrow"/>
                <w:sz w:val="22"/>
                <w:szCs w:val="22"/>
              </w:rPr>
              <w:t xml:space="preserve"> </w:t>
            </w:r>
          </w:p>
        </w:tc>
        <w:tc>
          <w:tcPr>
            <w:tcW w:w="4410" w:type="dxa"/>
          </w:tcPr>
          <w:p w14:paraId="241FFEE5" w14:textId="5955CD2C"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Leverage alumni expertise in AAI MEL activities.</w:t>
            </w:r>
          </w:p>
        </w:tc>
        <w:tc>
          <w:tcPr>
            <w:tcW w:w="4410" w:type="dxa"/>
          </w:tcPr>
          <w:p w14:paraId="77B0232A" w14:textId="77777777" w:rsidR="005B2CC3" w:rsidRPr="00290E0E" w:rsidRDefault="005B2CC3" w:rsidP="00B109EC">
            <w:pPr>
              <w:pStyle w:val="Tabletext"/>
              <w:ind w:left="-166" w:firstLine="83"/>
              <w:rPr>
                <w:rFonts w:ascii="Aptos Narrow" w:hAnsi="Aptos Narrow"/>
                <w:sz w:val="22"/>
                <w:szCs w:val="22"/>
              </w:rPr>
            </w:pPr>
            <w:r w:rsidRPr="00290E0E">
              <w:rPr>
                <w:rFonts w:ascii="Aptos Narrow" w:hAnsi="Aptos Narrow"/>
                <w:sz w:val="22"/>
                <w:szCs w:val="22"/>
              </w:rPr>
              <w:t>Agree.</w:t>
            </w:r>
          </w:p>
        </w:tc>
        <w:tc>
          <w:tcPr>
            <w:tcW w:w="3315" w:type="dxa"/>
          </w:tcPr>
          <w:p w14:paraId="3B41F32D" w14:textId="77777777" w:rsidR="005B2CC3" w:rsidRPr="00290E0E" w:rsidRDefault="005B2CC3" w:rsidP="00B109EC">
            <w:pPr>
              <w:pStyle w:val="Tabletext"/>
              <w:ind w:left="-166" w:firstLine="83"/>
              <w:rPr>
                <w:rFonts w:ascii="Aptos Narrow" w:hAnsi="Aptos Narrow"/>
                <w:sz w:val="22"/>
                <w:szCs w:val="22"/>
              </w:rPr>
            </w:pPr>
            <w:r>
              <w:rPr>
                <w:rFonts w:ascii="Aptos Narrow" w:hAnsi="Aptos Narrow"/>
                <w:sz w:val="22"/>
                <w:szCs w:val="22"/>
              </w:rPr>
              <w:t>Ongoing</w:t>
            </w:r>
          </w:p>
        </w:tc>
      </w:tr>
    </w:tbl>
    <w:p w14:paraId="5C6A17B2" w14:textId="77777777" w:rsidR="005B2CC3" w:rsidRDefault="005B2CC3" w:rsidP="005B2CC3"/>
    <w:p w14:paraId="6D1BF894" w14:textId="77777777" w:rsidR="005B2CC3" w:rsidRDefault="005B2CC3" w:rsidP="005B2CC3">
      <w:pPr>
        <w:suppressAutoHyphens w:val="0"/>
        <w:spacing w:line="278" w:lineRule="auto"/>
        <w:rPr>
          <w:b/>
          <w:bCs/>
          <w:color w:val="156082" w:themeColor="accent1"/>
        </w:rPr>
      </w:pPr>
      <w:r>
        <w:rPr>
          <w:b/>
          <w:bCs/>
          <w:color w:val="156082" w:themeColor="accent1"/>
        </w:rPr>
        <w:br w:type="page"/>
      </w:r>
    </w:p>
    <w:p w14:paraId="651C3BB3" w14:textId="77777777" w:rsidR="005B2CC3" w:rsidRPr="007D766C" w:rsidRDefault="005B2CC3" w:rsidP="007D766C">
      <w:pPr>
        <w:pStyle w:val="Heading2"/>
      </w:pPr>
      <w:r w:rsidRPr="007D766C">
        <w:lastRenderedPageBreak/>
        <w:t>CRITERIA: GEDSI/ CLIMATE CHANGE</w:t>
      </w:r>
    </w:p>
    <w:tbl>
      <w:tblPr>
        <w:tblStyle w:val="SustineoTables"/>
        <w:tblW w:w="14370" w:type="dxa"/>
        <w:tblLayout w:type="fixed"/>
        <w:tblLook w:val="0620" w:firstRow="1" w:lastRow="0" w:firstColumn="0" w:lastColumn="0" w:noHBand="1" w:noVBand="1"/>
      </w:tblPr>
      <w:tblGrid>
        <w:gridCol w:w="600"/>
        <w:gridCol w:w="1425"/>
        <w:gridCol w:w="3795"/>
        <w:gridCol w:w="5490"/>
        <w:gridCol w:w="3060"/>
      </w:tblGrid>
      <w:tr w:rsidR="005B2CC3" w:rsidRPr="00012620" w14:paraId="5D9F7F98" w14:textId="77777777" w:rsidTr="00EF5138">
        <w:trPr>
          <w:cnfStyle w:val="100000000000" w:firstRow="1" w:lastRow="0" w:firstColumn="0" w:lastColumn="0" w:oddVBand="0" w:evenVBand="0" w:oddHBand="0" w:evenHBand="0" w:firstRowFirstColumn="0" w:firstRowLastColumn="0" w:lastRowFirstColumn="0" w:lastRowLastColumn="0"/>
          <w:trHeight w:val="300"/>
        </w:trPr>
        <w:tc>
          <w:tcPr>
            <w:tcW w:w="600" w:type="dxa"/>
            <w:vAlign w:val="center"/>
          </w:tcPr>
          <w:p w14:paraId="3F6B7683" w14:textId="78C12C71" w:rsidR="1AD0E36B" w:rsidRDefault="1AD0E36B" w:rsidP="00EF5138">
            <w:pPr>
              <w:pStyle w:val="Tabletext"/>
              <w:jc w:val="center"/>
              <w:rPr>
                <w:rFonts w:ascii="Aptos Narrow" w:hAnsi="Aptos Narrow"/>
                <w:sz w:val="22"/>
                <w:szCs w:val="22"/>
              </w:rPr>
            </w:pPr>
            <w:r w:rsidRPr="68A75737">
              <w:rPr>
                <w:rFonts w:ascii="Aptos Narrow" w:hAnsi="Aptos Narrow"/>
                <w:sz w:val="22"/>
                <w:szCs w:val="22"/>
              </w:rPr>
              <w:t>No.</w:t>
            </w:r>
          </w:p>
        </w:tc>
        <w:tc>
          <w:tcPr>
            <w:tcW w:w="1425" w:type="dxa"/>
            <w:vAlign w:val="center"/>
          </w:tcPr>
          <w:p w14:paraId="072B3EA3" w14:textId="4BACF9E2" w:rsidR="005B2CC3" w:rsidRPr="00012620" w:rsidRDefault="6CC69515" w:rsidP="00012620">
            <w:pPr>
              <w:pStyle w:val="Tabletext"/>
              <w:ind w:right="-108"/>
              <w:jc w:val="center"/>
              <w:rPr>
                <w:rFonts w:ascii="Aptos Narrow" w:hAnsi="Aptos Narrow"/>
                <w:sz w:val="22"/>
                <w:szCs w:val="22"/>
              </w:rPr>
            </w:pPr>
            <w:r w:rsidRPr="6AD7FB03">
              <w:rPr>
                <w:rFonts w:ascii="Aptos Narrow" w:hAnsi="Aptos Narrow"/>
                <w:sz w:val="22"/>
                <w:szCs w:val="22"/>
              </w:rPr>
              <w:t>Focus</w:t>
            </w:r>
            <w:r w:rsidR="3481FEBF" w:rsidRPr="6AD7FB03">
              <w:rPr>
                <w:rFonts w:ascii="Aptos Narrow" w:hAnsi="Aptos Narrow"/>
                <w:sz w:val="22"/>
                <w:szCs w:val="22"/>
              </w:rPr>
              <w:t xml:space="preserve"> – </w:t>
            </w:r>
            <w:r w:rsidR="2F3C334A" w:rsidRPr="6AD7FB03">
              <w:rPr>
                <w:rFonts w:ascii="Aptos Narrow" w:hAnsi="Aptos Narrow"/>
                <w:sz w:val="22"/>
                <w:szCs w:val="22"/>
              </w:rPr>
              <w:t>Priority</w:t>
            </w:r>
          </w:p>
        </w:tc>
        <w:tc>
          <w:tcPr>
            <w:tcW w:w="3795" w:type="dxa"/>
            <w:vAlign w:val="center"/>
          </w:tcPr>
          <w:p w14:paraId="4A824172" w14:textId="77777777" w:rsidR="005B2CC3" w:rsidRPr="00012620" w:rsidRDefault="6CC69515" w:rsidP="6AD7FB03">
            <w:pPr>
              <w:pStyle w:val="Tabletext"/>
              <w:jc w:val="center"/>
              <w:rPr>
                <w:rFonts w:ascii="Aptos Narrow" w:hAnsi="Aptos Narrow"/>
                <w:sz w:val="22"/>
                <w:szCs w:val="22"/>
              </w:rPr>
            </w:pPr>
            <w:r w:rsidRPr="6AD7FB03">
              <w:rPr>
                <w:rFonts w:ascii="Aptos Narrow" w:hAnsi="Aptos Narrow"/>
                <w:sz w:val="22"/>
                <w:szCs w:val="22"/>
              </w:rPr>
              <w:t>Recommendation</w:t>
            </w:r>
          </w:p>
        </w:tc>
        <w:tc>
          <w:tcPr>
            <w:tcW w:w="5490" w:type="dxa"/>
            <w:vAlign w:val="center"/>
          </w:tcPr>
          <w:p w14:paraId="1102BC28" w14:textId="77777777" w:rsidR="005B2CC3" w:rsidRPr="00012620" w:rsidRDefault="005B2CC3" w:rsidP="00012620">
            <w:pPr>
              <w:pStyle w:val="Tabletext"/>
              <w:ind w:left="-166" w:firstLine="83"/>
              <w:jc w:val="center"/>
              <w:rPr>
                <w:rFonts w:ascii="Aptos Narrow" w:hAnsi="Aptos Narrow"/>
                <w:sz w:val="22"/>
                <w:szCs w:val="22"/>
              </w:rPr>
            </w:pPr>
            <w:r w:rsidRPr="00012620">
              <w:rPr>
                <w:rFonts w:ascii="Aptos Narrow" w:hAnsi="Aptos Narrow"/>
                <w:sz w:val="22"/>
                <w:szCs w:val="22"/>
              </w:rPr>
              <w:t>DFAT Response</w:t>
            </w:r>
          </w:p>
        </w:tc>
        <w:tc>
          <w:tcPr>
            <w:tcW w:w="3060" w:type="dxa"/>
            <w:vAlign w:val="center"/>
          </w:tcPr>
          <w:p w14:paraId="30F90E1F" w14:textId="77777777" w:rsidR="005B2CC3" w:rsidRPr="00012620" w:rsidRDefault="005B2CC3" w:rsidP="00012620">
            <w:pPr>
              <w:pStyle w:val="Tabletext"/>
              <w:ind w:left="-166" w:firstLine="83"/>
              <w:jc w:val="center"/>
              <w:rPr>
                <w:rFonts w:ascii="Aptos Narrow" w:hAnsi="Aptos Narrow"/>
                <w:sz w:val="22"/>
                <w:szCs w:val="22"/>
              </w:rPr>
            </w:pPr>
            <w:r w:rsidRPr="00012620">
              <w:rPr>
                <w:rFonts w:ascii="Aptos Narrow" w:hAnsi="Aptos Narrow"/>
                <w:sz w:val="22"/>
                <w:szCs w:val="22"/>
              </w:rPr>
              <w:t>Timeframe</w:t>
            </w:r>
          </w:p>
        </w:tc>
      </w:tr>
      <w:tr w:rsidR="005B2CC3" w:rsidRPr="00290E0E" w14:paraId="7E841E6D" w14:textId="77777777" w:rsidTr="00EF5138">
        <w:trPr>
          <w:cantSplit/>
          <w:trHeight w:val="300"/>
        </w:trPr>
        <w:tc>
          <w:tcPr>
            <w:tcW w:w="600" w:type="dxa"/>
          </w:tcPr>
          <w:p w14:paraId="1BE3FA29" w14:textId="07EA2B81" w:rsidR="7BCD2882" w:rsidRDefault="7BCD2882" w:rsidP="00EF5138">
            <w:pPr>
              <w:pStyle w:val="Tabletext"/>
              <w:rPr>
                <w:rFonts w:ascii="Aptos Narrow" w:hAnsi="Aptos Narrow"/>
                <w:sz w:val="22"/>
                <w:szCs w:val="22"/>
              </w:rPr>
            </w:pPr>
            <w:r w:rsidRPr="68A75737">
              <w:rPr>
                <w:rFonts w:ascii="Aptos Narrow" w:hAnsi="Aptos Narrow"/>
                <w:sz w:val="22"/>
                <w:szCs w:val="22"/>
              </w:rPr>
              <w:t>14</w:t>
            </w:r>
          </w:p>
        </w:tc>
        <w:tc>
          <w:tcPr>
            <w:tcW w:w="1425" w:type="dxa"/>
          </w:tcPr>
          <w:p w14:paraId="4AEEDD3C" w14:textId="6ED6A27A" w:rsidR="005B2CC3" w:rsidRPr="00290E0E" w:rsidRDefault="6CC69515" w:rsidP="00B109EC">
            <w:pPr>
              <w:pStyle w:val="Tabletext"/>
              <w:ind w:right="-108"/>
              <w:rPr>
                <w:rFonts w:ascii="Aptos Narrow" w:hAnsi="Aptos Narrow"/>
                <w:sz w:val="22"/>
                <w:szCs w:val="22"/>
              </w:rPr>
            </w:pPr>
            <w:r w:rsidRPr="6AD7FB03">
              <w:rPr>
                <w:rFonts w:ascii="Aptos Narrow" w:hAnsi="Aptos Narrow"/>
                <w:sz w:val="22"/>
                <w:szCs w:val="22"/>
              </w:rPr>
              <w:t>Strategic</w:t>
            </w:r>
            <w:r w:rsidR="2D6F170A" w:rsidRPr="6AD7FB03">
              <w:rPr>
                <w:rFonts w:ascii="Aptos Narrow" w:hAnsi="Aptos Narrow"/>
                <w:sz w:val="22"/>
                <w:szCs w:val="22"/>
              </w:rPr>
              <w:t xml:space="preserve"> – Medium </w:t>
            </w:r>
          </w:p>
        </w:tc>
        <w:tc>
          <w:tcPr>
            <w:tcW w:w="3795" w:type="dxa"/>
          </w:tcPr>
          <w:p w14:paraId="40A78AEA"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 xml:space="preserve">Undertake a cross–cutting GEDSI analysis to guide measurement, programming and reporting. </w:t>
            </w:r>
          </w:p>
          <w:p w14:paraId="76890C05" w14:textId="77777777" w:rsidR="005B2CC3" w:rsidRPr="00290E0E" w:rsidRDefault="005B2CC3" w:rsidP="6AD7FB03">
            <w:pPr>
              <w:pStyle w:val="Tabletext"/>
              <w:rPr>
                <w:rFonts w:ascii="Aptos Narrow" w:hAnsi="Aptos Narrow"/>
                <w:sz w:val="22"/>
                <w:szCs w:val="22"/>
              </w:rPr>
            </w:pPr>
          </w:p>
        </w:tc>
        <w:tc>
          <w:tcPr>
            <w:tcW w:w="5490" w:type="dxa"/>
          </w:tcPr>
          <w:p w14:paraId="2BCC4B88" w14:textId="77777777" w:rsidR="005B2CC3" w:rsidRDefault="005B2CC3" w:rsidP="00B109EC">
            <w:pPr>
              <w:pStyle w:val="Tabletext"/>
              <w:rPr>
                <w:rFonts w:ascii="Aptos Narrow" w:hAnsi="Aptos Narrow"/>
                <w:sz w:val="22"/>
                <w:szCs w:val="22"/>
              </w:rPr>
            </w:pPr>
            <w:r w:rsidRPr="00290E0E">
              <w:rPr>
                <w:rFonts w:ascii="Aptos Narrow" w:hAnsi="Aptos Narrow"/>
                <w:sz w:val="22"/>
                <w:szCs w:val="22"/>
              </w:rPr>
              <w:t xml:space="preserve">Agree. </w:t>
            </w:r>
          </w:p>
          <w:p w14:paraId="577A717B" w14:textId="77777777"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 xml:space="preserve">AAI will further enhance its approach </w:t>
            </w:r>
            <w:r>
              <w:rPr>
                <w:rFonts w:ascii="Aptos Narrow" w:hAnsi="Aptos Narrow"/>
                <w:sz w:val="22"/>
                <w:szCs w:val="22"/>
              </w:rPr>
              <w:t>to</w:t>
            </w:r>
            <w:r w:rsidRPr="00290E0E">
              <w:rPr>
                <w:rFonts w:ascii="Aptos Narrow" w:hAnsi="Aptos Narrow"/>
                <w:sz w:val="22"/>
                <w:szCs w:val="22"/>
              </w:rPr>
              <w:t xml:space="preserve"> GEDSI ensuring alignment with the DFAT’s Inclusion, Equity and Diversity Strategy and Indonesia’s policy landscape. This will involve a detailed GEDSI analysis to map the barriers faced by ETGs, establish precise criteria and improve mechanism</w:t>
            </w:r>
            <w:r>
              <w:rPr>
                <w:rFonts w:ascii="Aptos Narrow" w:hAnsi="Aptos Narrow"/>
                <w:sz w:val="22"/>
                <w:szCs w:val="22"/>
              </w:rPr>
              <w:t>s</w:t>
            </w:r>
            <w:r w:rsidRPr="00290E0E">
              <w:rPr>
                <w:rFonts w:ascii="Aptos Narrow" w:hAnsi="Aptos Narrow"/>
                <w:sz w:val="22"/>
                <w:szCs w:val="22"/>
              </w:rPr>
              <w:t xml:space="preserve"> for proactive support, targeting, selection and feedback.</w:t>
            </w:r>
            <w:r>
              <w:rPr>
                <w:rFonts w:ascii="Aptos Narrow" w:hAnsi="Aptos Narrow"/>
                <w:sz w:val="22"/>
                <w:szCs w:val="22"/>
              </w:rPr>
              <w:t xml:space="preserve"> This analysis will be incorporated into an update of the AAI GEDSI Strategy.</w:t>
            </w:r>
          </w:p>
        </w:tc>
        <w:tc>
          <w:tcPr>
            <w:tcW w:w="3060" w:type="dxa"/>
          </w:tcPr>
          <w:p w14:paraId="0F605AB2"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 xml:space="preserve">July-Dec 20205: Analysis and updating of GEDSI strategy, aiming for the updated strategy to be tabled at the May 2026 PCC meeting. </w:t>
            </w:r>
          </w:p>
        </w:tc>
      </w:tr>
      <w:tr w:rsidR="6AD7FB03" w14:paraId="351B26B6" w14:textId="77777777" w:rsidTr="00EF5138">
        <w:trPr>
          <w:cantSplit/>
          <w:trHeight w:val="300"/>
        </w:trPr>
        <w:tc>
          <w:tcPr>
            <w:tcW w:w="600" w:type="dxa"/>
          </w:tcPr>
          <w:p w14:paraId="2C8BFCBD" w14:textId="7C65009F" w:rsidR="6F17151E" w:rsidRDefault="6F17151E" w:rsidP="6AD7FB03">
            <w:pPr>
              <w:pStyle w:val="Tabletext"/>
              <w:rPr>
                <w:rFonts w:ascii="Aptos Narrow" w:hAnsi="Aptos Narrow"/>
                <w:sz w:val="22"/>
                <w:szCs w:val="22"/>
              </w:rPr>
            </w:pPr>
            <w:r w:rsidRPr="6AD7FB03">
              <w:rPr>
                <w:rFonts w:ascii="Aptos Narrow" w:hAnsi="Aptos Narrow"/>
                <w:sz w:val="22"/>
                <w:szCs w:val="22"/>
              </w:rPr>
              <w:t>15</w:t>
            </w:r>
          </w:p>
        </w:tc>
        <w:tc>
          <w:tcPr>
            <w:tcW w:w="1425" w:type="dxa"/>
          </w:tcPr>
          <w:p w14:paraId="36613DC5" w14:textId="3B240321" w:rsidR="6AD7FB03" w:rsidRDefault="6AD7FB03" w:rsidP="6AD7FB03">
            <w:pPr>
              <w:pStyle w:val="Tabletext"/>
              <w:ind w:right="-108"/>
              <w:rPr>
                <w:rFonts w:ascii="Aptos Narrow" w:hAnsi="Aptos Narrow"/>
                <w:sz w:val="22"/>
                <w:szCs w:val="22"/>
              </w:rPr>
            </w:pPr>
            <w:r w:rsidRPr="6AD7FB03">
              <w:rPr>
                <w:rFonts w:ascii="Aptos Narrow" w:hAnsi="Aptos Narrow"/>
                <w:sz w:val="22"/>
                <w:szCs w:val="22"/>
              </w:rPr>
              <w:t>Strategic</w:t>
            </w:r>
            <w:r w:rsidR="5EEAC80A" w:rsidRPr="6AD7FB03">
              <w:rPr>
                <w:rFonts w:ascii="Aptos Narrow" w:hAnsi="Aptos Narrow"/>
                <w:sz w:val="22"/>
                <w:szCs w:val="22"/>
              </w:rPr>
              <w:t xml:space="preserve"> – Low </w:t>
            </w:r>
          </w:p>
        </w:tc>
        <w:tc>
          <w:tcPr>
            <w:tcW w:w="3795" w:type="dxa"/>
          </w:tcPr>
          <w:p w14:paraId="701D4715" w14:textId="77777777" w:rsidR="6AD7FB03" w:rsidRDefault="6AD7FB03" w:rsidP="6AD7FB03">
            <w:pPr>
              <w:pStyle w:val="Tabletext"/>
              <w:rPr>
                <w:rFonts w:ascii="Aptos Narrow" w:hAnsi="Aptos Narrow"/>
                <w:sz w:val="22"/>
                <w:szCs w:val="22"/>
              </w:rPr>
            </w:pPr>
            <w:r w:rsidRPr="6AD7FB03">
              <w:rPr>
                <w:rFonts w:ascii="Aptos Narrow" w:hAnsi="Aptos Narrow"/>
                <w:sz w:val="22"/>
                <w:szCs w:val="22"/>
              </w:rPr>
              <w:t>Consider implementing a small–scale pilot undergraduate scholarship program for persons with disabilities, most likely at Australian university branch campuses in Indonesia.</w:t>
            </w:r>
          </w:p>
        </w:tc>
        <w:tc>
          <w:tcPr>
            <w:tcW w:w="5490" w:type="dxa"/>
          </w:tcPr>
          <w:p w14:paraId="4A9D49E0" w14:textId="27224EC8" w:rsidR="6AD7FB03" w:rsidRDefault="6AD7FB03" w:rsidP="6AD7FB03">
            <w:pPr>
              <w:pStyle w:val="Tabletext"/>
              <w:rPr>
                <w:rFonts w:ascii="Aptos Narrow" w:hAnsi="Aptos Narrow"/>
                <w:sz w:val="22"/>
                <w:szCs w:val="22"/>
              </w:rPr>
            </w:pPr>
            <w:r w:rsidRPr="6AD7FB03">
              <w:rPr>
                <w:rFonts w:ascii="Aptos Narrow" w:hAnsi="Aptos Narrow"/>
                <w:sz w:val="22"/>
                <w:szCs w:val="22"/>
              </w:rPr>
              <w:t>Partially agree, as this must be aligned with global Australia Awards policy.</w:t>
            </w:r>
            <w:r>
              <w:br/>
            </w:r>
            <w:r w:rsidRPr="6AD7FB03">
              <w:rPr>
                <w:rFonts w:ascii="Aptos Narrow" w:hAnsi="Aptos Narrow"/>
                <w:sz w:val="22"/>
                <w:szCs w:val="22"/>
              </w:rPr>
              <w:t xml:space="preserve">DFAT will explore possibilities to provide an undergraduate scholarship program for people with disability, in consultation with the Australia Awards global program. </w:t>
            </w:r>
          </w:p>
        </w:tc>
        <w:tc>
          <w:tcPr>
            <w:tcW w:w="3060" w:type="dxa"/>
          </w:tcPr>
          <w:p w14:paraId="2FC01DC5" w14:textId="77777777" w:rsidR="6AD7FB03" w:rsidRDefault="6AD7FB03" w:rsidP="6AD7FB03">
            <w:pPr>
              <w:pStyle w:val="Tabletext"/>
              <w:rPr>
                <w:rFonts w:ascii="Aptos Narrow" w:hAnsi="Aptos Narrow"/>
                <w:sz w:val="22"/>
                <w:szCs w:val="22"/>
              </w:rPr>
            </w:pPr>
            <w:r w:rsidRPr="6AD7FB03">
              <w:rPr>
                <w:rFonts w:ascii="Aptos Narrow" w:hAnsi="Aptos Narrow"/>
                <w:sz w:val="22"/>
                <w:szCs w:val="22"/>
              </w:rPr>
              <w:t xml:space="preserve">AAI to incorporate this recommendation into the AAI Annual Plan 2025-26 with exploration of activities to be conducted from November 2025 onwards. </w:t>
            </w:r>
          </w:p>
        </w:tc>
      </w:tr>
      <w:tr w:rsidR="6AD7FB03" w14:paraId="41A77D8E" w14:textId="77777777" w:rsidTr="00EF5138">
        <w:trPr>
          <w:cantSplit/>
          <w:trHeight w:val="300"/>
        </w:trPr>
        <w:tc>
          <w:tcPr>
            <w:tcW w:w="600" w:type="dxa"/>
          </w:tcPr>
          <w:p w14:paraId="70F87C7C" w14:textId="74E619BD" w:rsidR="6E368EB1" w:rsidRDefault="6E368EB1" w:rsidP="6AD7FB03">
            <w:pPr>
              <w:pStyle w:val="Tabletext"/>
              <w:rPr>
                <w:rFonts w:ascii="Aptos Narrow" w:hAnsi="Aptos Narrow"/>
                <w:sz w:val="22"/>
                <w:szCs w:val="22"/>
              </w:rPr>
            </w:pPr>
            <w:r w:rsidRPr="6AD7FB03">
              <w:rPr>
                <w:rFonts w:ascii="Aptos Narrow" w:hAnsi="Aptos Narrow"/>
                <w:sz w:val="22"/>
                <w:szCs w:val="22"/>
              </w:rPr>
              <w:t>16</w:t>
            </w:r>
          </w:p>
        </w:tc>
        <w:tc>
          <w:tcPr>
            <w:tcW w:w="1425" w:type="dxa"/>
          </w:tcPr>
          <w:p w14:paraId="5E00C931" w14:textId="6F98D689" w:rsidR="6AD7FB03" w:rsidRDefault="6AD7FB03" w:rsidP="6AD7FB03">
            <w:pPr>
              <w:pStyle w:val="Tabletext"/>
              <w:ind w:right="-108"/>
              <w:rPr>
                <w:rFonts w:ascii="Aptos Narrow" w:hAnsi="Aptos Narrow"/>
                <w:sz w:val="22"/>
                <w:szCs w:val="22"/>
              </w:rPr>
            </w:pPr>
            <w:r w:rsidRPr="6AD7FB03">
              <w:rPr>
                <w:rFonts w:ascii="Aptos Narrow" w:hAnsi="Aptos Narrow"/>
                <w:sz w:val="22"/>
                <w:szCs w:val="22"/>
              </w:rPr>
              <w:t>Operational</w:t>
            </w:r>
            <w:r w:rsidR="4DABB8F2" w:rsidRPr="6AD7FB03">
              <w:rPr>
                <w:rFonts w:ascii="Aptos Narrow" w:hAnsi="Aptos Narrow"/>
                <w:sz w:val="22"/>
                <w:szCs w:val="22"/>
              </w:rPr>
              <w:t xml:space="preserve"> – Low </w:t>
            </w:r>
          </w:p>
        </w:tc>
        <w:tc>
          <w:tcPr>
            <w:tcW w:w="3795" w:type="dxa"/>
          </w:tcPr>
          <w:p w14:paraId="536441C9" w14:textId="77777777" w:rsidR="6AD7FB03" w:rsidRDefault="6AD7FB03" w:rsidP="6AD7FB03">
            <w:pPr>
              <w:pStyle w:val="Tabletext"/>
              <w:rPr>
                <w:rFonts w:ascii="Aptos Narrow" w:hAnsi="Aptos Narrow"/>
                <w:sz w:val="22"/>
                <w:szCs w:val="22"/>
              </w:rPr>
            </w:pPr>
            <w:r w:rsidRPr="6AD7FB03">
              <w:rPr>
                <w:rFonts w:ascii="Aptos Narrow" w:hAnsi="Aptos Narrow"/>
                <w:sz w:val="22"/>
                <w:szCs w:val="22"/>
              </w:rPr>
              <w:t>Work with local organisations of people with disabilities and inclusive education advocates to identify talented candidates early and offer preparatory programs, including foundational courses and structured mentoring.</w:t>
            </w:r>
          </w:p>
        </w:tc>
        <w:tc>
          <w:tcPr>
            <w:tcW w:w="5490" w:type="dxa"/>
          </w:tcPr>
          <w:p w14:paraId="4A29F34A" w14:textId="77777777" w:rsidR="6AD7FB03" w:rsidRDefault="6AD7FB03" w:rsidP="6AD7FB03">
            <w:pPr>
              <w:pStyle w:val="Tabletext"/>
              <w:rPr>
                <w:rFonts w:ascii="Aptos Narrow" w:hAnsi="Aptos Narrow"/>
                <w:sz w:val="22"/>
                <w:szCs w:val="22"/>
              </w:rPr>
            </w:pPr>
            <w:r w:rsidRPr="6AD7FB03">
              <w:rPr>
                <w:rFonts w:ascii="Aptos Narrow" w:hAnsi="Aptos Narrow"/>
                <w:sz w:val="22"/>
                <w:szCs w:val="22"/>
              </w:rPr>
              <w:t>Agree.</w:t>
            </w:r>
          </w:p>
          <w:p w14:paraId="49FF0F64" w14:textId="755DB468" w:rsidR="6AD7FB03" w:rsidRDefault="6AD7FB03" w:rsidP="6AD7FB03">
            <w:pPr>
              <w:pStyle w:val="Tabletext"/>
              <w:rPr>
                <w:rFonts w:ascii="Aptos Narrow" w:hAnsi="Aptos Narrow"/>
                <w:sz w:val="22"/>
                <w:szCs w:val="22"/>
              </w:rPr>
            </w:pPr>
            <w:r w:rsidRPr="6AD7FB03">
              <w:rPr>
                <w:rFonts w:ascii="Aptos Narrow" w:hAnsi="Aptos Narrow"/>
                <w:sz w:val="22"/>
                <w:szCs w:val="22"/>
              </w:rPr>
              <w:t xml:space="preserve">The program will explore collaboration with potential partners and alumni to offer preparatory programs, </w:t>
            </w:r>
            <w:proofErr w:type="gramStart"/>
            <w:r w:rsidRPr="6AD7FB03">
              <w:rPr>
                <w:rFonts w:ascii="Aptos Narrow" w:hAnsi="Aptos Narrow"/>
                <w:sz w:val="22"/>
                <w:szCs w:val="22"/>
              </w:rPr>
              <w:t>in particular across</w:t>
            </w:r>
            <w:proofErr w:type="gramEnd"/>
            <w:r w:rsidRPr="6AD7FB03">
              <w:rPr>
                <w:rFonts w:ascii="Aptos Narrow" w:hAnsi="Aptos Narrow"/>
                <w:sz w:val="22"/>
                <w:szCs w:val="22"/>
              </w:rPr>
              <w:t xml:space="preserve"> Equity Target Provinces. </w:t>
            </w:r>
          </w:p>
        </w:tc>
        <w:tc>
          <w:tcPr>
            <w:tcW w:w="3060" w:type="dxa"/>
          </w:tcPr>
          <w:p w14:paraId="5B041DE0" w14:textId="77777777" w:rsidR="6AD7FB03" w:rsidRDefault="6AD7FB03" w:rsidP="6AD7FB03">
            <w:pPr>
              <w:pStyle w:val="Tabletext"/>
              <w:ind w:left="40"/>
              <w:rPr>
                <w:rFonts w:ascii="Aptos Narrow" w:hAnsi="Aptos Narrow"/>
                <w:sz w:val="22"/>
                <w:szCs w:val="22"/>
              </w:rPr>
            </w:pPr>
            <w:r w:rsidRPr="6AD7FB03">
              <w:rPr>
                <w:rFonts w:ascii="Aptos Narrow" w:hAnsi="Aptos Narrow"/>
                <w:sz w:val="22"/>
                <w:szCs w:val="22"/>
              </w:rPr>
              <w:t>Immediate and ongoing and to be incorporated into the AAI Annual Plan 2025-26.</w:t>
            </w:r>
          </w:p>
        </w:tc>
      </w:tr>
      <w:tr w:rsidR="6AD7FB03" w14:paraId="14C2D37D" w14:textId="77777777" w:rsidTr="00EF5138">
        <w:trPr>
          <w:cantSplit/>
          <w:trHeight w:val="300"/>
        </w:trPr>
        <w:tc>
          <w:tcPr>
            <w:tcW w:w="600" w:type="dxa"/>
          </w:tcPr>
          <w:p w14:paraId="2BBFABC0" w14:textId="6FA6F4EC" w:rsidR="547FE7CA" w:rsidRDefault="547FE7CA" w:rsidP="00EF5138">
            <w:pPr>
              <w:pStyle w:val="Tabletext"/>
              <w:rPr>
                <w:rFonts w:ascii="Aptos Narrow" w:hAnsi="Aptos Narrow"/>
                <w:sz w:val="22"/>
                <w:szCs w:val="22"/>
              </w:rPr>
            </w:pPr>
            <w:r w:rsidRPr="6AD7FB03">
              <w:rPr>
                <w:rFonts w:ascii="Aptos Narrow" w:hAnsi="Aptos Narrow"/>
                <w:sz w:val="22"/>
                <w:szCs w:val="22"/>
              </w:rPr>
              <w:t>17</w:t>
            </w:r>
          </w:p>
        </w:tc>
        <w:tc>
          <w:tcPr>
            <w:tcW w:w="1425" w:type="dxa"/>
          </w:tcPr>
          <w:p w14:paraId="0744F28F" w14:textId="5CDE8325" w:rsidR="547FE7CA" w:rsidRDefault="547FE7CA" w:rsidP="6AD7FB03">
            <w:pPr>
              <w:pStyle w:val="Tabletext"/>
              <w:ind w:right="-106"/>
              <w:rPr>
                <w:rFonts w:ascii="Aptos Narrow" w:hAnsi="Aptos Narrow"/>
                <w:sz w:val="22"/>
                <w:szCs w:val="22"/>
              </w:rPr>
            </w:pPr>
            <w:r w:rsidRPr="6AD7FB03">
              <w:rPr>
                <w:rFonts w:ascii="Aptos Narrow" w:hAnsi="Aptos Narrow"/>
                <w:sz w:val="22"/>
                <w:szCs w:val="22"/>
              </w:rPr>
              <w:t xml:space="preserve">Operational – Low </w:t>
            </w:r>
          </w:p>
          <w:p w14:paraId="64261806" w14:textId="092D58BF" w:rsidR="6AD7FB03" w:rsidRDefault="6AD7FB03" w:rsidP="6AD7FB03">
            <w:pPr>
              <w:pStyle w:val="Tabletext"/>
              <w:rPr>
                <w:rFonts w:ascii="Aptos Narrow" w:hAnsi="Aptos Narrow"/>
                <w:sz w:val="22"/>
                <w:szCs w:val="22"/>
              </w:rPr>
            </w:pPr>
          </w:p>
        </w:tc>
        <w:tc>
          <w:tcPr>
            <w:tcW w:w="3795" w:type="dxa"/>
          </w:tcPr>
          <w:p w14:paraId="739C7F8C" w14:textId="5AA1CB99" w:rsidR="547FE7CA" w:rsidRDefault="547FE7CA" w:rsidP="6AD7FB03">
            <w:pPr>
              <w:pStyle w:val="Tabletext"/>
              <w:rPr>
                <w:rFonts w:ascii="Aptos Narrow" w:hAnsi="Aptos Narrow"/>
                <w:sz w:val="22"/>
                <w:szCs w:val="22"/>
              </w:rPr>
            </w:pPr>
            <w:r w:rsidRPr="6AD7FB03">
              <w:rPr>
                <w:rFonts w:ascii="Aptos Narrow" w:hAnsi="Aptos Narrow"/>
                <w:sz w:val="22"/>
                <w:szCs w:val="22"/>
              </w:rPr>
              <w:t>Strengthen institutional engagement with local government agencies to ensure formal release of awardees to undertake AAI program activities, including through providing agencies with AAI briefing sessions and DFAT endorsement letters.</w:t>
            </w:r>
          </w:p>
        </w:tc>
        <w:tc>
          <w:tcPr>
            <w:tcW w:w="5490" w:type="dxa"/>
          </w:tcPr>
          <w:p w14:paraId="66D790A6" w14:textId="77777777" w:rsidR="547FE7CA" w:rsidRDefault="547FE7CA" w:rsidP="6AD7FB03">
            <w:pPr>
              <w:pStyle w:val="Tabletext"/>
              <w:ind w:left="-76"/>
              <w:rPr>
                <w:rFonts w:ascii="Aptos Narrow" w:hAnsi="Aptos Narrow"/>
                <w:sz w:val="22"/>
                <w:szCs w:val="22"/>
              </w:rPr>
            </w:pPr>
            <w:r w:rsidRPr="6AD7FB03">
              <w:rPr>
                <w:rFonts w:ascii="Aptos Narrow" w:hAnsi="Aptos Narrow"/>
                <w:sz w:val="22"/>
                <w:szCs w:val="22"/>
              </w:rPr>
              <w:t>Partially Agree.</w:t>
            </w:r>
          </w:p>
          <w:p w14:paraId="2BDD874C" w14:textId="3389D048" w:rsidR="547FE7CA" w:rsidRDefault="547FE7CA" w:rsidP="6AD7FB03">
            <w:pPr>
              <w:pStyle w:val="Tabletext"/>
              <w:ind w:left="-76"/>
              <w:rPr>
                <w:rFonts w:ascii="Aptos Narrow" w:hAnsi="Aptos Narrow"/>
                <w:sz w:val="22"/>
                <w:szCs w:val="22"/>
              </w:rPr>
            </w:pPr>
            <w:r w:rsidRPr="6AD7FB03">
              <w:rPr>
                <w:rFonts w:ascii="Aptos Narrow" w:hAnsi="Aptos Narrow"/>
                <w:sz w:val="22"/>
                <w:szCs w:val="22"/>
              </w:rPr>
              <w:t>Institutional engagement has been and will be continued to be strengthened, with government agencies across national and sub-national levels, with the support from Indonesian Ministry of State Secretariat</w:t>
            </w:r>
            <w:r w:rsidR="00F75391">
              <w:rPr>
                <w:rFonts w:ascii="Aptos Narrow" w:hAnsi="Aptos Narrow"/>
                <w:sz w:val="22"/>
                <w:szCs w:val="22"/>
              </w:rPr>
              <w:t xml:space="preserve"> (</w:t>
            </w:r>
            <w:proofErr w:type="spellStart"/>
            <w:r w:rsidR="00F75391">
              <w:rPr>
                <w:rFonts w:ascii="Aptos Narrow" w:hAnsi="Aptos Narrow"/>
                <w:sz w:val="22"/>
                <w:szCs w:val="22"/>
              </w:rPr>
              <w:t>SetNeg</w:t>
            </w:r>
            <w:proofErr w:type="spellEnd"/>
            <w:r w:rsidR="00F75391">
              <w:rPr>
                <w:rFonts w:ascii="Aptos Narrow" w:hAnsi="Aptos Narrow"/>
                <w:sz w:val="22"/>
                <w:szCs w:val="22"/>
              </w:rPr>
              <w:t>)</w:t>
            </w:r>
            <w:r w:rsidRPr="6AD7FB03">
              <w:rPr>
                <w:rFonts w:ascii="Aptos Narrow" w:hAnsi="Aptos Narrow"/>
                <w:sz w:val="22"/>
                <w:szCs w:val="22"/>
              </w:rPr>
              <w:t xml:space="preserve"> and the Ministry of Home Affairs</w:t>
            </w:r>
            <w:r w:rsidR="00F75391">
              <w:rPr>
                <w:rFonts w:ascii="Aptos Narrow" w:hAnsi="Aptos Narrow"/>
                <w:sz w:val="22"/>
                <w:szCs w:val="22"/>
              </w:rPr>
              <w:t xml:space="preserve"> (</w:t>
            </w:r>
            <w:proofErr w:type="spellStart"/>
            <w:r w:rsidR="00F75391">
              <w:rPr>
                <w:rFonts w:ascii="Aptos Narrow" w:hAnsi="Aptos Narrow"/>
                <w:sz w:val="22"/>
                <w:szCs w:val="22"/>
              </w:rPr>
              <w:t>MoHA</w:t>
            </w:r>
            <w:proofErr w:type="spellEnd"/>
            <w:r w:rsidR="00F75391">
              <w:rPr>
                <w:rFonts w:ascii="Aptos Narrow" w:hAnsi="Aptos Narrow"/>
                <w:sz w:val="22"/>
                <w:szCs w:val="22"/>
              </w:rPr>
              <w:t>).</w:t>
            </w:r>
          </w:p>
          <w:p w14:paraId="63C98D0F" w14:textId="6F4D5FA5" w:rsidR="6AD7FB03" w:rsidRDefault="6AD7FB03" w:rsidP="6AD7FB03">
            <w:pPr>
              <w:pStyle w:val="Tabletext"/>
              <w:rPr>
                <w:rFonts w:ascii="Aptos Narrow" w:hAnsi="Aptos Narrow"/>
                <w:sz w:val="22"/>
                <w:szCs w:val="22"/>
              </w:rPr>
            </w:pPr>
          </w:p>
        </w:tc>
        <w:tc>
          <w:tcPr>
            <w:tcW w:w="3060" w:type="dxa"/>
          </w:tcPr>
          <w:p w14:paraId="0184A7AD" w14:textId="305A8BD4" w:rsidR="547FE7CA" w:rsidRDefault="547FE7CA" w:rsidP="6AD7FB03">
            <w:pPr>
              <w:pStyle w:val="Tabletext"/>
              <w:ind w:left="-76"/>
              <w:rPr>
                <w:rFonts w:ascii="Aptos Narrow" w:hAnsi="Aptos Narrow"/>
                <w:sz w:val="22"/>
                <w:szCs w:val="22"/>
              </w:rPr>
            </w:pPr>
            <w:r w:rsidRPr="6AD7FB03">
              <w:rPr>
                <w:rFonts w:ascii="Aptos Narrow" w:hAnsi="Aptos Narrow"/>
                <w:sz w:val="22"/>
                <w:szCs w:val="22"/>
              </w:rPr>
              <w:t xml:space="preserve">ASAP through leadership from </w:t>
            </w:r>
            <w:proofErr w:type="spellStart"/>
            <w:r w:rsidRPr="6AD7FB03">
              <w:rPr>
                <w:rFonts w:ascii="Aptos Narrow" w:hAnsi="Aptos Narrow"/>
                <w:sz w:val="22"/>
                <w:szCs w:val="22"/>
              </w:rPr>
              <w:t>SetNeg</w:t>
            </w:r>
            <w:proofErr w:type="spellEnd"/>
            <w:r w:rsidRPr="6AD7FB03">
              <w:rPr>
                <w:rFonts w:ascii="Aptos Narrow" w:hAnsi="Aptos Narrow"/>
                <w:sz w:val="22"/>
                <w:szCs w:val="22"/>
              </w:rPr>
              <w:t xml:space="preserve"> and </w:t>
            </w:r>
            <w:proofErr w:type="spellStart"/>
            <w:r w:rsidRPr="6AD7FB03">
              <w:rPr>
                <w:rFonts w:ascii="Aptos Narrow" w:hAnsi="Aptos Narrow"/>
                <w:sz w:val="22"/>
                <w:szCs w:val="22"/>
              </w:rPr>
              <w:t>MoHA</w:t>
            </w:r>
            <w:proofErr w:type="spellEnd"/>
            <w:r w:rsidRPr="6AD7FB03">
              <w:rPr>
                <w:rFonts w:ascii="Aptos Narrow" w:hAnsi="Aptos Narrow"/>
                <w:sz w:val="22"/>
                <w:szCs w:val="22"/>
              </w:rPr>
              <w:t>.</w:t>
            </w:r>
          </w:p>
          <w:p w14:paraId="611AD809" w14:textId="7BCEA1A0" w:rsidR="6AD7FB03" w:rsidRDefault="6AD7FB03" w:rsidP="6AD7FB03">
            <w:pPr>
              <w:pStyle w:val="Tabletext"/>
              <w:rPr>
                <w:rFonts w:ascii="Aptos Narrow" w:hAnsi="Aptos Narrow"/>
                <w:sz w:val="22"/>
                <w:szCs w:val="22"/>
              </w:rPr>
            </w:pPr>
          </w:p>
        </w:tc>
      </w:tr>
      <w:tr w:rsidR="005B2CC3" w:rsidRPr="00290E0E" w14:paraId="2A994438" w14:textId="77777777" w:rsidTr="00EF5138">
        <w:trPr>
          <w:cantSplit/>
          <w:trHeight w:val="300"/>
        </w:trPr>
        <w:tc>
          <w:tcPr>
            <w:tcW w:w="600" w:type="dxa"/>
          </w:tcPr>
          <w:p w14:paraId="03B66866" w14:textId="32F44FD6" w:rsidR="68A75737" w:rsidRDefault="547FE7CA" w:rsidP="00EF5138">
            <w:pPr>
              <w:pStyle w:val="Tabletext"/>
              <w:rPr>
                <w:rFonts w:ascii="Aptos Narrow" w:hAnsi="Aptos Narrow"/>
                <w:sz w:val="22"/>
                <w:szCs w:val="22"/>
              </w:rPr>
            </w:pPr>
            <w:r w:rsidRPr="6AD7FB03">
              <w:rPr>
                <w:rFonts w:ascii="Aptos Narrow" w:hAnsi="Aptos Narrow"/>
                <w:sz w:val="22"/>
                <w:szCs w:val="22"/>
              </w:rPr>
              <w:t>1</w:t>
            </w:r>
            <w:r w:rsidR="00650F9D">
              <w:rPr>
                <w:rFonts w:ascii="Aptos Narrow" w:hAnsi="Aptos Narrow"/>
                <w:sz w:val="22"/>
                <w:szCs w:val="22"/>
              </w:rPr>
              <w:t>8</w:t>
            </w:r>
          </w:p>
        </w:tc>
        <w:tc>
          <w:tcPr>
            <w:tcW w:w="1425" w:type="dxa"/>
          </w:tcPr>
          <w:p w14:paraId="2D902B8B" w14:textId="556B45E5" w:rsidR="005B2CC3" w:rsidRPr="00290E0E" w:rsidRDefault="44DF8043" w:rsidP="00B109EC">
            <w:pPr>
              <w:pStyle w:val="Tabletext"/>
              <w:ind w:right="-108"/>
              <w:rPr>
                <w:rFonts w:ascii="Aptos Narrow" w:hAnsi="Aptos Narrow"/>
                <w:sz w:val="22"/>
                <w:szCs w:val="22"/>
              </w:rPr>
            </w:pPr>
            <w:r w:rsidRPr="6AD7FB03">
              <w:rPr>
                <w:rFonts w:ascii="Aptos Narrow" w:hAnsi="Aptos Narrow"/>
                <w:sz w:val="22"/>
                <w:szCs w:val="22"/>
              </w:rPr>
              <w:t>Strategic – Medium</w:t>
            </w:r>
          </w:p>
        </w:tc>
        <w:tc>
          <w:tcPr>
            <w:tcW w:w="3795" w:type="dxa"/>
          </w:tcPr>
          <w:p w14:paraId="3D82D74C"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Develop and implement a comprehensive strategy to mainstream climate change indicators, programming and reporting across AAI modalities.</w:t>
            </w:r>
          </w:p>
        </w:tc>
        <w:tc>
          <w:tcPr>
            <w:tcW w:w="5490" w:type="dxa"/>
          </w:tcPr>
          <w:p w14:paraId="5B86AD65" w14:textId="77777777" w:rsidR="005B2CC3" w:rsidRDefault="005B2CC3" w:rsidP="00B109EC">
            <w:pPr>
              <w:pStyle w:val="Tabletext"/>
              <w:rPr>
                <w:rFonts w:ascii="Aptos Narrow" w:hAnsi="Aptos Narrow"/>
                <w:sz w:val="22"/>
                <w:szCs w:val="22"/>
              </w:rPr>
            </w:pPr>
            <w:r w:rsidRPr="00290E0E">
              <w:rPr>
                <w:rFonts w:ascii="Aptos Narrow" w:hAnsi="Aptos Narrow"/>
                <w:sz w:val="22"/>
                <w:szCs w:val="22"/>
              </w:rPr>
              <w:t xml:space="preserve">Agree. </w:t>
            </w:r>
          </w:p>
          <w:p w14:paraId="58B6D5D4" w14:textId="77777777"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 xml:space="preserve">Relevant </w:t>
            </w:r>
            <w:r>
              <w:rPr>
                <w:rFonts w:ascii="Aptos Narrow" w:hAnsi="Aptos Narrow"/>
                <w:sz w:val="22"/>
                <w:szCs w:val="22"/>
              </w:rPr>
              <w:t xml:space="preserve">to </w:t>
            </w:r>
            <w:r w:rsidRPr="00290E0E">
              <w:rPr>
                <w:rFonts w:ascii="Aptos Narrow" w:hAnsi="Aptos Narrow"/>
                <w:sz w:val="22"/>
                <w:szCs w:val="22"/>
              </w:rPr>
              <w:t>recommendation 3 and 1</w:t>
            </w:r>
            <w:r>
              <w:rPr>
                <w:rFonts w:ascii="Aptos Narrow" w:hAnsi="Aptos Narrow"/>
                <w:sz w:val="22"/>
                <w:szCs w:val="22"/>
              </w:rPr>
              <w:t>2</w:t>
            </w:r>
            <w:r w:rsidRPr="00290E0E">
              <w:rPr>
                <w:rFonts w:ascii="Aptos Narrow" w:hAnsi="Aptos Narrow"/>
                <w:sz w:val="22"/>
                <w:szCs w:val="22"/>
              </w:rPr>
              <w:t>.</w:t>
            </w:r>
          </w:p>
        </w:tc>
        <w:tc>
          <w:tcPr>
            <w:tcW w:w="3060" w:type="dxa"/>
          </w:tcPr>
          <w:p w14:paraId="7936138F"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As above.</w:t>
            </w:r>
          </w:p>
        </w:tc>
      </w:tr>
      <w:tr w:rsidR="005B2CC3" w:rsidRPr="00290E0E" w14:paraId="2A10F3F3" w14:textId="77777777" w:rsidTr="00EF5138">
        <w:trPr>
          <w:cantSplit/>
          <w:trHeight w:val="300"/>
        </w:trPr>
        <w:tc>
          <w:tcPr>
            <w:tcW w:w="600" w:type="dxa"/>
          </w:tcPr>
          <w:p w14:paraId="01EBC2EA" w14:textId="1615A958" w:rsidR="68A75737" w:rsidRDefault="00A95550" w:rsidP="00EF5138">
            <w:pPr>
              <w:pStyle w:val="Tabletext"/>
              <w:rPr>
                <w:rFonts w:ascii="Aptos Narrow" w:hAnsi="Aptos Narrow"/>
                <w:sz w:val="22"/>
                <w:szCs w:val="22"/>
              </w:rPr>
            </w:pPr>
            <w:r>
              <w:rPr>
                <w:rFonts w:ascii="Aptos Narrow" w:hAnsi="Aptos Narrow"/>
                <w:sz w:val="22"/>
                <w:szCs w:val="22"/>
              </w:rPr>
              <w:lastRenderedPageBreak/>
              <w:t>19</w:t>
            </w:r>
          </w:p>
        </w:tc>
        <w:tc>
          <w:tcPr>
            <w:tcW w:w="1425" w:type="dxa"/>
          </w:tcPr>
          <w:p w14:paraId="54DAE824" w14:textId="3D3DA83B" w:rsidR="005B2CC3" w:rsidRPr="00290E0E" w:rsidRDefault="64371F4A" w:rsidP="00B109EC">
            <w:pPr>
              <w:pStyle w:val="Tabletext"/>
              <w:ind w:right="-108"/>
              <w:rPr>
                <w:rFonts w:ascii="Aptos Narrow" w:hAnsi="Aptos Narrow"/>
                <w:sz w:val="22"/>
                <w:szCs w:val="22"/>
              </w:rPr>
            </w:pPr>
            <w:r w:rsidRPr="68A75737">
              <w:rPr>
                <w:rFonts w:ascii="Aptos Narrow" w:hAnsi="Aptos Narrow"/>
                <w:sz w:val="22"/>
                <w:szCs w:val="22"/>
              </w:rPr>
              <w:t xml:space="preserve"> –  Strategic – Medium</w:t>
            </w:r>
          </w:p>
        </w:tc>
        <w:tc>
          <w:tcPr>
            <w:tcW w:w="3795" w:type="dxa"/>
          </w:tcPr>
          <w:p w14:paraId="7DBEF96D" w14:textId="77777777" w:rsidR="005B2CC3" w:rsidRPr="00290E0E" w:rsidRDefault="6CC69515" w:rsidP="6AD7FB03">
            <w:pPr>
              <w:pStyle w:val="Tabletext"/>
              <w:rPr>
                <w:rFonts w:ascii="Aptos Narrow" w:hAnsi="Aptos Narrow"/>
                <w:sz w:val="22"/>
                <w:szCs w:val="22"/>
              </w:rPr>
            </w:pPr>
            <w:r w:rsidRPr="6AD7FB03">
              <w:rPr>
                <w:rFonts w:ascii="Aptos Narrow" w:hAnsi="Aptos Narrow"/>
                <w:sz w:val="22"/>
                <w:szCs w:val="22"/>
              </w:rPr>
              <w:t>Develop a comprehensive strategy for managing awardee psychosocial and mental health, in conjunction with the Australia Awards program globally.</w:t>
            </w:r>
          </w:p>
          <w:p w14:paraId="2273B36D" w14:textId="77777777" w:rsidR="005B2CC3" w:rsidRPr="00290E0E" w:rsidRDefault="005B2CC3" w:rsidP="6AD7FB03">
            <w:pPr>
              <w:pStyle w:val="Tabletext"/>
              <w:rPr>
                <w:rFonts w:ascii="Aptos Narrow" w:hAnsi="Aptos Narrow"/>
                <w:sz w:val="22"/>
                <w:szCs w:val="22"/>
              </w:rPr>
            </w:pPr>
          </w:p>
        </w:tc>
        <w:tc>
          <w:tcPr>
            <w:tcW w:w="5490" w:type="dxa"/>
          </w:tcPr>
          <w:p w14:paraId="499CF2D0" w14:textId="77777777" w:rsidR="005B2CC3" w:rsidRPr="00290E0E" w:rsidRDefault="005B2CC3" w:rsidP="00B109EC">
            <w:pPr>
              <w:pStyle w:val="Tabletext"/>
              <w:rPr>
                <w:rFonts w:ascii="Aptos Narrow" w:hAnsi="Aptos Narrow"/>
                <w:sz w:val="22"/>
                <w:szCs w:val="22"/>
              </w:rPr>
            </w:pPr>
            <w:r w:rsidRPr="00290E0E">
              <w:rPr>
                <w:rFonts w:ascii="Aptos Narrow" w:hAnsi="Aptos Narrow"/>
                <w:sz w:val="22"/>
                <w:szCs w:val="22"/>
              </w:rPr>
              <w:t>Agree.</w:t>
            </w:r>
          </w:p>
          <w:p w14:paraId="403A02E2" w14:textId="6DBBE247" w:rsidR="005B2CC3" w:rsidRPr="00273AB2" w:rsidRDefault="005B2CC3" w:rsidP="00EF5138">
            <w:pPr>
              <w:pStyle w:val="Tabletext"/>
              <w:rPr>
                <w:rFonts w:ascii="Aptos Narrow" w:hAnsi="Aptos Narrow"/>
                <w:sz w:val="22"/>
                <w:szCs w:val="22"/>
              </w:rPr>
            </w:pPr>
            <w:r>
              <w:rPr>
                <w:rFonts w:ascii="Aptos Narrow" w:hAnsi="Aptos Narrow"/>
                <w:sz w:val="22"/>
                <w:szCs w:val="22"/>
              </w:rPr>
              <w:t>In line with recommendation 14, t</w:t>
            </w:r>
            <w:r w:rsidRPr="00290E0E">
              <w:rPr>
                <w:rFonts w:ascii="Aptos Narrow" w:hAnsi="Aptos Narrow"/>
                <w:sz w:val="22"/>
                <w:szCs w:val="22"/>
              </w:rPr>
              <w:t>he program will continue refining</w:t>
            </w:r>
            <w:r>
              <w:rPr>
                <w:rFonts w:ascii="Aptos Narrow" w:hAnsi="Aptos Narrow"/>
                <w:sz w:val="22"/>
                <w:szCs w:val="22"/>
              </w:rPr>
              <w:t xml:space="preserve"> the</w:t>
            </w:r>
            <w:r w:rsidRPr="00290E0E">
              <w:rPr>
                <w:rFonts w:ascii="Aptos Narrow" w:hAnsi="Aptos Narrow"/>
                <w:sz w:val="22"/>
                <w:szCs w:val="22"/>
              </w:rPr>
              <w:t xml:space="preserve"> strategy to support the psychosocial and mental well-being of awardees, aligning with the Australia Awards global program. This </w:t>
            </w:r>
            <w:r>
              <w:rPr>
                <w:rFonts w:ascii="Aptos Narrow" w:hAnsi="Aptos Narrow"/>
                <w:sz w:val="22"/>
                <w:szCs w:val="22"/>
              </w:rPr>
              <w:t>commenced with</w:t>
            </w:r>
            <w:r w:rsidRPr="00290E0E">
              <w:rPr>
                <w:rFonts w:ascii="Aptos Narrow" w:hAnsi="Aptos Narrow"/>
                <w:sz w:val="22"/>
                <w:szCs w:val="22"/>
              </w:rPr>
              <w:t xml:space="preserve"> a study on </w:t>
            </w:r>
            <w:r>
              <w:rPr>
                <w:rFonts w:ascii="Aptos Narrow" w:hAnsi="Aptos Narrow"/>
                <w:sz w:val="22"/>
                <w:szCs w:val="22"/>
              </w:rPr>
              <w:t xml:space="preserve">the </w:t>
            </w:r>
            <w:r w:rsidRPr="00290E0E">
              <w:rPr>
                <w:rFonts w:ascii="Aptos Narrow" w:hAnsi="Aptos Narrow"/>
                <w:sz w:val="22"/>
                <w:szCs w:val="22"/>
              </w:rPr>
              <w:t>experience of scholars in this area</w:t>
            </w:r>
            <w:r>
              <w:rPr>
                <w:rFonts w:ascii="Aptos Narrow" w:hAnsi="Aptos Narrow"/>
                <w:sz w:val="22"/>
                <w:szCs w:val="22"/>
              </w:rPr>
              <w:t>,</w:t>
            </w:r>
            <w:r w:rsidRPr="00290E0E">
              <w:rPr>
                <w:rFonts w:ascii="Aptos Narrow" w:hAnsi="Aptos Narrow"/>
                <w:sz w:val="22"/>
                <w:szCs w:val="22"/>
              </w:rPr>
              <w:t xml:space="preserve"> identifying the unique pressures and stressors faced by awardees.</w:t>
            </w:r>
          </w:p>
        </w:tc>
        <w:tc>
          <w:tcPr>
            <w:tcW w:w="3060" w:type="dxa"/>
          </w:tcPr>
          <w:p w14:paraId="0C8D76BD" w14:textId="77777777" w:rsidR="005B2CC3" w:rsidRPr="00290E0E" w:rsidRDefault="005B2CC3" w:rsidP="00B109EC">
            <w:pPr>
              <w:pStyle w:val="Tabletext"/>
              <w:rPr>
                <w:rFonts w:ascii="Aptos Narrow" w:hAnsi="Aptos Narrow"/>
                <w:sz w:val="22"/>
                <w:szCs w:val="22"/>
              </w:rPr>
            </w:pPr>
            <w:r>
              <w:rPr>
                <w:rFonts w:ascii="Aptos Narrow" w:hAnsi="Aptos Narrow"/>
                <w:sz w:val="22"/>
                <w:szCs w:val="22"/>
              </w:rPr>
              <w:t>Immediate and ongoing.</w:t>
            </w:r>
          </w:p>
        </w:tc>
      </w:tr>
    </w:tbl>
    <w:p w14:paraId="7CFC9D97" w14:textId="77777777" w:rsidR="00BF02A2" w:rsidRPr="00290E0E" w:rsidRDefault="00BF02A2" w:rsidP="007D766C">
      <w:pPr>
        <w:pStyle w:val="Caption"/>
        <w:rPr>
          <w:rFonts w:ascii="Aptos Narrow" w:hAnsi="Aptos Narrow"/>
          <w:sz w:val="22"/>
          <w:szCs w:val="22"/>
        </w:rPr>
      </w:pPr>
    </w:p>
    <w:sectPr w:rsidR="00BF02A2" w:rsidRPr="00290E0E" w:rsidSect="008B2CB8">
      <w:pgSz w:w="15840" w:h="12240" w:orient="landscape"/>
      <w:pgMar w:top="720"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576F" w14:textId="77777777" w:rsidR="00802C72" w:rsidRDefault="00802C72" w:rsidP="00996574">
      <w:pPr>
        <w:spacing w:after="0"/>
      </w:pPr>
      <w:r>
        <w:separator/>
      </w:r>
    </w:p>
  </w:endnote>
  <w:endnote w:type="continuationSeparator" w:id="0">
    <w:p w14:paraId="285E1579" w14:textId="77777777" w:rsidR="00802C72" w:rsidRDefault="00802C72" w:rsidP="00996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7A55" w14:textId="77777777" w:rsidR="00802C72" w:rsidRDefault="00802C72" w:rsidP="00996574">
      <w:pPr>
        <w:spacing w:after="0"/>
      </w:pPr>
      <w:r>
        <w:separator/>
      </w:r>
    </w:p>
  </w:footnote>
  <w:footnote w:type="continuationSeparator" w:id="0">
    <w:p w14:paraId="3365B7F4" w14:textId="77777777" w:rsidR="00802C72" w:rsidRDefault="00802C72" w:rsidP="009965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D1B"/>
    <w:multiLevelType w:val="hybridMultilevel"/>
    <w:tmpl w:val="3AE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779D"/>
    <w:multiLevelType w:val="hybridMultilevel"/>
    <w:tmpl w:val="0E3C69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20C0380"/>
    <w:multiLevelType w:val="hybridMultilevel"/>
    <w:tmpl w:val="1978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078D"/>
    <w:multiLevelType w:val="hybridMultilevel"/>
    <w:tmpl w:val="7D80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26D2"/>
    <w:multiLevelType w:val="hybridMultilevel"/>
    <w:tmpl w:val="20408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62E6"/>
    <w:multiLevelType w:val="hybridMultilevel"/>
    <w:tmpl w:val="C03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155D"/>
    <w:multiLevelType w:val="hybridMultilevel"/>
    <w:tmpl w:val="9FF87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A0720"/>
    <w:multiLevelType w:val="hybridMultilevel"/>
    <w:tmpl w:val="97200CF0"/>
    <w:lvl w:ilvl="0" w:tplc="6F94EDF0">
      <w:numFmt w:val="bullet"/>
      <w:lvlText w:val="-"/>
      <w:lvlJc w:val="left"/>
      <w:pPr>
        <w:ind w:left="927" w:hanging="360"/>
      </w:pPr>
      <w:rPr>
        <w:rFonts w:ascii="Aptos Narrow" w:eastAsiaTheme="minorHAnsi" w:hAnsi="Aptos Narrow"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1171B2A"/>
    <w:multiLevelType w:val="hybridMultilevel"/>
    <w:tmpl w:val="881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84A1C"/>
    <w:multiLevelType w:val="hybridMultilevel"/>
    <w:tmpl w:val="A6CC5258"/>
    <w:lvl w:ilvl="0" w:tplc="7E981DB8">
      <w:start w:val="26"/>
      <w:numFmt w:val="bullet"/>
      <w:lvlText w:val="-"/>
      <w:lvlJc w:val="left"/>
      <w:pPr>
        <w:ind w:left="1287" w:hanging="360"/>
      </w:pPr>
      <w:rPr>
        <w:rFonts w:ascii="Calibri Light" w:eastAsia="Times New Roman" w:hAnsi="Calibri Light" w:cs="Calibri Ligh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B776E0"/>
    <w:multiLevelType w:val="hybridMultilevel"/>
    <w:tmpl w:val="A348A4F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0CD7269"/>
    <w:multiLevelType w:val="hybridMultilevel"/>
    <w:tmpl w:val="AC7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584F"/>
    <w:multiLevelType w:val="hybridMultilevel"/>
    <w:tmpl w:val="1F7E9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75B8D"/>
    <w:multiLevelType w:val="hybridMultilevel"/>
    <w:tmpl w:val="186A0096"/>
    <w:lvl w:ilvl="0" w:tplc="BB322120">
      <w:numFmt w:val="bullet"/>
      <w:lvlText w:val="-"/>
      <w:lvlJc w:val="left"/>
      <w:pPr>
        <w:ind w:left="720" w:hanging="360"/>
      </w:pPr>
      <w:rPr>
        <w:rFonts w:ascii="Aptos Narrow" w:eastAsiaTheme="minorHAnsi" w:hAnsi="Aptos Narrow"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B3ECC"/>
    <w:multiLevelType w:val="hybridMultilevel"/>
    <w:tmpl w:val="C72C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523DB"/>
    <w:multiLevelType w:val="hybridMultilevel"/>
    <w:tmpl w:val="E0F22DF4"/>
    <w:lvl w:ilvl="0" w:tplc="04090019">
      <w:start w:val="1"/>
      <w:numFmt w:val="lowerLetter"/>
      <w:lvlText w:val="%1."/>
      <w:lvlJc w:val="left"/>
      <w:pPr>
        <w:ind w:left="720" w:hanging="720"/>
      </w:pPr>
      <w:rPr>
        <w:rFonts w:hint="default"/>
      </w:rPr>
    </w:lvl>
    <w:lvl w:ilvl="1" w:tplc="340C37FC">
      <w:numFmt w:val="bullet"/>
      <w:lvlText w:val="-"/>
      <w:lvlJc w:val="left"/>
      <w:pPr>
        <w:ind w:left="1080" w:hanging="360"/>
      </w:pPr>
      <w:rPr>
        <w:rFonts w:ascii="Aptos Narrow" w:eastAsiaTheme="minorHAnsi" w:hAnsi="Aptos Narro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DC25D9"/>
    <w:multiLevelType w:val="hybridMultilevel"/>
    <w:tmpl w:val="45BE19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58231022"/>
    <w:multiLevelType w:val="hybridMultilevel"/>
    <w:tmpl w:val="2874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92535"/>
    <w:multiLevelType w:val="hybridMultilevel"/>
    <w:tmpl w:val="4B3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537BD"/>
    <w:multiLevelType w:val="hybridMultilevel"/>
    <w:tmpl w:val="82FA4D9A"/>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6DCC6BF7"/>
    <w:multiLevelType w:val="hybridMultilevel"/>
    <w:tmpl w:val="3D80D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A1604D"/>
    <w:multiLevelType w:val="hybridMultilevel"/>
    <w:tmpl w:val="8C3EAC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7CDE1E4D"/>
    <w:multiLevelType w:val="hybridMultilevel"/>
    <w:tmpl w:val="47760316"/>
    <w:lvl w:ilvl="0" w:tplc="7E981DB8">
      <w:start w:val="26"/>
      <w:numFmt w:val="bullet"/>
      <w:lvlText w:val="-"/>
      <w:lvlJc w:val="left"/>
      <w:pPr>
        <w:ind w:left="1287" w:hanging="360"/>
      </w:pPr>
      <w:rPr>
        <w:rFonts w:ascii="Calibri Light" w:eastAsia="Times New Roman" w:hAnsi="Calibri Light" w:cs="Calibri Ligh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DC95546"/>
    <w:multiLevelType w:val="hybridMultilevel"/>
    <w:tmpl w:val="265C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13FD9"/>
    <w:multiLevelType w:val="hybridMultilevel"/>
    <w:tmpl w:val="5DB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555915">
    <w:abstractNumId w:val="13"/>
  </w:num>
  <w:num w:numId="2" w16cid:durableId="308441246">
    <w:abstractNumId w:val="11"/>
  </w:num>
  <w:num w:numId="3" w16cid:durableId="707800219">
    <w:abstractNumId w:val="2"/>
  </w:num>
  <w:num w:numId="4" w16cid:durableId="1581597418">
    <w:abstractNumId w:val="15"/>
  </w:num>
  <w:num w:numId="5" w16cid:durableId="1400322093">
    <w:abstractNumId w:val="17"/>
  </w:num>
  <w:num w:numId="6" w16cid:durableId="1847359686">
    <w:abstractNumId w:val="24"/>
  </w:num>
  <w:num w:numId="7" w16cid:durableId="96875451">
    <w:abstractNumId w:val="0"/>
  </w:num>
  <w:num w:numId="8" w16cid:durableId="1368523816">
    <w:abstractNumId w:val="18"/>
  </w:num>
  <w:num w:numId="9" w16cid:durableId="595359050">
    <w:abstractNumId w:val="3"/>
  </w:num>
  <w:num w:numId="10" w16cid:durableId="2083795576">
    <w:abstractNumId w:val="9"/>
  </w:num>
  <w:num w:numId="11" w16cid:durableId="2071146636">
    <w:abstractNumId w:val="7"/>
  </w:num>
  <w:num w:numId="12" w16cid:durableId="1303343149">
    <w:abstractNumId w:val="22"/>
  </w:num>
  <w:num w:numId="13" w16cid:durableId="1663970632">
    <w:abstractNumId w:val="19"/>
  </w:num>
  <w:num w:numId="14" w16cid:durableId="865483558">
    <w:abstractNumId w:val="1"/>
  </w:num>
  <w:num w:numId="15" w16cid:durableId="1877279774">
    <w:abstractNumId w:val="10"/>
  </w:num>
  <w:num w:numId="16" w16cid:durableId="834612533">
    <w:abstractNumId w:val="21"/>
  </w:num>
  <w:num w:numId="17" w16cid:durableId="1537694682">
    <w:abstractNumId w:val="16"/>
  </w:num>
  <w:num w:numId="18" w16cid:durableId="2136021694">
    <w:abstractNumId w:val="5"/>
  </w:num>
  <w:num w:numId="19" w16cid:durableId="1129667438">
    <w:abstractNumId w:val="4"/>
  </w:num>
  <w:num w:numId="20" w16cid:durableId="2011255240">
    <w:abstractNumId w:val="6"/>
  </w:num>
  <w:num w:numId="21" w16cid:durableId="1900094364">
    <w:abstractNumId w:val="8"/>
  </w:num>
  <w:num w:numId="22" w16cid:durableId="183331159">
    <w:abstractNumId w:val="23"/>
  </w:num>
  <w:num w:numId="23" w16cid:durableId="1666126534">
    <w:abstractNumId w:val="14"/>
  </w:num>
  <w:num w:numId="24" w16cid:durableId="1250308715">
    <w:abstractNumId w:val="20"/>
  </w:num>
  <w:num w:numId="25" w16cid:durableId="1411081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74"/>
    <w:rsid w:val="00001258"/>
    <w:rsid w:val="00005FD2"/>
    <w:rsid w:val="00006C3A"/>
    <w:rsid w:val="00006D48"/>
    <w:rsid w:val="00010597"/>
    <w:rsid w:val="00010621"/>
    <w:rsid w:val="00012187"/>
    <w:rsid w:val="00012620"/>
    <w:rsid w:val="00016227"/>
    <w:rsid w:val="00020B68"/>
    <w:rsid w:val="00022D23"/>
    <w:rsid w:val="000316DD"/>
    <w:rsid w:val="00032A33"/>
    <w:rsid w:val="00033324"/>
    <w:rsid w:val="0003692C"/>
    <w:rsid w:val="00044192"/>
    <w:rsid w:val="000441D8"/>
    <w:rsid w:val="00044FD0"/>
    <w:rsid w:val="00044FDD"/>
    <w:rsid w:val="00050193"/>
    <w:rsid w:val="0005245B"/>
    <w:rsid w:val="000565B1"/>
    <w:rsid w:val="000616B1"/>
    <w:rsid w:val="00062370"/>
    <w:rsid w:val="00072408"/>
    <w:rsid w:val="00072CA1"/>
    <w:rsid w:val="00076558"/>
    <w:rsid w:val="00081FCD"/>
    <w:rsid w:val="000843C9"/>
    <w:rsid w:val="00096303"/>
    <w:rsid w:val="000A0D14"/>
    <w:rsid w:val="000B085E"/>
    <w:rsid w:val="000B75E2"/>
    <w:rsid w:val="000C6AC5"/>
    <w:rsid w:val="000C7918"/>
    <w:rsid w:val="000C7C23"/>
    <w:rsid w:val="000D2F16"/>
    <w:rsid w:val="000D3DCB"/>
    <w:rsid w:val="000D777A"/>
    <w:rsid w:val="000E08BB"/>
    <w:rsid w:val="000E17DD"/>
    <w:rsid w:val="000E26C2"/>
    <w:rsid w:val="000E2713"/>
    <w:rsid w:val="000E3461"/>
    <w:rsid w:val="000E44C8"/>
    <w:rsid w:val="000E5928"/>
    <w:rsid w:val="000E5E25"/>
    <w:rsid w:val="000E5E4A"/>
    <w:rsid w:val="000F17A7"/>
    <w:rsid w:val="000F2621"/>
    <w:rsid w:val="00100763"/>
    <w:rsid w:val="00103DD2"/>
    <w:rsid w:val="0010626A"/>
    <w:rsid w:val="00117EB6"/>
    <w:rsid w:val="00140C3D"/>
    <w:rsid w:val="00144DDF"/>
    <w:rsid w:val="001458DF"/>
    <w:rsid w:val="0014789D"/>
    <w:rsid w:val="00150727"/>
    <w:rsid w:val="0015492B"/>
    <w:rsid w:val="00164B8F"/>
    <w:rsid w:val="00167751"/>
    <w:rsid w:val="00167A9C"/>
    <w:rsid w:val="00171E04"/>
    <w:rsid w:val="00176D67"/>
    <w:rsid w:val="001805FE"/>
    <w:rsid w:val="001836E1"/>
    <w:rsid w:val="00183C28"/>
    <w:rsid w:val="0018645E"/>
    <w:rsid w:val="00186F24"/>
    <w:rsid w:val="00187BE1"/>
    <w:rsid w:val="00187EE3"/>
    <w:rsid w:val="00192EF7"/>
    <w:rsid w:val="001951BD"/>
    <w:rsid w:val="001A42D8"/>
    <w:rsid w:val="001B2036"/>
    <w:rsid w:val="001B329C"/>
    <w:rsid w:val="001B4261"/>
    <w:rsid w:val="001C0992"/>
    <w:rsid w:val="001C2724"/>
    <w:rsid w:val="001C3CFC"/>
    <w:rsid w:val="001C3F91"/>
    <w:rsid w:val="001D4557"/>
    <w:rsid w:val="001D652F"/>
    <w:rsid w:val="001D6E4D"/>
    <w:rsid w:val="001E2036"/>
    <w:rsid w:val="001E243A"/>
    <w:rsid w:val="001E543B"/>
    <w:rsid w:val="001E772C"/>
    <w:rsid w:val="001F1C2E"/>
    <w:rsid w:val="001F300F"/>
    <w:rsid w:val="001F4154"/>
    <w:rsid w:val="00202276"/>
    <w:rsid w:val="00204BB9"/>
    <w:rsid w:val="0021067D"/>
    <w:rsid w:val="002166B1"/>
    <w:rsid w:val="002216D5"/>
    <w:rsid w:val="0022343F"/>
    <w:rsid w:val="00224ECD"/>
    <w:rsid w:val="002321CC"/>
    <w:rsid w:val="00232F4F"/>
    <w:rsid w:val="002347E9"/>
    <w:rsid w:val="002358BF"/>
    <w:rsid w:val="00241C99"/>
    <w:rsid w:val="00245E84"/>
    <w:rsid w:val="00250F3B"/>
    <w:rsid w:val="00262F99"/>
    <w:rsid w:val="00266895"/>
    <w:rsid w:val="002671B7"/>
    <w:rsid w:val="00270460"/>
    <w:rsid w:val="00272922"/>
    <w:rsid w:val="00273AB2"/>
    <w:rsid w:val="0027495C"/>
    <w:rsid w:val="002753AD"/>
    <w:rsid w:val="002817F2"/>
    <w:rsid w:val="002818F9"/>
    <w:rsid w:val="00282441"/>
    <w:rsid w:val="002844E7"/>
    <w:rsid w:val="00290E0E"/>
    <w:rsid w:val="002914B6"/>
    <w:rsid w:val="00296597"/>
    <w:rsid w:val="00296C4E"/>
    <w:rsid w:val="002A6A00"/>
    <w:rsid w:val="002C009D"/>
    <w:rsid w:val="002C18F2"/>
    <w:rsid w:val="002C190B"/>
    <w:rsid w:val="002C522F"/>
    <w:rsid w:val="002D02E6"/>
    <w:rsid w:val="002D0EFE"/>
    <w:rsid w:val="002D53CC"/>
    <w:rsid w:val="002D7AA6"/>
    <w:rsid w:val="002E6697"/>
    <w:rsid w:val="002F2E69"/>
    <w:rsid w:val="00301820"/>
    <w:rsid w:val="0030405D"/>
    <w:rsid w:val="0030663D"/>
    <w:rsid w:val="0031324D"/>
    <w:rsid w:val="003138AD"/>
    <w:rsid w:val="003147EE"/>
    <w:rsid w:val="00317499"/>
    <w:rsid w:val="003217CC"/>
    <w:rsid w:val="00324AD1"/>
    <w:rsid w:val="00330F06"/>
    <w:rsid w:val="00331B27"/>
    <w:rsid w:val="00335490"/>
    <w:rsid w:val="00341A58"/>
    <w:rsid w:val="00341E8E"/>
    <w:rsid w:val="0034399C"/>
    <w:rsid w:val="00346F36"/>
    <w:rsid w:val="0035013E"/>
    <w:rsid w:val="00356A8F"/>
    <w:rsid w:val="003573B3"/>
    <w:rsid w:val="00362CA3"/>
    <w:rsid w:val="00374BF3"/>
    <w:rsid w:val="00377C8A"/>
    <w:rsid w:val="00380726"/>
    <w:rsid w:val="0038558D"/>
    <w:rsid w:val="00390BF8"/>
    <w:rsid w:val="00391B6B"/>
    <w:rsid w:val="00394878"/>
    <w:rsid w:val="00395C00"/>
    <w:rsid w:val="003A3FA9"/>
    <w:rsid w:val="003A72AE"/>
    <w:rsid w:val="003B13CF"/>
    <w:rsid w:val="003B36D3"/>
    <w:rsid w:val="003B42E6"/>
    <w:rsid w:val="003B561E"/>
    <w:rsid w:val="003C0050"/>
    <w:rsid w:val="003C1FAC"/>
    <w:rsid w:val="003C22D1"/>
    <w:rsid w:val="003C5D11"/>
    <w:rsid w:val="003C6D2C"/>
    <w:rsid w:val="003D703F"/>
    <w:rsid w:val="003E419D"/>
    <w:rsid w:val="003E51EE"/>
    <w:rsid w:val="003F20EF"/>
    <w:rsid w:val="00401240"/>
    <w:rsid w:val="0040416E"/>
    <w:rsid w:val="0041183E"/>
    <w:rsid w:val="0041474A"/>
    <w:rsid w:val="00415E21"/>
    <w:rsid w:val="00422710"/>
    <w:rsid w:val="00423919"/>
    <w:rsid w:val="00427B1B"/>
    <w:rsid w:val="004305AE"/>
    <w:rsid w:val="004330FA"/>
    <w:rsid w:val="004400E4"/>
    <w:rsid w:val="004423CA"/>
    <w:rsid w:val="004475C2"/>
    <w:rsid w:val="004514EB"/>
    <w:rsid w:val="00454BAB"/>
    <w:rsid w:val="00454BB1"/>
    <w:rsid w:val="0045589A"/>
    <w:rsid w:val="004652E1"/>
    <w:rsid w:val="0046538B"/>
    <w:rsid w:val="00465B47"/>
    <w:rsid w:val="00475212"/>
    <w:rsid w:val="0047631F"/>
    <w:rsid w:val="0047658B"/>
    <w:rsid w:val="004814D7"/>
    <w:rsid w:val="00481E6C"/>
    <w:rsid w:val="00482EBC"/>
    <w:rsid w:val="0048569D"/>
    <w:rsid w:val="00492523"/>
    <w:rsid w:val="0049657C"/>
    <w:rsid w:val="004A04F3"/>
    <w:rsid w:val="004A135D"/>
    <w:rsid w:val="004A16A6"/>
    <w:rsid w:val="004A42BD"/>
    <w:rsid w:val="004A6C63"/>
    <w:rsid w:val="004B0F73"/>
    <w:rsid w:val="004B5FF8"/>
    <w:rsid w:val="004B648D"/>
    <w:rsid w:val="004C3C14"/>
    <w:rsid w:val="004C40B8"/>
    <w:rsid w:val="004C5341"/>
    <w:rsid w:val="004D049E"/>
    <w:rsid w:val="004D0C94"/>
    <w:rsid w:val="004D14F0"/>
    <w:rsid w:val="004D429C"/>
    <w:rsid w:val="004E5E9B"/>
    <w:rsid w:val="004F01B2"/>
    <w:rsid w:val="004F0BFE"/>
    <w:rsid w:val="004F6ACE"/>
    <w:rsid w:val="00501479"/>
    <w:rsid w:val="00501829"/>
    <w:rsid w:val="005065B8"/>
    <w:rsid w:val="00506CD9"/>
    <w:rsid w:val="005271B2"/>
    <w:rsid w:val="00527DA5"/>
    <w:rsid w:val="00530894"/>
    <w:rsid w:val="005311A8"/>
    <w:rsid w:val="0053515C"/>
    <w:rsid w:val="00535935"/>
    <w:rsid w:val="00537BC6"/>
    <w:rsid w:val="00541712"/>
    <w:rsid w:val="005439F9"/>
    <w:rsid w:val="00543B54"/>
    <w:rsid w:val="0054455A"/>
    <w:rsid w:val="005510E9"/>
    <w:rsid w:val="00557601"/>
    <w:rsid w:val="00564277"/>
    <w:rsid w:val="005648FE"/>
    <w:rsid w:val="0056780C"/>
    <w:rsid w:val="00570415"/>
    <w:rsid w:val="00571721"/>
    <w:rsid w:val="00573327"/>
    <w:rsid w:val="005750D2"/>
    <w:rsid w:val="0057685E"/>
    <w:rsid w:val="005860F9"/>
    <w:rsid w:val="00591B1A"/>
    <w:rsid w:val="00593611"/>
    <w:rsid w:val="005A594C"/>
    <w:rsid w:val="005A6303"/>
    <w:rsid w:val="005A677E"/>
    <w:rsid w:val="005A6A48"/>
    <w:rsid w:val="005A7A68"/>
    <w:rsid w:val="005B2CC3"/>
    <w:rsid w:val="005B34B9"/>
    <w:rsid w:val="005B5070"/>
    <w:rsid w:val="005B5674"/>
    <w:rsid w:val="005D15CC"/>
    <w:rsid w:val="005D4B04"/>
    <w:rsid w:val="005D7C0D"/>
    <w:rsid w:val="005E146D"/>
    <w:rsid w:val="005E3BE4"/>
    <w:rsid w:val="006002F3"/>
    <w:rsid w:val="00601E6D"/>
    <w:rsid w:val="00605371"/>
    <w:rsid w:val="00610877"/>
    <w:rsid w:val="00613339"/>
    <w:rsid w:val="00615F58"/>
    <w:rsid w:val="006170B2"/>
    <w:rsid w:val="00624C79"/>
    <w:rsid w:val="0062655D"/>
    <w:rsid w:val="006326CD"/>
    <w:rsid w:val="00640012"/>
    <w:rsid w:val="006412D2"/>
    <w:rsid w:val="0064287C"/>
    <w:rsid w:val="006449DB"/>
    <w:rsid w:val="00644E17"/>
    <w:rsid w:val="00650F9D"/>
    <w:rsid w:val="0065572B"/>
    <w:rsid w:val="006630D9"/>
    <w:rsid w:val="00664645"/>
    <w:rsid w:val="0066640E"/>
    <w:rsid w:val="006671A1"/>
    <w:rsid w:val="00681E92"/>
    <w:rsid w:val="0068212C"/>
    <w:rsid w:val="006823D6"/>
    <w:rsid w:val="0068486B"/>
    <w:rsid w:val="00690F0B"/>
    <w:rsid w:val="0069693A"/>
    <w:rsid w:val="0069723D"/>
    <w:rsid w:val="006A5777"/>
    <w:rsid w:val="006B33FC"/>
    <w:rsid w:val="006B4246"/>
    <w:rsid w:val="006C00AA"/>
    <w:rsid w:val="006C40AD"/>
    <w:rsid w:val="006D71F6"/>
    <w:rsid w:val="006E3348"/>
    <w:rsid w:val="006E4169"/>
    <w:rsid w:val="006E489A"/>
    <w:rsid w:val="006F1B5E"/>
    <w:rsid w:val="006F48F8"/>
    <w:rsid w:val="00705082"/>
    <w:rsid w:val="00710F73"/>
    <w:rsid w:val="00711FF5"/>
    <w:rsid w:val="0071489D"/>
    <w:rsid w:val="00720151"/>
    <w:rsid w:val="0072410C"/>
    <w:rsid w:val="00727C73"/>
    <w:rsid w:val="00727C8E"/>
    <w:rsid w:val="007328D4"/>
    <w:rsid w:val="007438F7"/>
    <w:rsid w:val="00743B14"/>
    <w:rsid w:val="007473E6"/>
    <w:rsid w:val="0075753F"/>
    <w:rsid w:val="007602A1"/>
    <w:rsid w:val="0076143D"/>
    <w:rsid w:val="00774F5E"/>
    <w:rsid w:val="007766C3"/>
    <w:rsid w:val="00782BC7"/>
    <w:rsid w:val="00783D67"/>
    <w:rsid w:val="00791D53"/>
    <w:rsid w:val="007940F2"/>
    <w:rsid w:val="007941C5"/>
    <w:rsid w:val="00794ED1"/>
    <w:rsid w:val="007968A6"/>
    <w:rsid w:val="007A012C"/>
    <w:rsid w:val="007A2654"/>
    <w:rsid w:val="007A2E07"/>
    <w:rsid w:val="007A6EB6"/>
    <w:rsid w:val="007B215D"/>
    <w:rsid w:val="007B270B"/>
    <w:rsid w:val="007B3955"/>
    <w:rsid w:val="007B55EE"/>
    <w:rsid w:val="007C3EB9"/>
    <w:rsid w:val="007C4133"/>
    <w:rsid w:val="007D37A5"/>
    <w:rsid w:val="007D5219"/>
    <w:rsid w:val="007D766C"/>
    <w:rsid w:val="007E0371"/>
    <w:rsid w:val="007E3D7A"/>
    <w:rsid w:val="007F066D"/>
    <w:rsid w:val="007F11BC"/>
    <w:rsid w:val="007F2B0B"/>
    <w:rsid w:val="00802963"/>
    <w:rsid w:val="00802C72"/>
    <w:rsid w:val="00805912"/>
    <w:rsid w:val="0081266D"/>
    <w:rsid w:val="00812FF2"/>
    <w:rsid w:val="0082434E"/>
    <w:rsid w:val="0082543F"/>
    <w:rsid w:val="00826F19"/>
    <w:rsid w:val="00841E54"/>
    <w:rsid w:val="00842DE7"/>
    <w:rsid w:val="008437C4"/>
    <w:rsid w:val="00851B61"/>
    <w:rsid w:val="008524F6"/>
    <w:rsid w:val="00854622"/>
    <w:rsid w:val="0085546E"/>
    <w:rsid w:val="00856CCF"/>
    <w:rsid w:val="0086034D"/>
    <w:rsid w:val="0086620C"/>
    <w:rsid w:val="00866555"/>
    <w:rsid w:val="00875B9F"/>
    <w:rsid w:val="00880B1C"/>
    <w:rsid w:val="00895940"/>
    <w:rsid w:val="008A1361"/>
    <w:rsid w:val="008A3309"/>
    <w:rsid w:val="008A78A8"/>
    <w:rsid w:val="008A7BAF"/>
    <w:rsid w:val="008B09A9"/>
    <w:rsid w:val="008B2CB8"/>
    <w:rsid w:val="008B64D2"/>
    <w:rsid w:val="008C1809"/>
    <w:rsid w:val="008C41A3"/>
    <w:rsid w:val="008D2B1E"/>
    <w:rsid w:val="008E48B4"/>
    <w:rsid w:val="008E58CE"/>
    <w:rsid w:val="008E657A"/>
    <w:rsid w:val="008E73B5"/>
    <w:rsid w:val="008F7CE7"/>
    <w:rsid w:val="00903D36"/>
    <w:rsid w:val="00906FEE"/>
    <w:rsid w:val="00913AAA"/>
    <w:rsid w:val="00914561"/>
    <w:rsid w:val="00915160"/>
    <w:rsid w:val="00915601"/>
    <w:rsid w:val="00934D48"/>
    <w:rsid w:val="00936A1F"/>
    <w:rsid w:val="009425F1"/>
    <w:rsid w:val="0095112D"/>
    <w:rsid w:val="00952828"/>
    <w:rsid w:val="00965315"/>
    <w:rsid w:val="00965788"/>
    <w:rsid w:val="00966D6C"/>
    <w:rsid w:val="00973A4B"/>
    <w:rsid w:val="0097430C"/>
    <w:rsid w:val="00983FA6"/>
    <w:rsid w:val="009855AA"/>
    <w:rsid w:val="0098679E"/>
    <w:rsid w:val="00987179"/>
    <w:rsid w:val="0099248A"/>
    <w:rsid w:val="00996574"/>
    <w:rsid w:val="009A5F8D"/>
    <w:rsid w:val="009B1541"/>
    <w:rsid w:val="009B35B4"/>
    <w:rsid w:val="009C56B5"/>
    <w:rsid w:val="009C6FE7"/>
    <w:rsid w:val="009C7AF2"/>
    <w:rsid w:val="009D7BE3"/>
    <w:rsid w:val="009F36C3"/>
    <w:rsid w:val="009F610F"/>
    <w:rsid w:val="009F6796"/>
    <w:rsid w:val="009F7667"/>
    <w:rsid w:val="00A00FB6"/>
    <w:rsid w:val="00A0277F"/>
    <w:rsid w:val="00A03668"/>
    <w:rsid w:val="00A06286"/>
    <w:rsid w:val="00A20E3B"/>
    <w:rsid w:val="00A2102C"/>
    <w:rsid w:val="00A26F64"/>
    <w:rsid w:val="00A3335D"/>
    <w:rsid w:val="00A34371"/>
    <w:rsid w:val="00A42D68"/>
    <w:rsid w:val="00A4362B"/>
    <w:rsid w:val="00A467E2"/>
    <w:rsid w:val="00A5205E"/>
    <w:rsid w:val="00A525CF"/>
    <w:rsid w:val="00A60D93"/>
    <w:rsid w:val="00A629A4"/>
    <w:rsid w:val="00A62F43"/>
    <w:rsid w:val="00A63135"/>
    <w:rsid w:val="00A74056"/>
    <w:rsid w:val="00A7778B"/>
    <w:rsid w:val="00A84B89"/>
    <w:rsid w:val="00A920A8"/>
    <w:rsid w:val="00A95550"/>
    <w:rsid w:val="00AA08BB"/>
    <w:rsid w:val="00AA5F1E"/>
    <w:rsid w:val="00AA64D7"/>
    <w:rsid w:val="00AB5454"/>
    <w:rsid w:val="00AB6594"/>
    <w:rsid w:val="00AC244F"/>
    <w:rsid w:val="00AC714C"/>
    <w:rsid w:val="00AD07C1"/>
    <w:rsid w:val="00AD1429"/>
    <w:rsid w:val="00AE039D"/>
    <w:rsid w:val="00AE08ED"/>
    <w:rsid w:val="00AE355C"/>
    <w:rsid w:val="00AE43D9"/>
    <w:rsid w:val="00AF3AF7"/>
    <w:rsid w:val="00AF66D2"/>
    <w:rsid w:val="00B1212D"/>
    <w:rsid w:val="00B12892"/>
    <w:rsid w:val="00B129DC"/>
    <w:rsid w:val="00B21507"/>
    <w:rsid w:val="00B234A7"/>
    <w:rsid w:val="00B262F4"/>
    <w:rsid w:val="00B30545"/>
    <w:rsid w:val="00B306AB"/>
    <w:rsid w:val="00B32B76"/>
    <w:rsid w:val="00B36CB8"/>
    <w:rsid w:val="00B37044"/>
    <w:rsid w:val="00B377AE"/>
    <w:rsid w:val="00B4231A"/>
    <w:rsid w:val="00B4232C"/>
    <w:rsid w:val="00B4287F"/>
    <w:rsid w:val="00B42C9B"/>
    <w:rsid w:val="00B448B2"/>
    <w:rsid w:val="00B50149"/>
    <w:rsid w:val="00B53339"/>
    <w:rsid w:val="00B5557C"/>
    <w:rsid w:val="00B56913"/>
    <w:rsid w:val="00B60467"/>
    <w:rsid w:val="00B64A2A"/>
    <w:rsid w:val="00B666F6"/>
    <w:rsid w:val="00B71009"/>
    <w:rsid w:val="00B71752"/>
    <w:rsid w:val="00B76511"/>
    <w:rsid w:val="00B80173"/>
    <w:rsid w:val="00B824F7"/>
    <w:rsid w:val="00B87CB3"/>
    <w:rsid w:val="00B91454"/>
    <w:rsid w:val="00B94A49"/>
    <w:rsid w:val="00B95014"/>
    <w:rsid w:val="00B9502D"/>
    <w:rsid w:val="00B955FC"/>
    <w:rsid w:val="00BA0618"/>
    <w:rsid w:val="00BA2F59"/>
    <w:rsid w:val="00BA42C9"/>
    <w:rsid w:val="00BA5BA3"/>
    <w:rsid w:val="00BB3B8E"/>
    <w:rsid w:val="00BB3C6C"/>
    <w:rsid w:val="00BB4807"/>
    <w:rsid w:val="00BC79AC"/>
    <w:rsid w:val="00BD04B8"/>
    <w:rsid w:val="00BD12E9"/>
    <w:rsid w:val="00BD1995"/>
    <w:rsid w:val="00BE0F3E"/>
    <w:rsid w:val="00BE1DA0"/>
    <w:rsid w:val="00BE4CC0"/>
    <w:rsid w:val="00BF02A2"/>
    <w:rsid w:val="00BF2A0B"/>
    <w:rsid w:val="00C0337C"/>
    <w:rsid w:val="00C05D34"/>
    <w:rsid w:val="00C065D2"/>
    <w:rsid w:val="00C105DE"/>
    <w:rsid w:val="00C10DE1"/>
    <w:rsid w:val="00C10F1E"/>
    <w:rsid w:val="00C13F07"/>
    <w:rsid w:val="00C16C9C"/>
    <w:rsid w:val="00C16E45"/>
    <w:rsid w:val="00C170ED"/>
    <w:rsid w:val="00C1788B"/>
    <w:rsid w:val="00C24C06"/>
    <w:rsid w:val="00C33FF1"/>
    <w:rsid w:val="00C341E6"/>
    <w:rsid w:val="00C454CB"/>
    <w:rsid w:val="00C51FCD"/>
    <w:rsid w:val="00C526AE"/>
    <w:rsid w:val="00C53E36"/>
    <w:rsid w:val="00C55461"/>
    <w:rsid w:val="00C558A5"/>
    <w:rsid w:val="00C56109"/>
    <w:rsid w:val="00C56317"/>
    <w:rsid w:val="00C63C0A"/>
    <w:rsid w:val="00C64C3F"/>
    <w:rsid w:val="00C755BD"/>
    <w:rsid w:val="00C87F67"/>
    <w:rsid w:val="00C903DD"/>
    <w:rsid w:val="00C958ED"/>
    <w:rsid w:val="00C96B56"/>
    <w:rsid w:val="00CA1265"/>
    <w:rsid w:val="00CA4034"/>
    <w:rsid w:val="00CA71F7"/>
    <w:rsid w:val="00CA7C38"/>
    <w:rsid w:val="00CB18A3"/>
    <w:rsid w:val="00CB2210"/>
    <w:rsid w:val="00CB65B6"/>
    <w:rsid w:val="00CC549A"/>
    <w:rsid w:val="00CC680D"/>
    <w:rsid w:val="00CE0B62"/>
    <w:rsid w:val="00CE153B"/>
    <w:rsid w:val="00CE4F1F"/>
    <w:rsid w:val="00CE75D0"/>
    <w:rsid w:val="00D071F9"/>
    <w:rsid w:val="00D138FF"/>
    <w:rsid w:val="00D15AC8"/>
    <w:rsid w:val="00D26BEE"/>
    <w:rsid w:val="00D27B12"/>
    <w:rsid w:val="00D37E61"/>
    <w:rsid w:val="00D44E98"/>
    <w:rsid w:val="00D452EA"/>
    <w:rsid w:val="00D504B4"/>
    <w:rsid w:val="00D64206"/>
    <w:rsid w:val="00D6735B"/>
    <w:rsid w:val="00D70398"/>
    <w:rsid w:val="00D76069"/>
    <w:rsid w:val="00D975BB"/>
    <w:rsid w:val="00DA78EC"/>
    <w:rsid w:val="00DB430E"/>
    <w:rsid w:val="00DB5BCF"/>
    <w:rsid w:val="00DB68C2"/>
    <w:rsid w:val="00DB79B9"/>
    <w:rsid w:val="00DC0508"/>
    <w:rsid w:val="00DC0D54"/>
    <w:rsid w:val="00DC162D"/>
    <w:rsid w:val="00DD0255"/>
    <w:rsid w:val="00DD1FE9"/>
    <w:rsid w:val="00DD42EA"/>
    <w:rsid w:val="00DE65B1"/>
    <w:rsid w:val="00DF0992"/>
    <w:rsid w:val="00E01AB0"/>
    <w:rsid w:val="00E050E4"/>
    <w:rsid w:val="00E059B7"/>
    <w:rsid w:val="00E064CD"/>
    <w:rsid w:val="00E079E3"/>
    <w:rsid w:val="00E10CCB"/>
    <w:rsid w:val="00E11E81"/>
    <w:rsid w:val="00E13ADD"/>
    <w:rsid w:val="00E1424A"/>
    <w:rsid w:val="00E24B4D"/>
    <w:rsid w:val="00E27B36"/>
    <w:rsid w:val="00E3074D"/>
    <w:rsid w:val="00E319A8"/>
    <w:rsid w:val="00E320B4"/>
    <w:rsid w:val="00E34764"/>
    <w:rsid w:val="00E35688"/>
    <w:rsid w:val="00E364BA"/>
    <w:rsid w:val="00E4077A"/>
    <w:rsid w:val="00E41B1E"/>
    <w:rsid w:val="00E41CD5"/>
    <w:rsid w:val="00E602BA"/>
    <w:rsid w:val="00E602D4"/>
    <w:rsid w:val="00E63CD1"/>
    <w:rsid w:val="00E7036C"/>
    <w:rsid w:val="00E70791"/>
    <w:rsid w:val="00E71C10"/>
    <w:rsid w:val="00E77014"/>
    <w:rsid w:val="00E803A0"/>
    <w:rsid w:val="00E81B6A"/>
    <w:rsid w:val="00E9134E"/>
    <w:rsid w:val="00E94E96"/>
    <w:rsid w:val="00E979E5"/>
    <w:rsid w:val="00E97FE0"/>
    <w:rsid w:val="00EA6356"/>
    <w:rsid w:val="00EB16D9"/>
    <w:rsid w:val="00EB3739"/>
    <w:rsid w:val="00EB41B2"/>
    <w:rsid w:val="00EB5C99"/>
    <w:rsid w:val="00EBE183"/>
    <w:rsid w:val="00EC4B38"/>
    <w:rsid w:val="00EC4BB8"/>
    <w:rsid w:val="00EC728D"/>
    <w:rsid w:val="00ED0B81"/>
    <w:rsid w:val="00ED30CF"/>
    <w:rsid w:val="00EE3D9C"/>
    <w:rsid w:val="00EE44E9"/>
    <w:rsid w:val="00EE5FDC"/>
    <w:rsid w:val="00EE64FA"/>
    <w:rsid w:val="00EF5138"/>
    <w:rsid w:val="00EF6D0F"/>
    <w:rsid w:val="00F02F20"/>
    <w:rsid w:val="00F04AAC"/>
    <w:rsid w:val="00F0756D"/>
    <w:rsid w:val="00F101EA"/>
    <w:rsid w:val="00F15302"/>
    <w:rsid w:val="00F16EA4"/>
    <w:rsid w:val="00F178A9"/>
    <w:rsid w:val="00F20D87"/>
    <w:rsid w:val="00F24E4F"/>
    <w:rsid w:val="00F27DF8"/>
    <w:rsid w:val="00F40907"/>
    <w:rsid w:val="00F426DB"/>
    <w:rsid w:val="00F5164C"/>
    <w:rsid w:val="00F528DD"/>
    <w:rsid w:val="00F56431"/>
    <w:rsid w:val="00F60D15"/>
    <w:rsid w:val="00F610FC"/>
    <w:rsid w:val="00F62119"/>
    <w:rsid w:val="00F63B5B"/>
    <w:rsid w:val="00F642C5"/>
    <w:rsid w:val="00F711D0"/>
    <w:rsid w:val="00F75391"/>
    <w:rsid w:val="00F772D7"/>
    <w:rsid w:val="00F82A5B"/>
    <w:rsid w:val="00F82D6A"/>
    <w:rsid w:val="00F8720A"/>
    <w:rsid w:val="00F90DB4"/>
    <w:rsid w:val="00F9202C"/>
    <w:rsid w:val="00F93500"/>
    <w:rsid w:val="00F93A67"/>
    <w:rsid w:val="00F95BD8"/>
    <w:rsid w:val="00F97325"/>
    <w:rsid w:val="00FA0BD3"/>
    <w:rsid w:val="00FA3C50"/>
    <w:rsid w:val="00FA4015"/>
    <w:rsid w:val="00FB0D9D"/>
    <w:rsid w:val="00FB1D13"/>
    <w:rsid w:val="00FC0BE9"/>
    <w:rsid w:val="00FC130B"/>
    <w:rsid w:val="00FC2534"/>
    <w:rsid w:val="00FC2F78"/>
    <w:rsid w:val="00FC4487"/>
    <w:rsid w:val="00FC7FA4"/>
    <w:rsid w:val="00FD1F9F"/>
    <w:rsid w:val="00FD793C"/>
    <w:rsid w:val="00FE6753"/>
    <w:rsid w:val="00FF2553"/>
    <w:rsid w:val="00FF2E9D"/>
    <w:rsid w:val="00FF45E9"/>
    <w:rsid w:val="02D2BC83"/>
    <w:rsid w:val="033AD1CA"/>
    <w:rsid w:val="03F1B76D"/>
    <w:rsid w:val="04E37B16"/>
    <w:rsid w:val="050D152D"/>
    <w:rsid w:val="065156D9"/>
    <w:rsid w:val="07D3AAD9"/>
    <w:rsid w:val="084D7C2F"/>
    <w:rsid w:val="08B60257"/>
    <w:rsid w:val="0A3820A3"/>
    <w:rsid w:val="0B1B2756"/>
    <w:rsid w:val="0CF31FD8"/>
    <w:rsid w:val="0E4ABEFC"/>
    <w:rsid w:val="0E94ECE2"/>
    <w:rsid w:val="0FBF3588"/>
    <w:rsid w:val="0FD9E5FA"/>
    <w:rsid w:val="1041CB9B"/>
    <w:rsid w:val="10913C8B"/>
    <w:rsid w:val="10DB1282"/>
    <w:rsid w:val="1164715A"/>
    <w:rsid w:val="1166FEAA"/>
    <w:rsid w:val="137F9E84"/>
    <w:rsid w:val="13E29031"/>
    <w:rsid w:val="16DDCE44"/>
    <w:rsid w:val="178BA159"/>
    <w:rsid w:val="18467E1A"/>
    <w:rsid w:val="1893083C"/>
    <w:rsid w:val="18F99B03"/>
    <w:rsid w:val="19D45641"/>
    <w:rsid w:val="1A38C7BA"/>
    <w:rsid w:val="1A3BC34D"/>
    <w:rsid w:val="1AB67130"/>
    <w:rsid w:val="1AD0E36B"/>
    <w:rsid w:val="1AD58322"/>
    <w:rsid w:val="1B04D72E"/>
    <w:rsid w:val="1B6CB43A"/>
    <w:rsid w:val="1C07E6F5"/>
    <w:rsid w:val="1C282160"/>
    <w:rsid w:val="1CB15BE6"/>
    <w:rsid w:val="1CD86029"/>
    <w:rsid w:val="1D193D68"/>
    <w:rsid w:val="1E9CA10D"/>
    <w:rsid w:val="1F1F34CA"/>
    <w:rsid w:val="1F4EB9FA"/>
    <w:rsid w:val="1F5D5D6F"/>
    <w:rsid w:val="1FD6C881"/>
    <w:rsid w:val="2068C6B9"/>
    <w:rsid w:val="209D0BDD"/>
    <w:rsid w:val="20B5050E"/>
    <w:rsid w:val="2188FB66"/>
    <w:rsid w:val="21F41847"/>
    <w:rsid w:val="235F6D10"/>
    <w:rsid w:val="239BBDD8"/>
    <w:rsid w:val="25AFDA4E"/>
    <w:rsid w:val="25F240EF"/>
    <w:rsid w:val="263F1B02"/>
    <w:rsid w:val="270DD244"/>
    <w:rsid w:val="279FEEAC"/>
    <w:rsid w:val="2861DBFA"/>
    <w:rsid w:val="2A4D2052"/>
    <w:rsid w:val="2AE13479"/>
    <w:rsid w:val="2B4031E2"/>
    <w:rsid w:val="2B73F9FC"/>
    <w:rsid w:val="2C5554BE"/>
    <w:rsid w:val="2D31DD50"/>
    <w:rsid w:val="2D486BE2"/>
    <w:rsid w:val="2D6F170A"/>
    <w:rsid w:val="2DA00DF3"/>
    <w:rsid w:val="2F3C334A"/>
    <w:rsid w:val="2F44F247"/>
    <w:rsid w:val="2F541087"/>
    <w:rsid w:val="301EC283"/>
    <w:rsid w:val="30609B02"/>
    <w:rsid w:val="30CB1F32"/>
    <w:rsid w:val="32DB1D98"/>
    <w:rsid w:val="32E13454"/>
    <w:rsid w:val="32F6A30E"/>
    <w:rsid w:val="344FE6C4"/>
    <w:rsid w:val="3481FEBF"/>
    <w:rsid w:val="3487B844"/>
    <w:rsid w:val="34B67C59"/>
    <w:rsid w:val="357778B7"/>
    <w:rsid w:val="358F3E34"/>
    <w:rsid w:val="35D4846C"/>
    <w:rsid w:val="36AE8BCC"/>
    <w:rsid w:val="36D498CF"/>
    <w:rsid w:val="37225045"/>
    <w:rsid w:val="37622E7C"/>
    <w:rsid w:val="387733EA"/>
    <w:rsid w:val="3C9F21A3"/>
    <w:rsid w:val="3E2D36D8"/>
    <w:rsid w:val="3EA7F816"/>
    <w:rsid w:val="407A4194"/>
    <w:rsid w:val="444F0771"/>
    <w:rsid w:val="44DF8043"/>
    <w:rsid w:val="456A79EA"/>
    <w:rsid w:val="45977D53"/>
    <w:rsid w:val="45A73D8C"/>
    <w:rsid w:val="45C5A45D"/>
    <w:rsid w:val="46895642"/>
    <w:rsid w:val="46906656"/>
    <w:rsid w:val="46A2B51E"/>
    <w:rsid w:val="47400A58"/>
    <w:rsid w:val="4790F80F"/>
    <w:rsid w:val="49163B8C"/>
    <w:rsid w:val="49227F48"/>
    <w:rsid w:val="49A2025A"/>
    <w:rsid w:val="4B3D46C0"/>
    <w:rsid w:val="4B693D7E"/>
    <w:rsid w:val="4B8C1F0D"/>
    <w:rsid w:val="4C84D1F3"/>
    <w:rsid w:val="4CDA4739"/>
    <w:rsid w:val="4D2F8309"/>
    <w:rsid w:val="4D5A66B9"/>
    <w:rsid w:val="4DABB8F2"/>
    <w:rsid w:val="4EE87222"/>
    <w:rsid w:val="4F967191"/>
    <w:rsid w:val="4FDBB6BD"/>
    <w:rsid w:val="501D789C"/>
    <w:rsid w:val="512C3EAF"/>
    <w:rsid w:val="5167BED4"/>
    <w:rsid w:val="534378D7"/>
    <w:rsid w:val="547FE7CA"/>
    <w:rsid w:val="54AB2141"/>
    <w:rsid w:val="54DEB755"/>
    <w:rsid w:val="54E67419"/>
    <w:rsid w:val="55CEAF40"/>
    <w:rsid w:val="563D9245"/>
    <w:rsid w:val="56FD4651"/>
    <w:rsid w:val="57388BDC"/>
    <w:rsid w:val="574B39AF"/>
    <w:rsid w:val="577A7365"/>
    <w:rsid w:val="5823492B"/>
    <w:rsid w:val="590B0B3C"/>
    <w:rsid w:val="590E5444"/>
    <w:rsid w:val="592D3978"/>
    <w:rsid w:val="5B3E1725"/>
    <w:rsid w:val="5BE6AAFA"/>
    <w:rsid w:val="5C914A08"/>
    <w:rsid w:val="5C9E6722"/>
    <w:rsid w:val="5CB30B81"/>
    <w:rsid w:val="5D500980"/>
    <w:rsid w:val="5D5CB340"/>
    <w:rsid w:val="5E3DF925"/>
    <w:rsid w:val="5EEAC80A"/>
    <w:rsid w:val="636A9520"/>
    <w:rsid w:val="63907D56"/>
    <w:rsid w:val="64371F4A"/>
    <w:rsid w:val="6469AA38"/>
    <w:rsid w:val="655FD186"/>
    <w:rsid w:val="65C757E1"/>
    <w:rsid w:val="6601274E"/>
    <w:rsid w:val="66013B46"/>
    <w:rsid w:val="667FCC1D"/>
    <w:rsid w:val="677AF3B8"/>
    <w:rsid w:val="677E20CB"/>
    <w:rsid w:val="68A75737"/>
    <w:rsid w:val="6AD7FB03"/>
    <w:rsid w:val="6AE10DAA"/>
    <w:rsid w:val="6CC69515"/>
    <w:rsid w:val="6DE05D84"/>
    <w:rsid w:val="6E368EB1"/>
    <w:rsid w:val="6F17151E"/>
    <w:rsid w:val="70070A41"/>
    <w:rsid w:val="72C962BE"/>
    <w:rsid w:val="74691610"/>
    <w:rsid w:val="75BC3CA9"/>
    <w:rsid w:val="75D29261"/>
    <w:rsid w:val="763A600B"/>
    <w:rsid w:val="774DDEAA"/>
    <w:rsid w:val="7B080685"/>
    <w:rsid w:val="7B664691"/>
    <w:rsid w:val="7BB943DD"/>
    <w:rsid w:val="7BCD2882"/>
    <w:rsid w:val="7D60E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A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74"/>
    <w:pPr>
      <w:suppressAutoHyphens/>
      <w:spacing w:line="240" w:lineRule="auto"/>
    </w:pPr>
    <w:rPr>
      <w:lang w:val="en-AU" w:eastAsia="en-GB"/>
    </w:rPr>
  </w:style>
  <w:style w:type="paragraph" w:styleId="Heading1">
    <w:name w:val="heading 1"/>
    <w:basedOn w:val="Caption"/>
    <w:next w:val="Normal"/>
    <w:link w:val="Heading1Char"/>
    <w:uiPriority w:val="9"/>
    <w:qFormat/>
    <w:rsid w:val="007D766C"/>
    <w:pPr>
      <w:jc w:val="center"/>
      <w:outlineLvl w:val="0"/>
    </w:pPr>
    <w:rPr>
      <w:rFonts w:ascii="Aptos Narrow" w:hAnsi="Aptos Narrow"/>
      <w:b/>
      <w:bCs/>
      <w:sz w:val="24"/>
      <w:szCs w:val="24"/>
    </w:rPr>
  </w:style>
  <w:style w:type="paragraph" w:styleId="Heading2">
    <w:name w:val="heading 2"/>
    <w:basedOn w:val="Normal"/>
    <w:next w:val="Normal"/>
    <w:link w:val="Heading2Char"/>
    <w:uiPriority w:val="9"/>
    <w:unhideWhenUsed/>
    <w:qFormat/>
    <w:rsid w:val="007D766C"/>
    <w:pPr>
      <w:outlineLvl w:val="1"/>
    </w:pPr>
    <w:rPr>
      <w:b/>
      <w:bCs/>
      <w:color w:val="156082" w:themeColor="accent1"/>
    </w:rPr>
  </w:style>
  <w:style w:type="paragraph" w:styleId="Heading3">
    <w:name w:val="heading 3"/>
    <w:basedOn w:val="Normal"/>
    <w:next w:val="Normal"/>
    <w:link w:val="Heading3Char"/>
    <w:unhideWhenUsed/>
    <w:qFormat/>
    <w:rsid w:val="0099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6C"/>
    <w:rPr>
      <w:rFonts w:ascii="Aptos Narrow" w:hAnsi="Aptos Narrow"/>
      <w:b/>
      <w:bCs/>
      <w:iCs/>
      <w:color w:val="000000" w:themeColor="text1"/>
      <w:lang w:val="en-AU" w:eastAsia="en-GB"/>
    </w:rPr>
  </w:style>
  <w:style w:type="character" w:customStyle="1" w:styleId="Heading2Char">
    <w:name w:val="Heading 2 Char"/>
    <w:basedOn w:val="DefaultParagraphFont"/>
    <w:link w:val="Heading2"/>
    <w:uiPriority w:val="9"/>
    <w:rsid w:val="007D766C"/>
    <w:rPr>
      <w:b/>
      <w:bCs/>
      <w:color w:val="156082" w:themeColor="accent1"/>
      <w:lang w:val="en-AU" w:eastAsia="en-GB"/>
    </w:rPr>
  </w:style>
  <w:style w:type="character" w:customStyle="1" w:styleId="Heading3Char">
    <w:name w:val="Heading 3 Char"/>
    <w:basedOn w:val="DefaultParagraphFont"/>
    <w:link w:val="Heading3"/>
    <w:rsid w:val="0099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574"/>
    <w:rPr>
      <w:rFonts w:eastAsiaTheme="majorEastAsia" w:cstheme="majorBidi"/>
      <w:color w:val="272727" w:themeColor="text1" w:themeTint="D8"/>
    </w:rPr>
  </w:style>
  <w:style w:type="paragraph" w:styleId="Title">
    <w:name w:val="Title"/>
    <w:basedOn w:val="Normal"/>
    <w:next w:val="Normal"/>
    <w:link w:val="TitleChar"/>
    <w:uiPriority w:val="10"/>
    <w:qFormat/>
    <w:rsid w:val="009965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574"/>
    <w:pPr>
      <w:spacing w:before="160"/>
      <w:jc w:val="center"/>
    </w:pPr>
    <w:rPr>
      <w:i/>
      <w:iCs/>
      <w:color w:val="404040" w:themeColor="text1" w:themeTint="BF"/>
    </w:rPr>
  </w:style>
  <w:style w:type="character" w:customStyle="1" w:styleId="QuoteChar">
    <w:name w:val="Quote Char"/>
    <w:basedOn w:val="DefaultParagraphFont"/>
    <w:link w:val="Quote"/>
    <w:uiPriority w:val="29"/>
    <w:rsid w:val="00996574"/>
    <w:rPr>
      <w:i/>
      <w:iCs/>
      <w:color w:val="404040" w:themeColor="text1" w:themeTint="BF"/>
    </w:rPr>
  </w:style>
  <w:style w:type="paragraph" w:styleId="ListParagraph">
    <w:name w:val="List Paragraph"/>
    <w:basedOn w:val="Normal"/>
    <w:uiPriority w:val="34"/>
    <w:qFormat/>
    <w:rsid w:val="00996574"/>
    <w:pPr>
      <w:ind w:left="720"/>
      <w:contextualSpacing/>
    </w:pPr>
  </w:style>
  <w:style w:type="character" w:styleId="IntenseEmphasis">
    <w:name w:val="Intense Emphasis"/>
    <w:basedOn w:val="DefaultParagraphFont"/>
    <w:uiPriority w:val="21"/>
    <w:qFormat/>
    <w:rsid w:val="00996574"/>
    <w:rPr>
      <w:i/>
      <w:iCs/>
      <w:color w:val="0F4761" w:themeColor="accent1" w:themeShade="BF"/>
    </w:rPr>
  </w:style>
  <w:style w:type="paragraph" w:styleId="IntenseQuote">
    <w:name w:val="Intense Quote"/>
    <w:basedOn w:val="Normal"/>
    <w:next w:val="Normal"/>
    <w:link w:val="IntenseQuoteChar"/>
    <w:uiPriority w:val="30"/>
    <w:qFormat/>
    <w:rsid w:val="0099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574"/>
    <w:rPr>
      <w:i/>
      <w:iCs/>
      <w:color w:val="0F4761" w:themeColor="accent1" w:themeShade="BF"/>
    </w:rPr>
  </w:style>
  <w:style w:type="character" w:styleId="IntenseReference">
    <w:name w:val="Intense Reference"/>
    <w:basedOn w:val="DefaultParagraphFont"/>
    <w:uiPriority w:val="32"/>
    <w:qFormat/>
    <w:rsid w:val="00996574"/>
    <w:rPr>
      <w:b/>
      <w:bCs/>
      <w:smallCaps/>
      <w:color w:val="0F4761" w:themeColor="accent1" w:themeShade="BF"/>
      <w:spacing w:val="5"/>
    </w:rPr>
  </w:style>
  <w:style w:type="paragraph" w:styleId="Caption">
    <w:name w:val="caption"/>
    <w:basedOn w:val="Normal"/>
    <w:next w:val="Normal"/>
    <w:uiPriority w:val="35"/>
    <w:unhideWhenUsed/>
    <w:qFormat/>
    <w:rsid w:val="00996574"/>
    <w:pPr>
      <w:keepNext/>
      <w:spacing w:before="240" w:after="120"/>
    </w:pPr>
    <w:rPr>
      <w:rFonts w:ascii="Aptos SemiBold" w:hAnsi="Aptos SemiBold"/>
      <w:iCs/>
      <w:color w:val="000000" w:themeColor="text1"/>
      <w:sz w:val="20"/>
      <w:szCs w:val="20"/>
    </w:rPr>
  </w:style>
  <w:style w:type="paragraph" w:customStyle="1" w:styleId="Tabletext">
    <w:name w:val="Table text"/>
    <w:basedOn w:val="Normal"/>
    <w:qFormat/>
    <w:rsid w:val="00996574"/>
    <w:pPr>
      <w:spacing w:before="40" w:after="40"/>
    </w:pPr>
    <w:rPr>
      <w:sz w:val="20"/>
      <w:szCs w:val="20"/>
    </w:rPr>
  </w:style>
  <w:style w:type="table" w:customStyle="1" w:styleId="SustineoTables">
    <w:name w:val="SustineoTables"/>
    <w:basedOn w:val="TableNormal"/>
    <w:uiPriority w:val="99"/>
    <w:rsid w:val="00996574"/>
    <w:pPr>
      <w:suppressAutoHyphens/>
      <w:spacing w:after="0" w:line="240" w:lineRule="auto"/>
    </w:pPr>
    <w:rPr>
      <w:rFonts w:cs="Times New Roman (Body CS)"/>
      <w:sz w:val="20"/>
      <w:lang w:val="en-AU" w:eastAsia="en-GB"/>
    </w:rPr>
    <w:tblPr>
      <w:tblStyleRowBandSize w:val="1"/>
      <w:tblBorders>
        <w:top w:val="single" w:sz="4" w:space="0" w:color="E97132" w:themeColor="accent2"/>
        <w:bottom w:val="single" w:sz="4" w:space="0" w:color="E97132" w:themeColor="accent2"/>
        <w:insideH w:val="single" w:sz="4" w:space="0" w:color="E97132" w:themeColor="accent2"/>
      </w:tblBorders>
    </w:tblPr>
    <w:tcPr>
      <w:shd w:val="clear" w:color="auto" w:fill="auto"/>
    </w:tcPr>
    <w:tblStylePr w:type="firstRow">
      <w:pPr>
        <w:jc w:val="left"/>
      </w:pPr>
      <w:rPr>
        <w:b/>
      </w:rPr>
      <w:tblPr/>
      <w:trPr>
        <w:cantSplit/>
        <w:tblHeader/>
      </w:trPr>
      <w:tcPr>
        <w:tcBorders>
          <w:top w:val="single" w:sz="4" w:space="0" w:color="E97132" w:themeColor="accent2"/>
          <w:left w:val="nil"/>
          <w:bottom w:val="single" w:sz="12" w:space="0" w:color="E97132" w:themeColor="accent2"/>
          <w:right w:val="nil"/>
          <w:insideH w:val="nil"/>
        </w:tcBorders>
        <w:vAlign w:val="bottom"/>
      </w:tcPr>
    </w:tblStylePr>
    <w:tblStylePr w:type="lastRow">
      <w:rPr>
        <w:b/>
      </w:rPr>
      <w:tblPr/>
      <w:tcPr>
        <w:tcBorders>
          <w:top w:val="double" w:sz="4" w:space="0" w:color="E97132" w:themeColor="accent2"/>
          <w:bottom w:val="single" w:sz="4" w:space="0" w:color="E97132" w:themeColor="accent2"/>
        </w:tcBorders>
        <w:shd w:val="clear" w:color="auto" w:fill="auto"/>
      </w:tcPr>
    </w:tblStylePr>
    <w:tblStylePr w:type="firstCol">
      <w:rPr>
        <w:b/>
      </w:rPr>
    </w:tblStylePr>
    <w:tblStylePr w:type="lastCol">
      <w:rPr>
        <w:b/>
      </w:r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F63B5B"/>
    <w:rPr>
      <w:sz w:val="16"/>
      <w:szCs w:val="16"/>
    </w:rPr>
  </w:style>
  <w:style w:type="paragraph" w:styleId="CommentText">
    <w:name w:val="annotation text"/>
    <w:basedOn w:val="Normal"/>
    <w:link w:val="CommentTextChar"/>
    <w:uiPriority w:val="99"/>
    <w:unhideWhenUsed/>
    <w:rsid w:val="00F63B5B"/>
    <w:rPr>
      <w:sz w:val="20"/>
      <w:szCs w:val="20"/>
    </w:rPr>
  </w:style>
  <w:style w:type="character" w:customStyle="1" w:styleId="CommentTextChar">
    <w:name w:val="Comment Text Char"/>
    <w:basedOn w:val="DefaultParagraphFont"/>
    <w:link w:val="CommentText"/>
    <w:uiPriority w:val="99"/>
    <w:rsid w:val="00F63B5B"/>
    <w:rPr>
      <w:sz w:val="20"/>
      <w:szCs w:val="20"/>
      <w:lang w:val="en-AU" w:eastAsia="en-GB"/>
    </w:rPr>
  </w:style>
  <w:style w:type="paragraph" w:styleId="CommentSubject">
    <w:name w:val="annotation subject"/>
    <w:basedOn w:val="CommentText"/>
    <w:next w:val="CommentText"/>
    <w:link w:val="CommentSubjectChar"/>
    <w:uiPriority w:val="99"/>
    <w:semiHidden/>
    <w:unhideWhenUsed/>
    <w:rsid w:val="00F63B5B"/>
    <w:rPr>
      <w:b/>
      <w:bCs/>
    </w:rPr>
  </w:style>
  <w:style w:type="character" w:customStyle="1" w:styleId="CommentSubjectChar">
    <w:name w:val="Comment Subject Char"/>
    <w:basedOn w:val="CommentTextChar"/>
    <w:link w:val="CommentSubject"/>
    <w:uiPriority w:val="99"/>
    <w:semiHidden/>
    <w:rsid w:val="00F63B5B"/>
    <w:rPr>
      <w:b/>
      <w:bCs/>
      <w:sz w:val="20"/>
      <w:szCs w:val="20"/>
      <w:lang w:val="en-AU" w:eastAsia="en-GB"/>
    </w:rPr>
  </w:style>
  <w:style w:type="paragraph" w:styleId="Header">
    <w:name w:val="header"/>
    <w:basedOn w:val="Normal"/>
    <w:link w:val="HeaderChar"/>
    <w:uiPriority w:val="99"/>
    <w:unhideWhenUsed/>
    <w:rsid w:val="001A42D8"/>
    <w:pPr>
      <w:tabs>
        <w:tab w:val="center" w:pos="4680"/>
        <w:tab w:val="right" w:pos="9360"/>
      </w:tabs>
      <w:spacing w:after="0"/>
    </w:pPr>
  </w:style>
  <w:style w:type="character" w:customStyle="1" w:styleId="HeaderChar">
    <w:name w:val="Header Char"/>
    <w:basedOn w:val="DefaultParagraphFont"/>
    <w:link w:val="Header"/>
    <w:uiPriority w:val="99"/>
    <w:rsid w:val="001A42D8"/>
    <w:rPr>
      <w:lang w:val="en-AU" w:eastAsia="en-GB"/>
    </w:rPr>
  </w:style>
  <w:style w:type="paragraph" w:styleId="Footer">
    <w:name w:val="footer"/>
    <w:basedOn w:val="Normal"/>
    <w:link w:val="FooterChar"/>
    <w:uiPriority w:val="99"/>
    <w:unhideWhenUsed/>
    <w:rsid w:val="001A42D8"/>
    <w:pPr>
      <w:tabs>
        <w:tab w:val="center" w:pos="4680"/>
        <w:tab w:val="right" w:pos="9360"/>
      </w:tabs>
      <w:spacing w:after="0"/>
    </w:pPr>
  </w:style>
  <w:style w:type="character" w:customStyle="1" w:styleId="FooterChar">
    <w:name w:val="Footer Char"/>
    <w:basedOn w:val="DefaultParagraphFont"/>
    <w:link w:val="Footer"/>
    <w:uiPriority w:val="99"/>
    <w:rsid w:val="001A42D8"/>
    <w:rPr>
      <w:lang w:val="en-AU" w:eastAsia="en-GB"/>
    </w:rPr>
  </w:style>
  <w:style w:type="paragraph" w:styleId="Revision">
    <w:name w:val="Revision"/>
    <w:hidden/>
    <w:uiPriority w:val="99"/>
    <w:semiHidden/>
    <w:rsid w:val="00454BB1"/>
    <w:pPr>
      <w:spacing w:after="0" w:line="240" w:lineRule="auto"/>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3AED-4E8D-4F58-9166-B86BE68F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11955</Characters>
  <Application>Microsoft Office Word</Application>
  <DocSecurity>0</DocSecurity>
  <Lines>413</Lines>
  <Paragraphs>159</Paragraphs>
  <ScaleCrop>false</ScaleCrop>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Australia Awards in Indonesia (AAI) Program Mid-Term Review - Management Response</dc:title>
  <dc:subject/>
  <dc:creator/>
  <cp:keywords>[SEC=OFFICIAL:Sensitive]</cp:keywords>
  <dc:description/>
  <cp:lastModifiedBy/>
  <cp:revision>1</cp:revision>
  <dcterms:created xsi:type="dcterms:W3CDTF">2025-09-03T01:14:00Z</dcterms:created>
  <dcterms:modified xsi:type="dcterms:W3CDTF">2025-09-03T01:15:00Z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v=2022.1;a=SHA256;h=C9D39B7893F730E3A02EF0BD76073CDF5EE5A6714439B3B24425AC5FB78DD944</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2025-05-29T04:27:21Z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 Sensitive</vt:lpwstr>
  </property>
  <property fmtid="{D5CDD505-2E9C-101B-9397-08002B2CF9AE}" pid="14" name="PM_Originating_FileId">
    <vt:lpwstr>C8FE4F5AB8164E568E5CE5917DBDCCF7</vt:lpwstr>
  </property>
  <property fmtid="{D5CDD505-2E9C-101B-9397-08002B2CF9AE}" pid="15" name="PM_ProtectiveMarkingValue_Footer">
    <vt:lpwstr>OFFICIAL: Sensitive</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 Sensitive</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3398C8961AB50612AB98A00430320933</vt:lpwstr>
  </property>
  <property fmtid="{D5CDD505-2E9C-101B-9397-08002B2CF9AE}" pid="24" name="PM_Hash_Salt">
    <vt:lpwstr>4512E5EA35FE847331788E729B7E88C0</vt:lpwstr>
  </property>
  <property fmtid="{D5CDD505-2E9C-101B-9397-08002B2CF9AE}" pid="25" name="PM_Hash_SHA1">
    <vt:lpwstr>CF734288F5CD9285023386FDCC8EC7B7715F5A2B</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