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B5AE6" w14:textId="2BD44A63" w:rsidR="00EC3E82" w:rsidRDefault="00813327" w:rsidP="002E75B9">
      <w:pPr>
        <w:pStyle w:val="Heading1"/>
        <w:rPr>
          <w:szCs w:val="56"/>
        </w:rPr>
      </w:pPr>
      <w:r>
        <w:rPr>
          <w:szCs w:val="56"/>
        </w:rPr>
        <w:t>Indonesia</w:t>
      </w:r>
    </w:p>
    <w:p w14:paraId="6AE2DCBF" w14:textId="77777777" w:rsidR="002E75B9" w:rsidRDefault="002E75B9" w:rsidP="002E75B9">
      <w:pPr>
        <w:pStyle w:val="BodyText"/>
      </w:pPr>
    </w:p>
    <w:p w14:paraId="16D7374F" w14:textId="77777777" w:rsidR="00D15631" w:rsidRDefault="00D15631" w:rsidP="00D15631">
      <w:pPr>
        <w:pStyle w:val="Heading2"/>
      </w:pPr>
      <w:r w:rsidRPr="00B32B89">
        <w:rPr>
          <w:color w:val="00759A" w:themeColor="accent1"/>
        </w:rPr>
        <w:t>Applying for</w:t>
      </w:r>
      <w:r w:rsidRPr="009F7BD2">
        <w:rPr>
          <w:color w:val="00759A"/>
        </w:rPr>
        <w:t xml:space="preserve"> an Australia </w:t>
      </w:r>
      <w:r w:rsidRPr="00B32B89">
        <w:rPr>
          <w:color w:val="00759A" w:themeColor="accent1"/>
        </w:rPr>
        <w:t>Awards scholarship</w:t>
      </w:r>
    </w:p>
    <w:p w14:paraId="0DAF818D" w14:textId="275B0BDD" w:rsidR="002E75B9" w:rsidRPr="002E75B9" w:rsidRDefault="002E75B9" w:rsidP="002E75B9">
      <w:pPr>
        <w:pStyle w:val="BodyText"/>
        <w:sectPr w:rsidR="002E75B9" w:rsidRPr="002E75B9" w:rsidSect="00EC3E82">
          <w:footerReference w:type="default" r:id="rId12"/>
          <w:headerReference w:type="first" r:id="rId13"/>
          <w:footerReference w:type="first" r:id="rId14"/>
          <w:type w:val="continuous"/>
          <w:pgSz w:w="11906" w:h="16838" w:code="9"/>
          <w:pgMar w:top="567" w:right="567" w:bottom="567" w:left="567" w:header="567" w:footer="567" w:gutter="0"/>
          <w:cols w:space="227"/>
          <w:titlePg/>
          <w:docGrid w:linePitch="360"/>
        </w:sectPr>
      </w:pPr>
    </w:p>
    <w:p w14:paraId="2109AA22" w14:textId="6AE8F8FB" w:rsidR="00EE3B50" w:rsidRPr="00DD7A27" w:rsidRDefault="00EE3B50" w:rsidP="00C02C5D">
      <w:pPr>
        <w:pStyle w:val="Heading3"/>
        <w:spacing w:before="0"/>
        <w:rPr>
          <w:color w:val="002060"/>
          <w:sz w:val="21"/>
          <w:szCs w:val="21"/>
        </w:rPr>
      </w:pPr>
      <w:r w:rsidRPr="00DD7A27">
        <w:rPr>
          <w:color w:val="002060"/>
          <w:sz w:val="21"/>
          <w:szCs w:val="21"/>
        </w:rPr>
        <w:t>Australia Awards</w:t>
      </w:r>
      <w:r w:rsidR="00D77DD6" w:rsidRPr="00DD7A27">
        <w:rPr>
          <w:color w:val="002060"/>
          <w:sz w:val="21"/>
          <w:szCs w:val="21"/>
        </w:rPr>
        <w:t xml:space="preserve"> </w:t>
      </w:r>
      <w:r w:rsidR="006F7A86">
        <w:rPr>
          <w:color w:val="002060"/>
          <w:sz w:val="21"/>
          <w:szCs w:val="21"/>
        </w:rPr>
        <w:t>s</w:t>
      </w:r>
      <w:r w:rsidR="00D77DD6" w:rsidRPr="00DD7A27">
        <w:rPr>
          <w:color w:val="002060"/>
          <w:sz w:val="21"/>
          <w:szCs w:val="21"/>
        </w:rPr>
        <w:t xml:space="preserve">cholarships </w:t>
      </w:r>
      <w:r w:rsidRPr="00DD7A27">
        <w:rPr>
          <w:color w:val="002060"/>
          <w:sz w:val="21"/>
          <w:szCs w:val="21"/>
        </w:rPr>
        <w:t xml:space="preserve">in </w:t>
      </w:r>
      <w:r w:rsidR="00813327">
        <w:rPr>
          <w:color w:val="002060"/>
          <w:sz w:val="21"/>
          <w:szCs w:val="21"/>
        </w:rPr>
        <w:t>Indonesia</w:t>
      </w:r>
    </w:p>
    <w:p w14:paraId="4F3E9EF3" w14:textId="735FFBB8" w:rsidR="00864F2F" w:rsidRPr="00DA2C34" w:rsidRDefault="000A48E5" w:rsidP="00864F2F">
      <w:pPr>
        <w:pStyle w:val="Heading3"/>
        <w:spacing w:before="120" w:after="120"/>
        <w:rPr>
          <w:b w:val="0"/>
          <w:bCs w:val="0"/>
          <w:color w:val="000000" w:themeColor="text1"/>
          <w:kern w:val="28"/>
          <w:szCs w:val="52"/>
          <w:lang w:eastAsia="en-AU"/>
        </w:rPr>
      </w:pPr>
      <w:r w:rsidRPr="000A48E5">
        <w:rPr>
          <w:lang w:eastAsia="en-AU"/>
        </w:rPr>
        <w:t xml:space="preserve">Australia’s international development assistance in </w:t>
      </w:r>
      <w:r w:rsidR="00813327">
        <w:rPr>
          <w:lang w:eastAsia="en-AU"/>
        </w:rPr>
        <w:t>Indonesia</w:t>
      </w:r>
      <w:r w:rsidR="00F24444">
        <w:rPr>
          <w:lang w:eastAsia="en-AU"/>
        </w:rPr>
        <w:t xml:space="preserve"> </w:t>
      </w:r>
      <w:r w:rsidR="00864F2F" w:rsidRPr="00DA2C34">
        <w:rPr>
          <w:b w:val="0"/>
          <w:bCs w:val="0"/>
          <w:color w:val="000000" w:themeColor="text1"/>
          <w:kern w:val="28"/>
          <w:szCs w:val="52"/>
          <w:lang w:eastAsia="en-AU"/>
        </w:rPr>
        <w:t xml:space="preserve">helps promote prosperity, reduce poverty, and enhance political stability. </w:t>
      </w:r>
    </w:p>
    <w:p w14:paraId="00677277" w14:textId="521909A6" w:rsidR="00D77DD6" w:rsidRPr="00DA2C34" w:rsidRDefault="00C508CF" w:rsidP="002E75B9">
      <w:pPr>
        <w:pStyle w:val="BodyCopy"/>
        <w:rPr>
          <w:b/>
          <w:bCs/>
          <w:lang w:eastAsia="en-AU"/>
        </w:rPr>
      </w:pPr>
      <w:r w:rsidRPr="00886AA7">
        <w:rPr>
          <w:lang w:eastAsia="en-AU"/>
        </w:rPr>
        <w:t xml:space="preserve">Australia Awards scholarships are prestigious international awards offered by the Australian Government to the next generation of global leaders </w:t>
      </w:r>
      <w:r>
        <w:rPr>
          <w:lang w:eastAsia="en-AU"/>
        </w:rPr>
        <w:t>in developing countries</w:t>
      </w:r>
      <w:r w:rsidR="00D77DD6" w:rsidRPr="00DA2C34">
        <w:rPr>
          <w:lang w:eastAsia="en-AU"/>
        </w:rPr>
        <w:t xml:space="preserve">. </w:t>
      </w:r>
      <w:r w:rsidR="005924C5" w:rsidRPr="00DA2C34">
        <w:rPr>
          <w:lang w:eastAsia="en-AU"/>
        </w:rPr>
        <w:t xml:space="preserve">Through study and research, recipients develop the skills and knowledge to drive change and </w:t>
      </w:r>
      <w:r w:rsidR="00BD2B7A" w:rsidRPr="00DA2C34">
        <w:rPr>
          <w:lang w:eastAsia="en-AU"/>
        </w:rPr>
        <w:t xml:space="preserve">help </w:t>
      </w:r>
      <w:r w:rsidR="00D77DD6" w:rsidRPr="00DA2C34">
        <w:rPr>
          <w:lang w:eastAsia="en-AU"/>
        </w:rPr>
        <w:t xml:space="preserve">build enduring people-to-people links </w:t>
      </w:r>
      <w:r w:rsidR="005924C5" w:rsidRPr="00DA2C34">
        <w:rPr>
          <w:lang w:eastAsia="en-AU"/>
        </w:rPr>
        <w:t xml:space="preserve">with </w:t>
      </w:r>
      <w:r w:rsidR="00D77DD6" w:rsidRPr="00DA2C34">
        <w:rPr>
          <w:lang w:eastAsia="en-AU"/>
        </w:rPr>
        <w:t xml:space="preserve">Australia. </w:t>
      </w:r>
    </w:p>
    <w:p w14:paraId="1B9EE79F" w14:textId="5C50B4F2" w:rsidR="005924C5" w:rsidRPr="00DA2C34" w:rsidRDefault="00A04DEB" w:rsidP="002E75B9">
      <w:pPr>
        <w:pStyle w:val="BodyCopy"/>
        <w:rPr>
          <w:b/>
          <w:bCs/>
          <w:lang w:eastAsia="en-AU"/>
        </w:rPr>
      </w:pPr>
      <w:r w:rsidRPr="00DA2C34">
        <w:rPr>
          <w:lang w:eastAsia="en-AU"/>
        </w:rPr>
        <w:t xml:space="preserve">Applicants </w:t>
      </w:r>
      <w:r w:rsidR="00C4357C">
        <w:rPr>
          <w:lang w:eastAsia="en-AU"/>
        </w:rPr>
        <w:t>are</w:t>
      </w:r>
      <w:r w:rsidR="00AF1603" w:rsidRPr="00DA2C34">
        <w:rPr>
          <w:lang w:eastAsia="en-AU"/>
        </w:rPr>
        <w:t xml:space="preserve"> </w:t>
      </w:r>
      <w:r w:rsidR="00C83D13" w:rsidRPr="00DA2C34">
        <w:rPr>
          <w:lang w:eastAsia="en-AU"/>
        </w:rPr>
        <w:t>assess</w:t>
      </w:r>
      <w:r w:rsidRPr="00DA2C34">
        <w:rPr>
          <w:lang w:eastAsia="en-AU"/>
        </w:rPr>
        <w:t>ed</w:t>
      </w:r>
      <w:r w:rsidR="00C83D13" w:rsidRPr="00DA2C34">
        <w:rPr>
          <w:lang w:eastAsia="en-AU"/>
        </w:rPr>
        <w:t xml:space="preserve"> </w:t>
      </w:r>
      <w:r w:rsidR="00C4357C">
        <w:rPr>
          <w:lang w:eastAsia="en-AU"/>
        </w:rPr>
        <w:t>on</w:t>
      </w:r>
      <w:r w:rsidR="00C4357C" w:rsidRPr="00DA2C34">
        <w:rPr>
          <w:lang w:eastAsia="en-AU"/>
        </w:rPr>
        <w:t xml:space="preserve"> </w:t>
      </w:r>
      <w:r w:rsidR="00C83D13" w:rsidRPr="00DA2C34">
        <w:rPr>
          <w:lang w:eastAsia="en-AU"/>
        </w:rPr>
        <w:t xml:space="preserve">their professional and personal qualities, academic competence and, most importantly, their potential to impact on development challenges in </w:t>
      </w:r>
      <w:r w:rsidR="00406203">
        <w:rPr>
          <w:lang w:eastAsia="en-AU"/>
        </w:rPr>
        <w:t>eligible countries</w:t>
      </w:r>
      <w:r w:rsidR="00AF1603" w:rsidRPr="00DA2C34">
        <w:rPr>
          <w:lang w:eastAsia="en-AU"/>
        </w:rPr>
        <w:t>.</w:t>
      </w:r>
    </w:p>
    <w:p w14:paraId="3A286E91" w14:textId="138B5762" w:rsidR="00186C7A" w:rsidRPr="00DA2C34" w:rsidRDefault="00A04DEB" w:rsidP="002E75B9">
      <w:pPr>
        <w:pStyle w:val="BodyCopy"/>
        <w:rPr>
          <w:b/>
          <w:bCs/>
          <w:lang w:eastAsia="en-AU"/>
        </w:rPr>
      </w:pPr>
      <w:r w:rsidRPr="00DA2C34">
        <w:rPr>
          <w:lang w:eastAsia="en-AU"/>
        </w:rPr>
        <w:t>A</w:t>
      </w:r>
      <w:r w:rsidR="005924C5" w:rsidRPr="00DA2C34">
        <w:rPr>
          <w:lang w:eastAsia="en-AU"/>
        </w:rPr>
        <w:t xml:space="preserve">pplications </w:t>
      </w:r>
      <w:r w:rsidRPr="00DA2C34">
        <w:rPr>
          <w:lang w:eastAsia="en-AU"/>
        </w:rPr>
        <w:t>are strongly encourage</w:t>
      </w:r>
      <w:r w:rsidR="00630E03" w:rsidRPr="00DA2C34">
        <w:rPr>
          <w:lang w:eastAsia="en-AU"/>
        </w:rPr>
        <w:t>d</w:t>
      </w:r>
      <w:r w:rsidRPr="00DA2C34">
        <w:rPr>
          <w:lang w:eastAsia="en-AU"/>
        </w:rPr>
        <w:t xml:space="preserve"> </w:t>
      </w:r>
      <w:r w:rsidR="005924C5" w:rsidRPr="00DA2C34">
        <w:rPr>
          <w:lang w:eastAsia="en-AU"/>
        </w:rPr>
        <w:t>from women, people with disability and</w:t>
      </w:r>
      <w:r w:rsidR="00333FE6">
        <w:rPr>
          <w:lang w:eastAsia="en-AU"/>
        </w:rPr>
        <w:t xml:space="preserve"> </w:t>
      </w:r>
      <w:r w:rsidR="00AF1603" w:rsidRPr="00DA2C34">
        <w:rPr>
          <w:lang w:eastAsia="en-AU"/>
        </w:rPr>
        <w:t>other marginalised groups.</w:t>
      </w:r>
    </w:p>
    <w:p w14:paraId="3C26948E" w14:textId="74BCCAE6" w:rsidR="00483B9C" w:rsidRPr="00DD7A27" w:rsidRDefault="00EE3B50" w:rsidP="0005326E">
      <w:pPr>
        <w:pStyle w:val="Heading3"/>
        <w:rPr>
          <w:color w:val="002060"/>
          <w:sz w:val="21"/>
          <w:szCs w:val="21"/>
        </w:rPr>
      </w:pPr>
      <w:r w:rsidRPr="00DD7A27">
        <w:rPr>
          <w:color w:val="002060"/>
          <w:sz w:val="21"/>
          <w:szCs w:val="21"/>
        </w:rPr>
        <w:t xml:space="preserve">Priority </w:t>
      </w:r>
      <w:r w:rsidR="00A41FE6">
        <w:rPr>
          <w:color w:val="002060"/>
          <w:sz w:val="21"/>
          <w:szCs w:val="21"/>
        </w:rPr>
        <w:t>fields of study</w:t>
      </w:r>
    </w:p>
    <w:p w14:paraId="2CC8FD22" w14:textId="3F3A02EF" w:rsidR="00D53C3E" w:rsidRDefault="00D53C3E" w:rsidP="00174CF2">
      <w:pPr>
        <w:pStyle w:val="BodyCopy"/>
        <w:spacing w:before="120" w:after="120"/>
        <w:rPr>
          <w:lang w:eastAsia="en-AU"/>
        </w:rPr>
      </w:pPr>
      <w:r w:rsidRPr="00F32256">
        <w:rPr>
          <w:lang w:eastAsia="en-AU"/>
        </w:rPr>
        <w:t xml:space="preserve">The priority </w:t>
      </w:r>
      <w:r w:rsidR="006F40C1">
        <w:rPr>
          <w:lang w:eastAsia="en-AU"/>
        </w:rPr>
        <w:t xml:space="preserve">fields of study </w:t>
      </w:r>
      <w:r w:rsidRPr="00F32256">
        <w:rPr>
          <w:lang w:eastAsia="en-AU"/>
        </w:rPr>
        <w:t>align with the objectives of the Australia-Indonesia Development Partnership Plan 2024-2028. Australia Awards prioritises applicants seek</w:t>
      </w:r>
      <w:r>
        <w:rPr>
          <w:lang w:eastAsia="en-AU"/>
        </w:rPr>
        <w:t>ing</w:t>
      </w:r>
      <w:r w:rsidRPr="00F32256">
        <w:rPr>
          <w:lang w:eastAsia="en-AU"/>
        </w:rPr>
        <w:t xml:space="preserve"> to undertake studies that contribute to the following objectives of the Plan</w:t>
      </w:r>
      <w:r w:rsidR="00401544">
        <w:rPr>
          <w:lang w:eastAsia="en-AU"/>
        </w:rPr>
        <w:t>:</w:t>
      </w:r>
    </w:p>
    <w:p w14:paraId="4E8EABC7" w14:textId="77777777" w:rsidR="00187056" w:rsidRDefault="00187056" w:rsidP="00554B85">
      <w:pPr>
        <w:pStyle w:val="BodyCopy"/>
        <w:numPr>
          <w:ilvl w:val="0"/>
          <w:numId w:val="27"/>
        </w:numPr>
        <w:spacing w:before="120" w:after="120"/>
        <w:rPr>
          <w:lang w:eastAsia="en-AU"/>
        </w:rPr>
      </w:pPr>
      <w:r>
        <w:rPr>
          <w:lang w:eastAsia="en-AU"/>
        </w:rPr>
        <w:t>Equitable and sustainable economic transformation</w:t>
      </w:r>
    </w:p>
    <w:p w14:paraId="5260C583" w14:textId="4592A47A" w:rsidR="00187056" w:rsidRDefault="00187056" w:rsidP="00554B85">
      <w:pPr>
        <w:pStyle w:val="BodyCopy"/>
        <w:numPr>
          <w:ilvl w:val="0"/>
          <w:numId w:val="27"/>
        </w:numPr>
        <w:spacing w:before="120" w:after="120"/>
        <w:rPr>
          <w:lang w:eastAsia="en-AU"/>
        </w:rPr>
      </w:pPr>
      <w:r>
        <w:rPr>
          <w:lang w:eastAsia="en-AU"/>
        </w:rPr>
        <w:t>Climate resilient communities</w:t>
      </w:r>
    </w:p>
    <w:p w14:paraId="0D15C8C5" w14:textId="7DAE49E4" w:rsidR="00F865E6" w:rsidRDefault="00187056" w:rsidP="00554B85">
      <w:pPr>
        <w:pStyle w:val="Bullet"/>
        <w:numPr>
          <w:ilvl w:val="0"/>
          <w:numId w:val="27"/>
        </w:numPr>
        <w:rPr>
          <w:lang w:eastAsia="en-AU"/>
        </w:rPr>
      </w:pPr>
      <w:r>
        <w:rPr>
          <w:lang w:eastAsia="en-AU"/>
        </w:rPr>
        <w:t>Strong institutions</w:t>
      </w:r>
      <w:r w:rsidDel="00187056">
        <w:rPr>
          <w:lang w:eastAsia="en-AU"/>
        </w:rPr>
        <w:t xml:space="preserve"> </w:t>
      </w:r>
    </w:p>
    <w:p w14:paraId="17C3EAA3" w14:textId="4A75AC0F" w:rsidR="00F865E6" w:rsidRPr="003C15F0" w:rsidRDefault="00F865E6" w:rsidP="00F865E6">
      <w:pPr>
        <w:pStyle w:val="Bullet"/>
        <w:numPr>
          <w:ilvl w:val="0"/>
          <w:numId w:val="0"/>
        </w:numPr>
        <w:spacing w:before="0" w:after="0"/>
        <w:rPr>
          <w:rFonts w:eastAsiaTheme="minorHAnsi"/>
          <w:color w:val="002060"/>
        </w:rPr>
      </w:pPr>
      <w:r w:rsidRPr="00DA2C34">
        <w:rPr>
          <w:rFonts w:eastAsiaTheme="minorHAnsi"/>
        </w:rPr>
        <w:t>The governmen</w:t>
      </w:r>
      <w:r>
        <w:rPr>
          <w:rFonts w:eastAsiaTheme="minorHAnsi"/>
        </w:rPr>
        <w:t>ts</w:t>
      </w:r>
      <w:r w:rsidRPr="00DA2C34">
        <w:rPr>
          <w:rFonts w:eastAsiaTheme="minorHAnsi"/>
        </w:rPr>
        <w:t xml:space="preserve"> of Australia and </w:t>
      </w:r>
      <w:r w:rsidR="00187056">
        <w:rPr>
          <w:rFonts w:eastAsiaTheme="minorHAnsi"/>
        </w:rPr>
        <w:t>Indonesia</w:t>
      </w:r>
      <w:r w:rsidRPr="00DA2C34">
        <w:rPr>
          <w:rFonts w:eastAsiaTheme="minorHAnsi"/>
        </w:rPr>
        <w:t xml:space="preserve"> regularly review these areas of study together and adjust the emphasis of the program. Detailed information on priority areas of study can be found at: </w:t>
      </w:r>
      <w:hyperlink r:id="rId15" w:history="1">
        <w:r w:rsidR="00DB70EF" w:rsidRPr="00DB70EF">
          <w:rPr>
            <w:rFonts w:asciiTheme="minorHAnsi" w:eastAsiaTheme="minorHAnsi" w:hAnsiTheme="minorHAnsi" w:cs="Times New Roman"/>
            <w:color w:val="0000FF"/>
            <w:spacing w:val="0"/>
            <w:kern w:val="0"/>
            <w:szCs w:val="20"/>
            <w:u w:val="single"/>
          </w:rPr>
          <w:t>Australia Awards - Indonesia</w:t>
        </w:r>
      </w:hyperlink>
      <w:r w:rsidR="00B54F70">
        <w:rPr>
          <w:rFonts w:eastAsiaTheme="minorHAnsi"/>
        </w:rPr>
        <w:t>.</w:t>
      </w:r>
    </w:p>
    <w:p w14:paraId="668E2A40" w14:textId="3BF04F0F" w:rsidR="00406203" w:rsidRPr="00DA2C34" w:rsidRDefault="00406203" w:rsidP="00F865E6">
      <w:pPr>
        <w:pStyle w:val="Bullet"/>
        <w:numPr>
          <w:ilvl w:val="0"/>
          <w:numId w:val="0"/>
        </w:numPr>
        <w:spacing w:before="0" w:after="0"/>
        <w:rPr>
          <w:lang w:eastAsia="en-AU"/>
        </w:rPr>
      </w:pPr>
      <w:r>
        <w:rPr>
          <w:lang w:eastAsia="en-AU"/>
        </w:rPr>
        <w:t xml:space="preserve"> </w:t>
      </w:r>
    </w:p>
    <w:p w14:paraId="28373BE9" w14:textId="77777777" w:rsidR="00EE3B50" w:rsidRPr="00DD7A27" w:rsidRDefault="0024777B" w:rsidP="00F865E6">
      <w:pPr>
        <w:pStyle w:val="Heading3"/>
        <w:spacing w:before="0"/>
        <w:rPr>
          <w:color w:val="002060"/>
          <w:sz w:val="21"/>
          <w:szCs w:val="21"/>
        </w:rPr>
      </w:pPr>
      <w:r>
        <w:rPr>
          <w:color w:val="002060"/>
          <w:sz w:val="21"/>
          <w:szCs w:val="21"/>
        </w:rPr>
        <w:t xml:space="preserve">Level of </w:t>
      </w:r>
      <w:r w:rsidR="006F7A86">
        <w:rPr>
          <w:color w:val="002060"/>
          <w:sz w:val="21"/>
          <w:szCs w:val="21"/>
        </w:rPr>
        <w:t>s</w:t>
      </w:r>
      <w:r w:rsidR="00EE3B50" w:rsidRPr="00DD7A27">
        <w:rPr>
          <w:color w:val="002060"/>
          <w:sz w:val="21"/>
          <w:szCs w:val="21"/>
        </w:rPr>
        <w:t>tudy</w:t>
      </w:r>
    </w:p>
    <w:p w14:paraId="6A0226AB" w14:textId="7C105853" w:rsidR="00C83D13" w:rsidRPr="00DA2C34" w:rsidRDefault="009E1749" w:rsidP="00F865E6">
      <w:pPr>
        <w:pStyle w:val="BodyCopy"/>
        <w:spacing w:before="0"/>
        <w:rPr>
          <w:b/>
          <w:bCs/>
          <w:iCs/>
        </w:rPr>
      </w:pPr>
      <w:r w:rsidRPr="00DA2C34">
        <w:t xml:space="preserve">Australia Awards </w:t>
      </w:r>
      <w:r w:rsidR="006F7A86">
        <w:t>s</w:t>
      </w:r>
      <w:r w:rsidR="006F42CE" w:rsidRPr="00DA2C34">
        <w:t xml:space="preserve">cholarships </w:t>
      </w:r>
      <w:r w:rsidR="00C83D13" w:rsidRPr="00DA2C34">
        <w:t>provid</w:t>
      </w:r>
      <w:r w:rsidR="00483B9C" w:rsidRPr="00DA2C34">
        <w:t>e</w:t>
      </w:r>
      <w:r w:rsidR="00C83D13" w:rsidRPr="00DA2C34">
        <w:t xml:space="preserve"> citizens of </w:t>
      </w:r>
      <w:r w:rsidR="004E3EF0">
        <w:t>Indonesia</w:t>
      </w:r>
      <w:r w:rsidR="00B62600">
        <w:t xml:space="preserve"> </w:t>
      </w:r>
      <w:r w:rsidR="00C83D13" w:rsidRPr="00DA2C34">
        <w:t>with</w:t>
      </w:r>
      <w:r w:rsidR="00630E03" w:rsidRPr="00DA2C34">
        <w:t xml:space="preserve"> the</w:t>
      </w:r>
      <w:r w:rsidR="00C83D13" w:rsidRPr="00DA2C34">
        <w:t xml:space="preserve"> opportunit</w:t>
      </w:r>
      <w:r w:rsidR="00595C7E" w:rsidRPr="00DA2C34">
        <w:t>y</w:t>
      </w:r>
      <w:r w:rsidR="00483B9C" w:rsidRPr="00DA2C34">
        <w:t xml:space="preserve"> to obtain</w:t>
      </w:r>
      <w:r w:rsidR="00C83D13" w:rsidRPr="00DA2C34">
        <w:t xml:space="preserve"> </w:t>
      </w:r>
      <w:r w:rsidR="003D1CAB" w:rsidRPr="00DA2C34">
        <w:t xml:space="preserve">a </w:t>
      </w:r>
      <w:r w:rsidR="004011A9">
        <w:t>qualification</w:t>
      </w:r>
      <w:r w:rsidR="00F3100F">
        <w:t xml:space="preserve"> </w:t>
      </w:r>
      <w:r w:rsidR="00C83D13" w:rsidRPr="00DA2C34">
        <w:t xml:space="preserve">at </w:t>
      </w:r>
      <w:r w:rsidR="00595C7E" w:rsidRPr="00DA2C34">
        <w:t xml:space="preserve">an </w:t>
      </w:r>
      <w:r w:rsidR="00C83D13" w:rsidRPr="00DA2C34">
        <w:t xml:space="preserve">Australian </w:t>
      </w:r>
      <w:r w:rsidR="00483B9C" w:rsidRPr="00DA2C34">
        <w:t xml:space="preserve">tertiary </w:t>
      </w:r>
      <w:r w:rsidR="00C83D13" w:rsidRPr="00DA2C34">
        <w:t>institution</w:t>
      </w:r>
      <w:r w:rsidR="00494EF0" w:rsidRPr="00DA2C34">
        <w:t>.</w:t>
      </w:r>
    </w:p>
    <w:p w14:paraId="6F9263D5" w14:textId="1A197120" w:rsidR="00AF1603" w:rsidRDefault="00AF1603" w:rsidP="00CC7FC0">
      <w:pPr>
        <w:pStyle w:val="BodyText"/>
      </w:pPr>
      <w:r w:rsidRPr="00DA2C34">
        <w:t xml:space="preserve">Awards will be offered for commencement in </w:t>
      </w:r>
      <w:r w:rsidR="00173B07">
        <w:t>2026</w:t>
      </w:r>
      <w:r w:rsidR="00137C02">
        <w:t xml:space="preserve"> within the following allocations:</w:t>
      </w:r>
    </w:p>
    <w:p w14:paraId="057BE02F" w14:textId="281F830A" w:rsidR="004E3EF0" w:rsidRDefault="004E3EF0" w:rsidP="004E3EF0">
      <w:pPr>
        <w:pStyle w:val="BodyText"/>
        <w:numPr>
          <w:ilvl w:val="0"/>
          <w:numId w:val="29"/>
        </w:numPr>
      </w:pPr>
      <w:r>
        <w:t>Master</w:t>
      </w:r>
      <w:r w:rsidR="001A7046">
        <w:t>’</w:t>
      </w:r>
      <w:r>
        <w:t>s</w:t>
      </w:r>
      <w:r w:rsidR="00FE6A9A">
        <w:t xml:space="preserve"> </w:t>
      </w:r>
      <w:r w:rsidR="007E7E38">
        <w:t>degree</w:t>
      </w:r>
    </w:p>
    <w:p w14:paraId="1368421E" w14:textId="7B150519" w:rsidR="007A3935" w:rsidRPr="00DA2C34" w:rsidRDefault="004E3EF0" w:rsidP="00554B85">
      <w:pPr>
        <w:pStyle w:val="BodyText"/>
        <w:numPr>
          <w:ilvl w:val="0"/>
          <w:numId w:val="29"/>
        </w:numPr>
      </w:pPr>
      <w:r>
        <w:t>PhD</w:t>
      </w:r>
      <w:r w:rsidR="007A3935" w:rsidRPr="00DA2C34">
        <w:t xml:space="preserve"> </w:t>
      </w:r>
    </w:p>
    <w:p w14:paraId="2BAB8A80" w14:textId="77777777" w:rsidR="00D77DD6" w:rsidRPr="00DD7A27" w:rsidRDefault="00A04DEB" w:rsidP="0005326E">
      <w:pPr>
        <w:pStyle w:val="Heading3"/>
        <w:rPr>
          <w:color w:val="002060"/>
          <w:sz w:val="21"/>
          <w:szCs w:val="21"/>
        </w:rPr>
      </w:pPr>
      <w:r w:rsidRPr="00DD7A27">
        <w:rPr>
          <w:color w:val="002060"/>
          <w:sz w:val="21"/>
          <w:szCs w:val="21"/>
        </w:rPr>
        <w:t xml:space="preserve">Australia </w:t>
      </w:r>
      <w:r w:rsidR="00D77DD6" w:rsidRPr="00DD7A27">
        <w:rPr>
          <w:color w:val="002060"/>
          <w:sz w:val="21"/>
          <w:szCs w:val="21"/>
        </w:rPr>
        <w:t xml:space="preserve">Awards </w:t>
      </w:r>
      <w:r w:rsidR="006F7A86">
        <w:rPr>
          <w:color w:val="002060"/>
          <w:sz w:val="21"/>
          <w:szCs w:val="21"/>
        </w:rPr>
        <w:t>b</w:t>
      </w:r>
      <w:r w:rsidR="00D77DD6" w:rsidRPr="00DD7A27">
        <w:rPr>
          <w:color w:val="002060"/>
          <w:sz w:val="21"/>
          <w:szCs w:val="21"/>
        </w:rPr>
        <w:t>enefits</w:t>
      </w:r>
    </w:p>
    <w:p w14:paraId="6EED1E93" w14:textId="77777777" w:rsidR="00D77DD6" w:rsidRPr="00DA2C34" w:rsidRDefault="00D77DD6" w:rsidP="00CC7FC0">
      <w:pPr>
        <w:pStyle w:val="BodyText"/>
        <w:spacing w:before="120"/>
        <w:rPr>
          <w:lang w:eastAsia="en-AU"/>
        </w:rPr>
      </w:pPr>
      <w:r w:rsidRPr="00DA2C34">
        <w:rPr>
          <w:lang w:eastAsia="en-AU"/>
        </w:rPr>
        <w:t xml:space="preserve">Australia Awards </w:t>
      </w:r>
      <w:r w:rsidR="006F7A86">
        <w:rPr>
          <w:lang w:eastAsia="en-AU"/>
        </w:rPr>
        <w:t>s</w:t>
      </w:r>
      <w:r w:rsidRPr="00DA2C34">
        <w:rPr>
          <w:lang w:eastAsia="en-AU"/>
        </w:rPr>
        <w:t>cholarsh</w:t>
      </w:r>
      <w:r w:rsidR="00DF6FD5" w:rsidRPr="00DA2C34">
        <w:rPr>
          <w:lang w:eastAsia="en-AU"/>
        </w:rPr>
        <w:t xml:space="preserve">ips are offered for the minimum </w:t>
      </w:r>
      <w:r w:rsidRPr="00DA2C34">
        <w:rPr>
          <w:lang w:eastAsia="en-AU"/>
        </w:rPr>
        <w:t>period necessary for the individual to complete the academic program specified by the Australian education institution, including any preparatory training.</w:t>
      </w:r>
    </w:p>
    <w:p w14:paraId="19BAD196" w14:textId="77777777" w:rsidR="00D77DD6" w:rsidRDefault="0010550B" w:rsidP="001E2779">
      <w:pPr>
        <w:pStyle w:val="BodyText"/>
        <w:spacing w:before="120"/>
        <w:jc w:val="both"/>
        <w:rPr>
          <w:lang w:eastAsia="en-AU"/>
        </w:rPr>
      </w:pPr>
      <w:r w:rsidRPr="00DA2C34">
        <w:rPr>
          <w:lang w:eastAsia="en-AU"/>
        </w:rPr>
        <w:t>Scholarship recipients will receive the following</w:t>
      </w:r>
      <w:r w:rsidR="00D77DD6" w:rsidRPr="00DA2C34">
        <w:rPr>
          <w:lang w:eastAsia="en-AU"/>
        </w:rPr>
        <w:t>:</w:t>
      </w:r>
    </w:p>
    <w:p w14:paraId="2F07156D" w14:textId="77777777" w:rsidR="00634441" w:rsidRPr="00DA2C34" w:rsidRDefault="00634441" w:rsidP="002E75B9">
      <w:pPr>
        <w:pStyle w:val="Bullet"/>
        <w:rPr>
          <w:lang w:eastAsia="en-AU"/>
        </w:rPr>
      </w:pPr>
      <w:r>
        <w:rPr>
          <w:lang w:eastAsia="en-AU"/>
        </w:rPr>
        <w:t xml:space="preserve">return air </w:t>
      </w:r>
      <w:proofErr w:type="gramStart"/>
      <w:r>
        <w:rPr>
          <w:lang w:eastAsia="en-AU"/>
        </w:rPr>
        <w:t>travel</w:t>
      </w:r>
      <w:proofErr w:type="gramEnd"/>
    </w:p>
    <w:p w14:paraId="3DCDB756" w14:textId="42CC1CBF" w:rsidR="00634441" w:rsidRDefault="00896156" w:rsidP="002E75B9">
      <w:pPr>
        <w:pStyle w:val="Bullet"/>
        <w:rPr>
          <w:lang w:eastAsia="en-AU"/>
        </w:rPr>
      </w:pPr>
      <w:r>
        <w:rPr>
          <w:lang w:eastAsia="en-AU"/>
        </w:rPr>
        <w:t>a one-</w:t>
      </w:r>
      <w:r w:rsidR="00634441">
        <w:rPr>
          <w:lang w:eastAsia="en-AU"/>
        </w:rPr>
        <w:t>off establishment allowance on arrival</w:t>
      </w:r>
    </w:p>
    <w:p w14:paraId="17FF35B0" w14:textId="77777777" w:rsidR="00634441" w:rsidRDefault="00634441" w:rsidP="002E75B9">
      <w:pPr>
        <w:pStyle w:val="Bullet"/>
        <w:rPr>
          <w:lang w:eastAsia="en-AU"/>
        </w:rPr>
      </w:pPr>
      <w:r>
        <w:rPr>
          <w:lang w:eastAsia="en-AU"/>
        </w:rPr>
        <w:t>full tuition fees</w:t>
      </w:r>
    </w:p>
    <w:p w14:paraId="34BB5371" w14:textId="77777777" w:rsidR="00634441" w:rsidRDefault="00634441" w:rsidP="002E75B9">
      <w:pPr>
        <w:pStyle w:val="Bullet"/>
        <w:rPr>
          <w:lang w:eastAsia="en-AU"/>
        </w:rPr>
      </w:pPr>
      <w:r>
        <w:rPr>
          <w:lang w:eastAsia="en-AU"/>
        </w:rPr>
        <w:t xml:space="preserve">contribution to living </w:t>
      </w:r>
      <w:proofErr w:type="gramStart"/>
      <w:r>
        <w:rPr>
          <w:lang w:eastAsia="en-AU"/>
        </w:rPr>
        <w:t>expenses</w:t>
      </w:r>
      <w:proofErr w:type="gramEnd"/>
    </w:p>
    <w:p w14:paraId="117CD9DD" w14:textId="77777777" w:rsidR="00634441" w:rsidRDefault="00634441" w:rsidP="002E75B9">
      <w:pPr>
        <w:pStyle w:val="Bullet"/>
        <w:rPr>
          <w:lang w:eastAsia="en-AU"/>
        </w:rPr>
      </w:pPr>
      <w:r>
        <w:rPr>
          <w:lang w:eastAsia="en-AU"/>
        </w:rPr>
        <w:lastRenderedPageBreak/>
        <w:t>introductory academic program</w:t>
      </w:r>
    </w:p>
    <w:p w14:paraId="7DBEB585" w14:textId="77777777" w:rsidR="00634441" w:rsidRDefault="00634441" w:rsidP="002E75B9">
      <w:pPr>
        <w:pStyle w:val="Bullet"/>
        <w:rPr>
          <w:lang w:eastAsia="en-AU"/>
        </w:rPr>
      </w:pPr>
      <w:r>
        <w:rPr>
          <w:lang w:eastAsia="en-AU"/>
        </w:rPr>
        <w:t>overseas student health cover for the duration of the scholarship</w:t>
      </w:r>
    </w:p>
    <w:p w14:paraId="18469F0A" w14:textId="2B7795A4" w:rsidR="00634441" w:rsidRDefault="00634441" w:rsidP="002E75B9">
      <w:pPr>
        <w:pStyle w:val="Bullet"/>
        <w:rPr>
          <w:lang w:eastAsia="en-AU"/>
        </w:rPr>
      </w:pPr>
      <w:r>
        <w:rPr>
          <w:lang w:eastAsia="en-AU"/>
        </w:rPr>
        <w:t>supplementary academic support</w:t>
      </w:r>
      <w:r w:rsidR="006F7A86">
        <w:rPr>
          <w:lang w:eastAsia="en-AU"/>
        </w:rPr>
        <w:t>,</w:t>
      </w:r>
    </w:p>
    <w:p w14:paraId="684FEF83" w14:textId="23BCD457" w:rsidR="00634441" w:rsidRDefault="00634441" w:rsidP="002E75B9">
      <w:pPr>
        <w:pStyle w:val="Bullet"/>
        <w:rPr>
          <w:lang w:eastAsia="en-AU"/>
        </w:rPr>
      </w:pPr>
      <w:r>
        <w:rPr>
          <w:lang w:eastAsia="en-AU"/>
        </w:rPr>
        <w:t>fieldwork allowance for research students and masters by coursework which has a compulsory fieldwork component.</w:t>
      </w:r>
    </w:p>
    <w:p w14:paraId="5DA46D39" w14:textId="77777777" w:rsidR="00EE3B50" w:rsidRPr="00457822" w:rsidRDefault="00D87545" w:rsidP="002E75B9">
      <w:pPr>
        <w:pStyle w:val="Heading3"/>
        <w:rPr>
          <w:color w:val="002060"/>
          <w:sz w:val="21"/>
          <w:szCs w:val="21"/>
        </w:rPr>
      </w:pPr>
      <w:r w:rsidRPr="00457822">
        <w:rPr>
          <w:color w:val="002060"/>
          <w:sz w:val="21"/>
          <w:szCs w:val="21"/>
        </w:rPr>
        <w:t xml:space="preserve">Eligibility </w:t>
      </w:r>
      <w:r w:rsidR="006F7A86">
        <w:rPr>
          <w:color w:val="002060"/>
          <w:sz w:val="21"/>
          <w:szCs w:val="21"/>
        </w:rPr>
        <w:t>c</w:t>
      </w:r>
      <w:r w:rsidR="00EE3B50" w:rsidRPr="00457822">
        <w:rPr>
          <w:color w:val="002060"/>
          <w:sz w:val="21"/>
          <w:szCs w:val="21"/>
        </w:rPr>
        <w:t>riteria</w:t>
      </w:r>
    </w:p>
    <w:p w14:paraId="07FF0E7C" w14:textId="2F072AC9" w:rsidR="008C39FD" w:rsidRPr="00806C81" w:rsidRDefault="00D77DD6" w:rsidP="00806C81">
      <w:pPr>
        <w:pStyle w:val="Bullet"/>
        <w:rPr>
          <w:b/>
          <w:color w:val="00759A"/>
        </w:rPr>
      </w:pPr>
      <w:r w:rsidRPr="00DA2C34">
        <w:rPr>
          <w:rFonts w:asciiTheme="minorHAnsi" w:eastAsiaTheme="minorHAnsi" w:hAnsiTheme="minorHAnsi" w:cs="Times New Roman"/>
          <w:color w:val="auto"/>
          <w:spacing w:val="0"/>
          <w:kern w:val="0"/>
          <w:szCs w:val="20"/>
          <w:lang w:eastAsia="en-AU"/>
        </w:rPr>
        <w:t>Australia Awards a</w:t>
      </w:r>
      <w:r w:rsidR="00DF6FD5" w:rsidRPr="00DA2C34">
        <w:rPr>
          <w:rFonts w:asciiTheme="minorHAnsi" w:eastAsiaTheme="minorHAnsi" w:hAnsiTheme="minorHAnsi" w:cs="Times New Roman"/>
          <w:color w:val="auto"/>
          <w:spacing w:val="0"/>
          <w:kern w:val="0"/>
          <w:szCs w:val="20"/>
          <w:lang w:eastAsia="en-AU"/>
        </w:rPr>
        <w:t xml:space="preserve">pplicants must </w:t>
      </w:r>
      <w:r w:rsidR="00C4402E" w:rsidRPr="00DA2C34">
        <w:rPr>
          <w:rFonts w:asciiTheme="minorHAnsi" w:eastAsiaTheme="minorHAnsi" w:hAnsiTheme="minorHAnsi" w:cs="Times New Roman"/>
          <w:color w:val="auto"/>
          <w:spacing w:val="0"/>
          <w:kern w:val="0"/>
          <w:szCs w:val="20"/>
          <w:lang w:eastAsia="en-AU"/>
        </w:rPr>
        <w:t>meet all eligibility requirements detailed in the</w:t>
      </w:r>
      <w:r w:rsidR="00DF6FD5" w:rsidRPr="00DA2C34">
        <w:rPr>
          <w:lang w:eastAsia="en-AU"/>
        </w:rPr>
        <w:t xml:space="preserve"> </w:t>
      </w:r>
      <w:hyperlink r:id="rId16" w:history="1">
        <w:r w:rsidR="0016070F">
          <w:rPr>
            <w:rFonts w:asciiTheme="minorHAnsi" w:eastAsiaTheme="minorHAnsi" w:hAnsiTheme="minorHAnsi" w:cs="Times New Roman"/>
            <w:color w:val="0000FF"/>
            <w:spacing w:val="0"/>
            <w:kern w:val="0"/>
            <w:szCs w:val="20"/>
            <w:u w:val="single"/>
          </w:rPr>
          <w:t>Australia Awards Scholarships Policy Handbook</w:t>
        </w:r>
      </w:hyperlink>
      <w:r w:rsidR="00B54F70">
        <w:rPr>
          <w:rFonts w:eastAsiaTheme="minorHAnsi"/>
        </w:rPr>
        <w:t>.</w:t>
      </w:r>
    </w:p>
    <w:p w14:paraId="5EDB584D" w14:textId="77777777" w:rsidR="00D87545" w:rsidRPr="003C3B5C" w:rsidRDefault="00A1653F" w:rsidP="002E75B9">
      <w:pPr>
        <w:pStyle w:val="Heading4"/>
        <w:rPr>
          <w:lang w:eastAsia="en-AU"/>
        </w:rPr>
      </w:pPr>
      <w:r w:rsidRPr="003C3B5C">
        <w:rPr>
          <w:lang w:eastAsia="en-AU"/>
        </w:rPr>
        <w:t>Country-s</w:t>
      </w:r>
      <w:r w:rsidR="0024777B">
        <w:rPr>
          <w:lang w:eastAsia="en-AU"/>
        </w:rPr>
        <w:t xml:space="preserve">pecific </w:t>
      </w:r>
      <w:r w:rsidR="006F7A86">
        <w:rPr>
          <w:lang w:eastAsia="en-AU"/>
        </w:rPr>
        <w:t>c</w:t>
      </w:r>
      <w:r w:rsidR="00D87545" w:rsidRPr="003C3B5C">
        <w:rPr>
          <w:lang w:eastAsia="en-AU"/>
        </w:rPr>
        <w:t>onditions</w:t>
      </w:r>
    </w:p>
    <w:p w14:paraId="29A5AE25" w14:textId="70718C29" w:rsidR="003456E1" w:rsidRDefault="003456E1" w:rsidP="003456E1">
      <w:pPr>
        <w:pStyle w:val="Bullet"/>
        <w:numPr>
          <w:ilvl w:val="0"/>
          <w:numId w:val="0"/>
        </w:numPr>
        <w:rPr>
          <w:lang w:eastAsia="en-AU"/>
        </w:rPr>
      </w:pPr>
      <w:r w:rsidRPr="002A3018">
        <w:rPr>
          <w:lang w:eastAsia="en-AU"/>
        </w:rPr>
        <w:t xml:space="preserve">In addition to the eligibility requirements, candidates from </w:t>
      </w:r>
      <w:bookmarkStart w:id="0" w:name="_Hlk93593523"/>
      <w:r w:rsidR="00246FAD">
        <w:rPr>
          <w:lang w:eastAsia="en-AU"/>
        </w:rPr>
        <w:t>Indonesia</w:t>
      </w:r>
      <w:r w:rsidRPr="002A3018">
        <w:rPr>
          <w:lang w:eastAsia="en-AU"/>
        </w:rPr>
        <w:t xml:space="preserve"> </w:t>
      </w:r>
      <w:bookmarkEnd w:id="0"/>
      <w:r w:rsidRPr="002A3018">
        <w:rPr>
          <w:lang w:eastAsia="en-AU"/>
        </w:rPr>
        <w:t>must also meet the following conditions:</w:t>
      </w:r>
    </w:p>
    <w:p w14:paraId="2DBDAA95" w14:textId="41012129" w:rsidR="00544EFC" w:rsidRPr="00414D74" w:rsidRDefault="00544EFC" w:rsidP="00544EFC">
      <w:pPr>
        <w:pStyle w:val="Bullet"/>
        <w:rPr>
          <w:rFonts w:eastAsia="Times New Roman"/>
        </w:rPr>
      </w:pPr>
      <w:r>
        <w:rPr>
          <w:rFonts w:eastAsia="Times New Roman"/>
        </w:rPr>
        <w:t>B</w:t>
      </w:r>
      <w:r w:rsidRPr="00414D74">
        <w:rPr>
          <w:rFonts w:eastAsia="Times New Roman"/>
        </w:rPr>
        <w:t xml:space="preserve">e applying for courses that fall within the </w:t>
      </w:r>
      <w:r w:rsidR="007E167B">
        <w:rPr>
          <w:rFonts w:eastAsia="Times New Roman"/>
        </w:rPr>
        <w:t xml:space="preserve">priority fields of </w:t>
      </w:r>
      <w:proofErr w:type="gramStart"/>
      <w:r w:rsidR="007E167B">
        <w:rPr>
          <w:rFonts w:eastAsia="Times New Roman"/>
        </w:rPr>
        <w:t>study</w:t>
      </w:r>
      <w:proofErr w:type="gramEnd"/>
    </w:p>
    <w:p w14:paraId="6045EC25" w14:textId="6361E7F3" w:rsidR="00544EFC" w:rsidRDefault="00544EFC" w:rsidP="00544EFC">
      <w:pPr>
        <w:pStyle w:val="Bullet"/>
        <w:rPr>
          <w:rFonts w:eastAsia="Times New Roman"/>
        </w:rPr>
      </w:pPr>
      <w:r>
        <w:rPr>
          <w:rFonts w:eastAsia="Times New Roman"/>
        </w:rPr>
        <w:t>H</w:t>
      </w:r>
      <w:r w:rsidRPr="00414D74">
        <w:rPr>
          <w:rFonts w:eastAsia="Times New Roman"/>
        </w:rPr>
        <w:t xml:space="preserve">ave a </w:t>
      </w:r>
      <w:r w:rsidR="007E167B">
        <w:rPr>
          <w:rFonts w:eastAsia="Times New Roman"/>
        </w:rPr>
        <w:t xml:space="preserve">minimum </w:t>
      </w:r>
      <w:r w:rsidRPr="00414D74">
        <w:rPr>
          <w:rFonts w:eastAsia="Times New Roman"/>
        </w:rPr>
        <w:t xml:space="preserve">Grade Point Average (GPA) </w:t>
      </w:r>
      <w:r>
        <w:rPr>
          <w:rFonts w:eastAsia="Times New Roman"/>
        </w:rPr>
        <w:t>as shown in the following table:</w:t>
      </w:r>
    </w:p>
    <w:p w14:paraId="7581355C" w14:textId="3E0C4F1C" w:rsidR="00544EFC" w:rsidRPr="00E55F3A" w:rsidRDefault="00544EFC" w:rsidP="00544EFC">
      <w:pPr>
        <w:pStyle w:val="Caption"/>
        <w:rPr>
          <w:b w:val="0"/>
          <w:bCs w:val="0"/>
          <w:color w:val="auto"/>
          <w:sz w:val="20"/>
          <w:szCs w:val="20"/>
        </w:rPr>
      </w:pPr>
      <w:r w:rsidRPr="0030513D">
        <w:rPr>
          <w:color w:val="auto"/>
          <w:sz w:val="20"/>
          <w:szCs w:val="20"/>
        </w:rPr>
        <w:t xml:space="preserve">Table </w:t>
      </w:r>
      <w:r>
        <w:rPr>
          <w:color w:val="auto"/>
          <w:sz w:val="20"/>
          <w:szCs w:val="20"/>
        </w:rPr>
        <w:t>1</w:t>
      </w:r>
      <w:r w:rsidRPr="0030513D">
        <w:rPr>
          <w:color w:val="auto"/>
          <w:sz w:val="20"/>
          <w:szCs w:val="20"/>
        </w:rPr>
        <w:t>:</w:t>
      </w:r>
      <w:r w:rsidRPr="0030513D">
        <w:rPr>
          <w:b w:val="0"/>
          <w:bCs w:val="0"/>
          <w:color w:val="auto"/>
          <w:sz w:val="20"/>
          <w:szCs w:val="20"/>
        </w:rPr>
        <w:t xml:space="preserve"> GPA criteria</w:t>
      </w:r>
      <w:r>
        <w:rPr>
          <w:b w:val="0"/>
          <w:bCs w:val="0"/>
          <w:color w:val="auto"/>
          <w:sz w:val="20"/>
          <w:szCs w:val="20"/>
        </w:rPr>
        <w:t xml:space="preserve"> (Scale 4.0)</w:t>
      </w:r>
    </w:p>
    <w:tbl>
      <w:tblPr>
        <w:tblStyle w:val="Style2"/>
        <w:tblW w:w="5000" w:type="pct"/>
        <w:tblInd w:w="-5" w:type="dxa"/>
        <w:tblLayout w:type="fixed"/>
        <w:tblLook w:val="04A0" w:firstRow="1" w:lastRow="0" w:firstColumn="1" w:lastColumn="0" w:noHBand="0" w:noVBand="1"/>
      </w:tblPr>
      <w:tblGrid>
        <w:gridCol w:w="3588"/>
        <w:gridCol w:w="2609"/>
        <w:gridCol w:w="2286"/>
        <w:gridCol w:w="2279"/>
      </w:tblGrid>
      <w:tr w:rsidR="00544EFC" w:rsidRPr="007E1B57" w14:paraId="1A9D197B" w14:textId="77777777">
        <w:trPr>
          <w:cnfStyle w:val="100000000000" w:firstRow="1" w:lastRow="0" w:firstColumn="0" w:lastColumn="0" w:oddVBand="0" w:evenVBand="0" w:oddHBand="0" w:evenHBand="0" w:firstRowFirstColumn="0" w:firstRowLastColumn="0" w:lastRowFirstColumn="0" w:lastRowLastColumn="0"/>
          <w:trHeight w:val="404"/>
          <w:tblHeader/>
        </w:trPr>
        <w:tc>
          <w:tcPr>
            <w:tcW w:w="1667" w:type="pct"/>
          </w:tcPr>
          <w:p w14:paraId="78E8F62A" w14:textId="77777777" w:rsidR="00544EFC" w:rsidRPr="00AF728D" w:rsidRDefault="00544EFC">
            <w:pPr>
              <w:pStyle w:val="BodyCopy"/>
              <w:tabs>
                <w:tab w:val="left" w:pos="143"/>
              </w:tabs>
              <w:spacing w:before="120" w:line="240" w:lineRule="auto"/>
              <w:ind w:left="140" w:right="129"/>
              <w:rPr>
                <w:color w:val="FFFFFF" w:themeColor="background1"/>
              </w:rPr>
            </w:pPr>
            <w:r w:rsidRPr="00AF728D">
              <w:rPr>
                <w:color w:val="FFFFFF" w:themeColor="background1"/>
              </w:rPr>
              <w:t>Awards</w:t>
            </w:r>
          </w:p>
        </w:tc>
        <w:tc>
          <w:tcPr>
            <w:tcW w:w="1212" w:type="pct"/>
          </w:tcPr>
          <w:p w14:paraId="1C38B11B" w14:textId="77777777" w:rsidR="00544EFC" w:rsidRPr="00AF728D" w:rsidRDefault="00544EFC">
            <w:pPr>
              <w:pStyle w:val="BodyCopy"/>
              <w:tabs>
                <w:tab w:val="left" w:pos="143"/>
              </w:tabs>
              <w:spacing w:before="120" w:line="240" w:lineRule="auto"/>
              <w:ind w:left="140" w:right="129"/>
              <w:rPr>
                <w:b w:val="0"/>
                <w:bCs/>
                <w:color w:val="FFFFFF" w:themeColor="background1"/>
              </w:rPr>
            </w:pPr>
            <w:r w:rsidRPr="00AF728D">
              <w:rPr>
                <w:bCs/>
                <w:color w:val="FFFFFF" w:themeColor="background1"/>
              </w:rPr>
              <w:t>GoI</w:t>
            </w:r>
            <w:r>
              <w:rPr>
                <w:bCs/>
                <w:color w:val="FFFFFF" w:themeColor="background1"/>
              </w:rPr>
              <w:t>*</w:t>
            </w:r>
          </w:p>
        </w:tc>
        <w:tc>
          <w:tcPr>
            <w:tcW w:w="1062" w:type="pct"/>
          </w:tcPr>
          <w:p w14:paraId="45EF186C" w14:textId="77777777" w:rsidR="00544EFC" w:rsidRPr="00AF728D" w:rsidRDefault="00544EFC">
            <w:pPr>
              <w:pStyle w:val="BodyCopy"/>
              <w:tabs>
                <w:tab w:val="left" w:pos="143"/>
              </w:tabs>
              <w:spacing w:before="120" w:line="240" w:lineRule="auto"/>
              <w:ind w:left="140" w:right="129"/>
              <w:rPr>
                <w:b w:val="0"/>
                <w:bCs/>
                <w:color w:val="FFFFFF" w:themeColor="background1"/>
              </w:rPr>
            </w:pPr>
            <w:r w:rsidRPr="00AF728D">
              <w:rPr>
                <w:bCs/>
                <w:color w:val="FFFFFF" w:themeColor="background1"/>
              </w:rPr>
              <w:t>ETG</w:t>
            </w:r>
            <w:r>
              <w:rPr>
                <w:bCs/>
                <w:color w:val="FFFFFF" w:themeColor="background1"/>
              </w:rPr>
              <w:t>**</w:t>
            </w:r>
          </w:p>
        </w:tc>
        <w:tc>
          <w:tcPr>
            <w:tcW w:w="1060" w:type="pct"/>
          </w:tcPr>
          <w:p w14:paraId="0088C93F" w14:textId="77777777" w:rsidR="00544EFC" w:rsidRPr="00AF728D" w:rsidRDefault="00544EFC">
            <w:pPr>
              <w:pStyle w:val="BodyCopy"/>
              <w:tabs>
                <w:tab w:val="left" w:pos="143"/>
              </w:tabs>
              <w:spacing w:before="120" w:line="240" w:lineRule="auto"/>
              <w:ind w:left="140" w:right="129"/>
              <w:rPr>
                <w:b w:val="0"/>
                <w:bCs/>
                <w:color w:val="FFFFFF" w:themeColor="background1"/>
              </w:rPr>
            </w:pPr>
            <w:r w:rsidRPr="00AF728D">
              <w:rPr>
                <w:bCs/>
                <w:color w:val="FFFFFF" w:themeColor="background1"/>
              </w:rPr>
              <w:t xml:space="preserve">NT </w:t>
            </w:r>
            <w:r>
              <w:rPr>
                <w:bCs/>
                <w:color w:val="FFFFFF" w:themeColor="background1"/>
              </w:rPr>
              <w:t>***</w:t>
            </w:r>
          </w:p>
        </w:tc>
      </w:tr>
      <w:tr w:rsidR="00544EFC" w:rsidRPr="007E1B57" w14:paraId="6B043B19" w14:textId="77777777">
        <w:trPr>
          <w:trHeight w:val="314"/>
        </w:trPr>
        <w:tc>
          <w:tcPr>
            <w:tcW w:w="1667" w:type="pct"/>
          </w:tcPr>
          <w:p w14:paraId="17E741E1" w14:textId="77777777" w:rsidR="00544EFC" w:rsidRPr="00985028" w:rsidRDefault="00544EFC">
            <w:pPr>
              <w:pStyle w:val="BodyCopy"/>
              <w:tabs>
                <w:tab w:val="left" w:pos="143"/>
              </w:tabs>
              <w:spacing w:before="120" w:line="240" w:lineRule="auto"/>
              <w:ind w:left="140" w:right="129"/>
              <w:rPr>
                <w:b/>
                <w:bCs/>
                <w:sz w:val="16"/>
                <w:szCs w:val="16"/>
              </w:rPr>
            </w:pPr>
            <w:r w:rsidRPr="00985028">
              <w:rPr>
                <w:b/>
                <w:bCs/>
                <w:sz w:val="16"/>
                <w:szCs w:val="16"/>
              </w:rPr>
              <w:t>PhD</w:t>
            </w:r>
          </w:p>
        </w:tc>
        <w:tc>
          <w:tcPr>
            <w:tcW w:w="1212" w:type="pct"/>
          </w:tcPr>
          <w:p w14:paraId="1DD70A94" w14:textId="77777777" w:rsidR="00544EFC" w:rsidRPr="00985028" w:rsidRDefault="00544EFC">
            <w:pPr>
              <w:pStyle w:val="BodyCopy"/>
              <w:tabs>
                <w:tab w:val="left" w:pos="143"/>
              </w:tabs>
              <w:spacing w:before="120" w:line="240" w:lineRule="auto"/>
              <w:ind w:left="140" w:right="129"/>
              <w:rPr>
                <w:sz w:val="16"/>
                <w:szCs w:val="16"/>
              </w:rPr>
            </w:pPr>
            <w:r w:rsidRPr="00985028">
              <w:rPr>
                <w:sz w:val="16"/>
                <w:szCs w:val="16"/>
              </w:rPr>
              <w:t>3.0</w:t>
            </w:r>
          </w:p>
        </w:tc>
        <w:tc>
          <w:tcPr>
            <w:tcW w:w="1062" w:type="pct"/>
          </w:tcPr>
          <w:p w14:paraId="5DBD8394" w14:textId="77777777" w:rsidR="00544EFC" w:rsidRPr="00985028" w:rsidRDefault="00544EFC">
            <w:pPr>
              <w:pStyle w:val="BodyCopy"/>
              <w:tabs>
                <w:tab w:val="left" w:pos="143"/>
              </w:tabs>
              <w:spacing w:before="120" w:line="240" w:lineRule="auto"/>
              <w:ind w:left="140" w:right="129"/>
              <w:rPr>
                <w:sz w:val="16"/>
                <w:szCs w:val="16"/>
              </w:rPr>
            </w:pPr>
            <w:r w:rsidRPr="00985028">
              <w:rPr>
                <w:sz w:val="16"/>
                <w:szCs w:val="16"/>
              </w:rPr>
              <w:t>2.75</w:t>
            </w:r>
          </w:p>
        </w:tc>
        <w:tc>
          <w:tcPr>
            <w:tcW w:w="1060" w:type="pct"/>
          </w:tcPr>
          <w:p w14:paraId="4A6DA29D" w14:textId="77777777" w:rsidR="00544EFC" w:rsidRPr="00985028" w:rsidRDefault="00544EFC">
            <w:pPr>
              <w:pStyle w:val="BodyCopy"/>
              <w:tabs>
                <w:tab w:val="left" w:pos="143"/>
              </w:tabs>
              <w:spacing w:before="120" w:line="240" w:lineRule="auto"/>
              <w:ind w:left="140" w:right="129"/>
              <w:rPr>
                <w:sz w:val="16"/>
                <w:szCs w:val="16"/>
              </w:rPr>
            </w:pPr>
            <w:r w:rsidRPr="00985028">
              <w:rPr>
                <w:sz w:val="16"/>
                <w:szCs w:val="16"/>
              </w:rPr>
              <w:t>3.0</w:t>
            </w:r>
          </w:p>
        </w:tc>
      </w:tr>
      <w:tr w:rsidR="00544EFC" w:rsidRPr="007E1B57" w14:paraId="4C420F4D" w14:textId="77777777">
        <w:trPr>
          <w:cantSplit/>
          <w:trHeight w:val="251"/>
        </w:trPr>
        <w:tc>
          <w:tcPr>
            <w:tcW w:w="1667" w:type="pct"/>
          </w:tcPr>
          <w:p w14:paraId="1C5C14A9" w14:textId="77777777" w:rsidR="00544EFC" w:rsidRPr="00985028" w:rsidRDefault="00544EFC">
            <w:pPr>
              <w:pStyle w:val="BodyCopy"/>
              <w:tabs>
                <w:tab w:val="left" w:pos="143"/>
              </w:tabs>
              <w:spacing w:before="120" w:line="240" w:lineRule="auto"/>
              <w:ind w:left="140" w:right="129"/>
              <w:rPr>
                <w:b/>
                <w:bCs/>
                <w:sz w:val="16"/>
                <w:szCs w:val="16"/>
              </w:rPr>
            </w:pPr>
            <w:r w:rsidRPr="00985028">
              <w:rPr>
                <w:b/>
                <w:bCs/>
                <w:sz w:val="16"/>
                <w:szCs w:val="16"/>
              </w:rPr>
              <w:t>Masters</w:t>
            </w:r>
          </w:p>
        </w:tc>
        <w:tc>
          <w:tcPr>
            <w:tcW w:w="1212" w:type="pct"/>
          </w:tcPr>
          <w:p w14:paraId="13916480" w14:textId="77777777" w:rsidR="00544EFC" w:rsidRPr="00985028" w:rsidRDefault="00544EFC">
            <w:pPr>
              <w:pStyle w:val="BodyCopy"/>
              <w:tabs>
                <w:tab w:val="left" w:pos="143"/>
              </w:tabs>
              <w:spacing w:before="120" w:line="240" w:lineRule="auto"/>
              <w:ind w:left="140" w:right="129"/>
              <w:rPr>
                <w:sz w:val="16"/>
                <w:szCs w:val="16"/>
              </w:rPr>
            </w:pPr>
            <w:r w:rsidRPr="00985028">
              <w:rPr>
                <w:sz w:val="16"/>
                <w:szCs w:val="16"/>
              </w:rPr>
              <w:t>2.9</w:t>
            </w:r>
          </w:p>
        </w:tc>
        <w:tc>
          <w:tcPr>
            <w:tcW w:w="1062" w:type="pct"/>
          </w:tcPr>
          <w:p w14:paraId="4BC93274" w14:textId="77777777" w:rsidR="00544EFC" w:rsidRPr="00985028" w:rsidRDefault="00544EFC">
            <w:pPr>
              <w:pStyle w:val="BodyCopy"/>
              <w:tabs>
                <w:tab w:val="left" w:pos="143"/>
              </w:tabs>
              <w:spacing w:before="120" w:line="240" w:lineRule="auto"/>
              <w:ind w:left="140" w:right="129"/>
              <w:rPr>
                <w:sz w:val="16"/>
                <w:szCs w:val="16"/>
              </w:rPr>
            </w:pPr>
            <w:r w:rsidRPr="00985028">
              <w:rPr>
                <w:sz w:val="16"/>
                <w:szCs w:val="16"/>
              </w:rPr>
              <w:t>2.75</w:t>
            </w:r>
          </w:p>
        </w:tc>
        <w:tc>
          <w:tcPr>
            <w:tcW w:w="1060" w:type="pct"/>
          </w:tcPr>
          <w:p w14:paraId="00A16F93" w14:textId="77777777" w:rsidR="00544EFC" w:rsidRPr="00985028" w:rsidRDefault="00544EFC">
            <w:pPr>
              <w:pStyle w:val="BodyCopy"/>
              <w:tabs>
                <w:tab w:val="left" w:pos="143"/>
              </w:tabs>
              <w:spacing w:before="120" w:line="240" w:lineRule="auto"/>
              <w:ind w:left="140" w:right="129"/>
              <w:rPr>
                <w:sz w:val="16"/>
                <w:szCs w:val="16"/>
              </w:rPr>
            </w:pPr>
            <w:r w:rsidRPr="00985028">
              <w:rPr>
                <w:sz w:val="16"/>
                <w:szCs w:val="16"/>
              </w:rPr>
              <w:t>2.9</w:t>
            </w:r>
          </w:p>
        </w:tc>
      </w:tr>
    </w:tbl>
    <w:p w14:paraId="1D51DFF5" w14:textId="77777777" w:rsidR="00544EFC" w:rsidRDefault="00544EFC" w:rsidP="00544EFC">
      <w:pPr>
        <w:spacing w:before="100" w:after="100" w:line="240" w:lineRule="atLeast"/>
        <w:rPr>
          <w:rFonts w:eastAsia="Times New Roman" w:cs="Arial"/>
        </w:rPr>
      </w:pPr>
    </w:p>
    <w:p w14:paraId="690976EB" w14:textId="1E03F6A4" w:rsidR="00544EFC" w:rsidRDefault="00544EFC" w:rsidP="00544EFC">
      <w:pPr>
        <w:pStyle w:val="Bullet"/>
        <w:rPr>
          <w:rFonts w:eastAsia="Times New Roman"/>
        </w:rPr>
      </w:pPr>
      <w:r>
        <w:rPr>
          <w:rFonts w:eastAsia="Times New Roman"/>
        </w:rPr>
        <w:t>H</w:t>
      </w:r>
      <w:r w:rsidRPr="00414D74">
        <w:rPr>
          <w:rFonts w:eastAsia="Times New Roman"/>
        </w:rPr>
        <w:t>ave a</w:t>
      </w:r>
      <w:r w:rsidR="007E57A7">
        <w:rPr>
          <w:rFonts w:eastAsia="Times New Roman"/>
        </w:rPr>
        <w:t xml:space="preserve"> minimum</w:t>
      </w:r>
      <w:r w:rsidRPr="00414D74">
        <w:rPr>
          <w:rFonts w:eastAsia="Times New Roman"/>
        </w:rPr>
        <w:t xml:space="preserve"> English language proficiency </w:t>
      </w:r>
      <w:r>
        <w:rPr>
          <w:rFonts w:eastAsia="Times New Roman"/>
        </w:rPr>
        <w:t>score as shown in Table 2 below:</w:t>
      </w:r>
    </w:p>
    <w:p w14:paraId="2B240910" w14:textId="77777777" w:rsidR="00544EFC" w:rsidRPr="0030513D" w:rsidRDefault="00544EFC" w:rsidP="00806C81">
      <w:pPr>
        <w:pStyle w:val="Caption"/>
        <w:rPr>
          <w:b w:val="0"/>
          <w:bCs w:val="0"/>
          <w:color w:val="auto"/>
          <w:sz w:val="20"/>
          <w:szCs w:val="20"/>
        </w:rPr>
      </w:pPr>
      <w:r w:rsidRPr="0030513D">
        <w:rPr>
          <w:color w:val="auto"/>
          <w:sz w:val="20"/>
          <w:szCs w:val="20"/>
        </w:rPr>
        <w:t xml:space="preserve">Table </w:t>
      </w:r>
      <w:r>
        <w:rPr>
          <w:color w:val="auto"/>
          <w:sz w:val="20"/>
          <w:szCs w:val="20"/>
        </w:rPr>
        <w:t>2</w:t>
      </w:r>
      <w:r w:rsidRPr="0030513D">
        <w:rPr>
          <w:color w:val="auto"/>
          <w:sz w:val="20"/>
          <w:szCs w:val="20"/>
        </w:rPr>
        <w:t>:</w:t>
      </w:r>
      <w:r w:rsidRPr="0030513D">
        <w:rPr>
          <w:b w:val="0"/>
          <w:bCs w:val="0"/>
          <w:color w:val="auto"/>
          <w:sz w:val="20"/>
          <w:szCs w:val="20"/>
        </w:rPr>
        <w:t xml:space="preserve"> English language prof</w:t>
      </w:r>
      <w:r>
        <w:rPr>
          <w:b w:val="0"/>
          <w:bCs w:val="0"/>
          <w:color w:val="auto"/>
          <w:sz w:val="20"/>
          <w:szCs w:val="20"/>
        </w:rPr>
        <w:t>ic</w:t>
      </w:r>
      <w:r w:rsidRPr="0030513D">
        <w:rPr>
          <w:b w:val="0"/>
          <w:bCs w:val="0"/>
          <w:color w:val="auto"/>
          <w:sz w:val="20"/>
          <w:szCs w:val="20"/>
        </w:rPr>
        <w:t>iency</w:t>
      </w:r>
      <w:r>
        <w:rPr>
          <w:b w:val="0"/>
          <w:bCs w:val="0"/>
          <w:color w:val="auto"/>
          <w:sz w:val="20"/>
          <w:szCs w:val="20"/>
        </w:rPr>
        <w:t xml:space="preserve"> score</w:t>
      </w:r>
    </w:p>
    <w:tbl>
      <w:tblPr>
        <w:tblStyle w:val="Style2"/>
        <w:tblW w:w="5005" w:type="pct"/>
        <w:tblInd w:w="-5" w:type="dxa"/>
        <w:tblLook w:val="04A0" w:firstRow="1" w:lastRow="0" w:firstColumn="1" w:lastColumn="0" w:noHBand="0" w:noVBand="1"/>
      </w:tblPr>
      <w:tblGrid>
        <w:gridCol w:w="2774"/>
        <w:gridCol w:w="2767"/>
        <w:gridCol w:w="2616"/>
        <w:gridCol w:w="2616"/>
      </w:tblGrid>
      <w:tr w:rsidR="00544EFC" w:rsidRPr="007E1B57" w14:paraId="0FD03CB9" w14:textId="77777777">
        <w:trPr>
          <w:cnfStyle w:val="100000000000" w:firstRow="1" w:lastRow="0" w:firstColumn="0" w:lastColumn="0" w:oddVBand="0" w:evenVBand="0" w:oddHBand="0" w:evenHBand="0" w:firstRowFirstColumn="0" w:firstRowLastColumn="0" w:lastRowFirstColumn="0" w:lastRowLastColumn="0"/>
          <w:trHeight w:val="340"/>
          <w:tblHeader/>
        </w:trPr>
        <w:tc>
          <w:tcPr>
            <w:tcW w:w="1287" w:type="pct"/>
          </w:tcPr>
          <w:p w14:paraId="207C6FAD" w14:textId="77777777" w:rsidR="00544EFC" w:rsidRPr="00F217AF" w:rsidRDefault="00544EFC">
            <w:pPr>
              <w:pStyle w:val="BodyCopy"/>
              <w:tabs>
                <w:tab w:val="left" w:pos="143"/>
              </w:tabs>
              <w:spacing w:before="120" w:line="240" w:lineRule="auto"/>
              <w:ind w:left="140" w:right="129"/>
              <w:rPr>
                <w:color w:val="FFFFFF" w:themeColor="background1"/>
              </w:rPr>
            </w:pPr>
            <w:r w:rsidRPr="00F217AF">
              <w:rPr>
                <w:color w:val="FFFFFF" w:themeColor="background1"/>
              </w:rPr>
              <w:t>Awards</w:t>
            </w:r>
          </w:p>
        </w:tc>
        <w:tc>
          <w:tcPr>
            <w:tcW w:w="1284" w:type="pct"/>
          </w:tcPr>
          <w:p w14:paraId="60D4F08D" w14:textId="77777777" w:rsidR="00544EFC" w:rsidRPr="00F217AF" w:rsidRDefault="00544EFC">
            <w:pPr>
              <w:pStyle w:val="BodyCopy"/>
              <w:tabs>
                <w:tab w:val="left" w:pos="143"/>
              </w:tabs>
              <w:spacing w:before="120" w:line="240" w:lineRule="auto"/>
              <w:ind w:left="140" w:right="129"/>
              <w:rPr>
                <w:b w:val="0"/>
                <w:bCs/>
                <w:color w:val="FFFFFF" w:themeColor="background1"/>
              </w:rPr>
            </w:pPr>
            <w:r w:rsidRPr="00F217AF">
              <w:rPr>
                <w:bCs/>
                <w:color w:val="FFFFFF" w:themeColor="background1"/>
              </w:rPr>
              <w:t>GoI</w:t>
            </w:r>
            <w:r>
              <w:rPr>
                <w:bCs/>
                <w:color w:val="FFFFFF" w:themeColor="background1"/>
              </w:rPr>
              <w:t>*</w:t>
            </w:r>
          </w:p>
        </w:tc>
        <w:tc>
          <w:tcPr>
            <w:tcW w:w="1214" w:type="pct"/>
          </w:tcPr>
          <w:p w14:paraId="641D2D9B" w14:textId="77777777" w:rsidR="00544EFC" w:rsidRPr="00F217AF" w:rsidRDefault="00544EFC">
            <w:pPr>
              <w:pStyle w:val="BodyCopy"/>
              <w:tabs>
                <w:tab w:val="left" w:pos="143"/>
              </w:tabs>
              <w:spacing w:before="120" w:line="240" w:lineRule="auto"/>
              <w:ind w:left="140" w:right="129"/>
              <w:rPr>
                <w:b w:val="0"/>
                <w:bCs/>
                <w:color w:val="FFFFFF" w:themeColor="background1"/>
              </w:rPr>
            </w:pPr>
            <w:r w:rsidRPr="00F217AF">
              <w:rPr>
                <w:bCs/>
                <w:color w:val="FFFFFF" w:themeColor="background1"/>
              </w:rPr>
              <w:t>ETG</w:t>
            </w:r>
            <w:r>
              <w:rPr>
                <w:bCs/>
                <w:color w:val="FFFFFF" w:themeColor="background1"/>
              </w:rPr>
              <w:t>**</w:t>
            </w:r>
          </w:p>
        </w:tc>
        <w:tc>
          <w:tcPr>
            <w:tcW w:w="1214" w:type="pct"/>
          </w:tcPr>
          <w:p w14:paraId="4E6B9216" w14:textId="77777777" w:rsidR="00544EFC" w:rsidRPr="00F217AF" w:rsidRDefault="00544EFC">
            <w:pPr>
              <w:pStyle w:val="BodyCopy"/>
              <w:tabs>
                <w:tab w:val="left" w:pos="143"/>
              </w:tabs>
              <w:spacing w:before="120" w:line="240" w:lineRule="auto"/>
              <w:ind w:left="140" w:right="129"/>
              <w:rPr>
                <w:b w:val="0"/>
                <w:bCs/>
                <w:color w:val="FFFFFF" w:themeColor="background1"/>
              </w:rPr>
            </w:pPr>
            <w:r w:rsidRPr="00F217AF">
              <w:rPr>
                <w:bCs/>
                <w:color w:val="FFFFFF" w:themeColor="background1"/>
              </w:rPr>
              <w:t>NT</w:t>
            </w:r>
            <w:r>
              <w:rPr>
                <w:bCs/>
                <w:color w:val="FFFFFF" w:themeColor="background1"/>
              </w:rPr>
              <w:t>***</w:t>
            </w:r>
          </w:p>
        </w:tc>
      </w:tr>
      <w:tr w:rsidR="00544EFC" w:rsidRPr="007E1B57" w14:paraId="55FB8C2E" w14:textId="77777777">
        <w:trPr>
          <w:trHeight w:val="265"/>
        </w:trPr>
        <w:tc>
          <w:tcPr>
            <w:tcW w:w="1287" w:type="pct"/>
          </w:tcPr>
          <w:p w14:paraId="42B639CF" w14:textId="77777777" w:rsidR="00544EFC" w:rsidRPr="00EA2015" w:rsidRDefault="00544EFC">
            <w:pPr>
              <w:pStyle w:val="BodyCopy"/>
              <w:tabs>
                <w:tab w:val="left" w:pos="143"/>
              </w:tabs>
              <w:spacing w:before="120" w:after="0" w:line="240" w:lineRule="auto"/>
              <w:ind w:left="142" w:right="130"/>
              <w:rPr>
                <w:b/>
                <w:bCs/>
                <w:sz w:val="16"/>
                <w:szCs w:val="16"/>
              </w:rPr>
            </w:pPr>
            <w:r w:rsidRPr="00EA2015">
              <w:rPr>
                <w:b/>
                <w:bCs/>
                <w:sz w:val="16"/>
                <w:szCs w:val="16"/>
              </w:rPr>
              <w:t>PhD</w:t>
            </w:r>
          </w:p>
        </w:tc>
        <w:tc>
          <w:tcPr>
            <w:tcW w:w="1284" w:type="pct"/>
          </w:tcPr>
          <w:p w14:paraId="63D4814E" w14:textId="77777777" w:rsidR="00544EFC" w:rsidRPr="00515256" w:rsidRDefault="00544EFC">
            <w:pPr>
              <w:pStyle w:val="BodyCopy"/>
              <w:tabs>
                <w:tab w:val="left" w:pos="143"/>
              </w:tabs>
              <w:spacing w:before="120" w:after="0" w:line="240" w:lineRule="auto"/>
              <w:ind w:left="142" w:right="130"/>
              <w:rPr>
                <w:sz w:val="16"/>
                <w:szCs w:val="16"/>
              </w:rPr>
            </w:pPr>
            <w:r w:rsidRPr="00515256">
              <w:rPr>
                <w:sz w:val="16"/>
                <w:szCs w:val="16"/>
              </w:rPr>
              <w:t>IELTS 6.0</w:t>
            </w:r>
          </w:p>
          <w:p w14:paraId="6A7175A2" w14:textId="77777777" w:rsidR="00544EFC" w:rsidRPr="00515256" w:rsidRDefault="00544EFC">
            <w:pPr>
              <w:pStyle w:val="BodyCopy"/>
              <w:tabs>
                <w:tab w:val="left" w:pos="143"/>
              </w:tabs>
              <w:spacing w:before="120" w:after="0" w:line="240" w:lineRule="auto"/>
              <w:ind w:left="142" w:right="130"/>
              <w:rPr>
                <w:sz w:val="16"/>
                <w:szCs w:val="16"/>
              </w:rPr>
            </w:pPr>
            <w:r w:rsidRPr="00515256">
              <w:rPr>
                <w:sz w:val="16"/>
                <w:szCs w:val="16"/>
              </w:rPr>
              <w:t>TOEFL ITP 552</w:t>
            </w:r>
          </w:p>
          <w:p w14:paraId="1DBAC210" w14:textId="77777777" w:rsidR="00544EFC" w:rsidRPr="00515256" w:rsidRDefault="00544EFC">
            <w:pPr>
              <w:pStyle w:val="BodyCopy"/>
              <w:tabs>
                <w:tab w:val="left" w:pos="143"/>
              </w:tabs>
              <w:spacing w:before="120" w:after="0" w:line="240" w:lineRule="auto"/>
              <w:ind w:left="142" w:right="130"/>
              <w:rPr>
                <w:sz w:val="16"/>
                <w:szCs w:val="16"/>
              </w:rPr>
            </w:pPr>
            <w:r w:rsidRPr="00515256">
              <w:rPr>
                <w:sz w:val="16"/>
                <w:szCs w:val="16"/>
              </w:rPr>
              <w:t>TOEFL iBT 80</w:t>
            </w:r>
          </w:p>
          <w:p w14:paraId="20B39D1B" w14:textId="77777777" w:rsidR="00544EFC" w:rsidRPr="00515256" w:rsidRDefault="00544EFC">
            <w:pPr>
              <w:pStyle w:val="BodyCopy"/>
              <w:tabs>
                <w:tab w:val="left" w:pos="143"/>
              </w:tabs>
              <w:spacing w:before="120" w:after="0" w:line="240" w:lineRule="auto"/>
              <w:ind w:left="142" w:right="130"/>
              <w:rPr>
                <w:sz w:val="16"/>
                <w:szCs w:val="16"/>
              </w:rPr>
            </w:pPr>
            <w:r w:rsidRPr="00515256">
              <w:rPr>
                <w:sz w:val="16"/>
                <w:szCs w:val="16"/>
              </w:rPr>
              <w:t>PTE Academic 56</w:t>
            </w:r>
          </w:p>
        </w:tc>
        <w:tc>
          <w:tcPr>
            <w:tcW w:w="1214" w:type="pct"/>
          </w:tcPr>
          <w:p w14:paraId="259EDE9D" w14:textId="77777777" w:rsidR="00544EFC" w:rsidRPr="00515256" w:rsidRDefault="00544EFC">
            <w:pPr>
              <w:pStyle w:val="BodyCopy"/>
              <w:tabs>
                <w:tab w:val="left" w:pos="143"/>
              </w:tabs>
              <w:spacing w:before="120" w:after="0" w:line="240" w:lineRule="auto"/>
              <w:ind w:left="142" w:right="130"/>
              <w:rPr>
                <w:sz w:val="16"/>
                <w:szCs w:val="16"/>
              </w:rPr>
            </w:pPr>
            <w:r w:rsidRPr="00515256">
              <w:rPr>
                <w:sz w:val="16"/>
                <w:szCs w:val="16"/>
              </w:rPr>
              <w:t>IELTS 6.0</w:t>
            </w:r>
          </w:p>
          <w:p w14:paraId="5ACF03A7" w14:textId="77777777" w:rsidR="00544EFC" w:rsidRPr="00515256" w:rsidRDefault="00544EFC">
            <w:pPr>
              <w:pStyle w:val="BodyCopy"/>
              <w:tabs>
                <w:tab w:val="left" w:pos="143"/>
              </w:tabs>
              <w:spacing w:before="120" w:after="0" w:line="240" w:lineRule="auto"/>
              <w:ind w:left="142" w:right="130"/>
              <w:rPr>
                <w:sz w:val="16"/>
                <w:szCs w:val="16"/>
              </w:rPr>
            </w:pPr>
            <w:r w:rsidRPr="00515256">
              <w:rPr>
                <w:sz w:val="16"/>
                <w:szCs w:val="16"/>
              </w:rPr>
              <w:t>TOEFL ITP 552</w:t>
            </w:r>
          </w:p>
          <w:p w14:paraId="52CBF69B" w14:textId="77777777" w:rsidR="00544EFC" w:rsidRPr="00515256" w:rsidRDefault="00544EFC">
            <w:pPr>
              <w:pStyle w:val="BodyCopy"/>
              <w:tabs>
                <w:tab w:val="left" w:pos="143"/>
              </w:tabs>
              <w:spacing w:before="120" w:after="0" w:line="240" w:lineRule="auto"/>
              <w:ind w:left="142" w:right="130"/>
              <w:rPr>
                <w:sz w:val="16"/>
                <w:szCs w:val="16"/>
              </w:rPr>
            </w:pPr>
            <w:r w:rsidRPr="00515256">
              <w:rPr>
                <w:sz w:val="16"/>
                <w:szCs w:val="16"/>
              </w:rPr>
              <w:t>TOEFL iBT 80</w:t>
            </w:r>
          </w:p>
          <w:p w14:paraId="75C08973" w14:textId="77777777" w:rsidR="00544EFC" w:rsidRPr="00515256" w:rsidRDefault="00544EFC">
            <w:pPr>
              <w:pStyle w:val="BodyCopy"/>
              <w:tabs>
                <w:tab w:val="left" w:pos="143"/>
              </w:tabs>
              <w:spacing w:before="120" w:after="0" w:line="240" w:lineRule="auto"/>
              <w:ind w:left="142" w:right="130"/>
              <w:rPr>
                <w:sz w:val="16"/>
                <w:szCs w:val="16"/>
              </w:rPr>
            </w:pPr>
            <w:r w:rsidRPr="00515256">
              <w:rPr>
                <w:sz w:val="16"/>
                <w:szCs w:val="16"/>
              </w:rPr>
              <w:t>PTE Academic 56</w:t>
            </w:r>
          </w:p>
        </w:tc>
        <w:tc>
          <w:tcPr>
            <w:tcW w:w="1214" w:type="pct"/>
          </w:tcPr>
          <w:p w14:paraId="7665E541" w14:textId="77777777" w:rsidR="00544EFC" w:rsidRPr="00515256" w:rsidRDefault="00544EFC">
            <w:pPr>
              <w:pStyle w:val="BodyCopy"/>
              <w:tabs>
                <w:tab w:val="left" w:pos="143"/>
              </w:tabs>
              <w:spacing w:before="120" w:after="0" w:line="240" w:lineRule="auto"/>
              <w:ind w:left="142" w:right="130"/>
              <w:rPr>
                <w:sz w:val="16"/>
                <w:szCs w:val="16"/>
              </w:rPr>
            </w:pPr>
            <w:r w:rsidRPr="00515256">
              <w:rPr>
                <w:sz w:val="16"/>
                <w:szCs w:val="16"/>
              </w:rPr>
              <w:t>IELTS 6.5</w:t>
            </w:r>
          </w:p>
          <w:p w14:paraId="3E18DEC8" w14:textId="77777777" w:rsidR="00544EFC" w:rsidRPr="00515256" w:rsidRDefault="00544EFC">
            <w:pPr>
              <w:pStyle w:val="BodyCopy"/>
              <w:tabs>
                <w:tab w:val="left" w:pos="143"/>
              </w:tabs>
              <w:spacing w:before="120" w:after="0" w:line="240" w:lineRule="auto"/>
              <w:ind w:left="142" w:right="130"/>
              <w:rPr>
                <w:sz w:val="16"/>
                <w:szCs w:val="16"/>
              </w:rPr>
            </w:pPr>
            <w:r w:rsidRPr="00515256">
              <w:rPr>
                <w:sz w:val="16"/>
                <w:szCs w:val="16"/>
              </w:rPr>
              <w:t>TOEFL ITP 570</w:t>
            </w:r>
          </w:p>
          <w:p w14:paraId="5B277559" w14:textId="77777777" w:rsidR="00544EFC" w:rsidRPr="00515256" w:rsidRDefault="00544EFC">
            <w:pPr>
              <w:pStyle w:val="BodyCopy"/>
              <w:tabs>
                <w:tab w:val="left" w:pos="143"/>
              </w:tabs>
              <w:spacing w:before="120" w:after="0" w:line="240" w:lineRule="auto"/>
              <w:ind w:left="142" w:right="130"/>
              <w:rPr>
                <w:sz w:val="16"/>
                <w:szCs w:val="16"/>
              </w:rPr>
            </w:pPr>
            <w:r w:rsidRPr="00515256">
              <w:rPr>
                <w:sz w:val="16"/>
                <w:szCs w:val="16"/>
              </w:rPr>
              <w:t>TOEFL iBT 88</w:t>
            </w:r>
          </w:p>
          <w:p w14:paraId="13CDB73E" w14:textId="77777777" w:rsidR="00544EFC" w:rsidRPr="00515256" w:rsidRDefault="00544EFC">
            <w:pPr>
              <w:pStyle w:val="BodyCopy"/>
              <w:tabs>
                <w:tab w:val="left" w:pos="143"/>
              </w:tabs>
              <w:spacing w:before="120" w:after="0" w:line="240" w:lineRule="auto"/>
              <w:ind w:left="142" w:right="130"/>
              <w:rPr>
                <w:sz w:val="16"/>
                <w:szCs w:val="16"/>
              </w:rPr>
            </w:pPr>
            <w:r w:rsidRPr="00515256">
              <w:rPr>
                <w:sz w:val="16"/>
                <w:szCs w:val="16"/>
              </w:rPr>
              <w:t>PTE Academic 61</w:t>
            </w:r>
          </w:p>
        </w:tc>
      </w:tr>
      <w:tr w:rsidR="00544EFC" w:rsidRPr="007E1B57" w14:paraId="63B0063C" w14:textId="77777777">
        <w:trPr>
          <w:cantSplit/>
          <w:trHeight w:val="212"/>
        </w:trPr>
        <w:tc>
          <w:tcPr>
            <w:tcW w:w="1287" w:type="pct"/>
          </w:tcPr>
          <w:p w14:paraId="2E3DA591" w14:textId="77777777" w:rsidR="00544EFC" w:rsidRPr="00EA2015" w:rsidRDefault="00544EFC">
            <w:pPr>
              <w:pStyle w:val="BodyCopy"/>
              <w:tabs>
                <w:tab w:val="left" w:pos="143"/>
              </w:tabs>
              <w:spacing w:before="120" w:after="0" w:line="240" w:lineRule="auto"/>
              <w:ind w:left="142" w:right="130"/>
              <w:rPr>
                <w:b/>
                <w:bCs/>
                <w:sz w:val="16"/>
                <w:szCs w:val="16"/>
              </w:rPr>
            </w:pPr>
            <w:r w:rsidRPr="00EA2015">
              <w:rPr>
                <w:b/>
                <w:bCs/>
                <w:sz w:val="16"/>
                <w:szCs w:val="16"/>
              </w:rPr>
              <w:t>Masters</w:t>
            </w:r>
          </w:p>
        </w:tc>
        <w:tc>
          <w:tcPr>
            <w:tcW w:w="1284" w:type="pct"/>
          </w:tcPr>
          <w:p w14:paraId="0E0571E3" w14:textId="77777777" w:rsidR="00544EFC" w:rsidRPr="0015610B" w:rsidRDefault="00544EFC">
            <w:pPr>
              <w:pStyle w:val="BodyCopy"/>
              <w:tabs>
                <w:tab w:val="left" w:pos="143"/>
              </w:tabs>
              <w:spacing w:before="120" w:after="0" w:line="240" w:lineRule="auto"/>
              <w:ind w:left="142" w:right="130"/>
              <w:rPr>
                <w:sz w:val="16"/>
                <w:szCs w:val="16"/>
              </w:rPr>
            </w:pPr>
            <w:r w:rsidRPr="0015610B">
              <w:rPr>
                <w:sz w:val="16"/>
                <w:szCs w:val="16"/>
              </w:rPr>
              <w:t>IELTS 6.0</w:t>
            </w:r>
          </w:p>
          <w:p w14:paraId="01EECC83" w14:textId="77777777" w:rsidR="00544EFC" w:rsidRPr="0015610B" w:rsidRDefault="00544EFC">
            <w:pPr>
              <w:pStyle w:val="BodyCopy"/>
              <w:tabs>
                <w:tab w:val="left" w:pos="143"/>
              </w:tabs>
              <w:spacing w:before="120" w:after="0" w:line="240" w:lineRule="auto"/>
              <w:ind w:left="142" w:right="130"/>
              <w:rPr>
                <w:sz w:val="16"/>
                <w:szCs w:val="16"/>
              </w:rPr>
            </w:pPr>
            <w:r w:rsidRPr="0015610B">
              <w:rPr>
                <w:sz w:val="16"/>
                <w:szCs w:val="16"/>
              </w:rPr>
              <w:t>TOEFL ITP 552</w:t>
            </w:r>
          </w:p>
          <w:p w14:paraId="41287629" w14:textId="77777777" w:rsidR="00544EFC" w:rsidRPr="0015610B" w:rsidRDefault="00544EFC">
            <w:pPr>
              <w:pStyle w:val="BodyCopy"/>
              <w:tabs>
                <w:tab w:val="left" w:pos="143"/>
              </w:tabs>
              <w:spacing w:before="120" w:after="0" w:line="240" w:lineRule="auto"/>
              <w:ind w:left="142" w:right="130"/>
              <w:rPr>
                <w:sz w:val="16"/>
                <w:szCs w:val="16"/>
              </w:rPr>
            </w:pPr>
            <w:r w:rsidRPr="0015610B">
              <w:rPr>
                <w:sz w:val="16"/>
                <w:szCs w:val="16"/>
              </w:rPr>
              <w:t>TOEFL iBT 80</w:t>
            </w:r>
          </w:p>
          <w:p w14:paraId="4849E20E" w14:textId="77777777" w:rsidR="00544EFC" w:rsidRPr="0015610B" w:rsidRDefault="00544EFC">
            <w:pPr>
              <w:pStyle w:val="BodyCopy"/>
              <w:tabs>
                <w:tab w:val="left" w:pos="143"/>
              </w:tabs>
              <w:spacing w:before="120" w:after="0" w:line="240" w:lineRule="auto"/>
              <w:ind w:left="142" w:right="130"/>
              <w:rPr>
                <w:sz w:val="16"/>
                <w:szCs w:val="16"/>
              </w:rPr>
            </w:pPr>
            <w:r w:rsidRPr="0015610B">
              <w:rPr>
                <w:sz w:val="16"/>
                <w:szCs w:val="16"/>
              </w:rPr>
              <w:t>PTE Academic 56</w:t>
            </w:r>
          </w:p>
        </w:tc>
        <w:tc>
          <w:tcPr>
            <w:tcW w:w="1214" w:type="pct"/>
          </w:tcPr>
          <w:p w14:paraId="557217CA" w14:textId="77777777" w:rsidR="00544EFC" w:rsidRPr="0015610B" w:rsidRDefault="00544EFC">
            <w:pPr>
              <w:pStyle w:val="BodyCopy"/>
              <w:tabs>
                <w:tab w:val="left" w:pos="143"/>
              </w:tabs>
              <w:spacing w:before="120" w:after="0" w:line="240" w:lineRule="auto"/>
              <w:ind w:left="142" w:right="130"/>
              <w:rPr>
                <w:sz w:val="16"/>
                <w:szCs w:val="16"/>
              </w:rPr>
            </w:pPr>
            <w:r w:rsidRPr="0015610B">
              <w:rPr>
                <w:sz w:val="16"/>
                <w:szCs w:val="16"/>
              </w:rPr>
              <w:t xml:space="preserve">IELTS </w:t>
            </w:r>
            <w:r>
              <w:rPr>
                <w:sz w:val="16"/>
                <w:szCs w:val="16"/>
              </w:rPr>
              <w:t>4.5</w:t>
            </w:r>
          </w:p>
          <w:p w14:paraId="15077F05" w14:textId="1919A9B4" w:rsidR="00544EFC" w:rsidRPr="0015610B" w:rsidRDefault="00544EFC">
            <w:pPr>
              <w:pStyle w:val="BodyCopy"/>
              <w:tabs>
                <w:tab w:val="left" w:pos="143"/>
              </w:tabs>
              <w:spacing w:before="120" w:after="0" w:line="240" w:lineRule="auto"/>
              <w:ind w:left="142" w:right="130"/>
              <w:rPr>
                <w:sz w:val="16"/>
                <w:szCs w:val="16"/>
              </w:rPr>
            </w:pPr>
            <w:r w:rsidRPr="0015610B">
              <w:rPr>
                <w:sz w:val="16"/>
                <w:szCs w:val="16"/>
              </w:rPr>
              <w:t xml:space="preserve">TOEFL ITP </w:t>
            </w:r>
            <w:r>
              <w:rPr>
                <w:sz w:val="16"/>
                <w:szCs w:val="16"/>
              </w:rPr>
              <w:t>4</w:t>
            </w:r>
            <w:r w:rsidR="001B15CE">
              <w:rPr>
                <w:sz w:val="16"/>
                <w:szCs w:val="16"/>
              </w:rPr>
              <w:t>25</w:t>
            </w:r>
          </w:p>
          <w:p w14:paraId="5BA0A61A" w14:textId="77777777" w:rsidR="00544EFC" w:rsidRPr="0015610B" w:rsidRDefault="00544EFC">
            <w:pPr>
              <w:pStyle w:val="BodyCopy"/>
              <w:tabs>
                <w:tab w:val="left" w:pos="143"/>
              </w:tabs>
              <w:spacing w:before="120" w:after="0" w:line="240" w:lineRule="auto"/>
              <w:ind w:left="142" w:right="130"/>
              <w:rPr>
                <w:sz w:val="16"/>
                <w:szCs w:val="16"/>
              </w:rPr>
            </w:pPr>
            <w:r w:rsidRPr="0015610B">
              <w:rPr>
                <w:sz w:val="16"/>
                <w:szCs w:val="16"/>
              </w:rPr>
              <w:t xml:space="preserve">TOEFL iBT </w:t>
            </w:r>
            <w:r>
              <w:rPr>
                <w:sz w:val="16"/>
                <w:szCs w:val="16"/>
              </w:rPr>
              <w:t>33</w:t>
            </w:r>
          </w:p>
          <w:p w14:paraId="3D1111A1" w14:textId="77777777" w:rsidR="00544EFC" w:rsidRPr="0015610B" w:rsidRDefault="00544EFC">
            <w:pPr>
              <w:pStyle w:val="BodyCopy"/>
              <w:tabs>
                <w:tab w:val="left" w:pos="143"/>
              </w:tabs>
              <w:spacing w:before="120" w:after="0" w:line="240" w:lineRule="auto"/>
              <w:ind w:left="142" w:right="130"/>
              <w:rPr>
                <w:sz w:val="16"/>
                <w:szCs w:val="16"/>
              </w:rPr>
            </w:pPr>
            <w:r w:rsidRPr="0015610B">
              <w:rPr>
                <w:sz w:val="16"/>
                <w:szCs w:val="16"/>
              </w:rPr>
              <w:t xml:space="preserve">PTE Academic </w:t>
            </w:r>
            <w:r>
              <w:rPr>
                <w:sz w:val="16"/>
                <w:szCs w:val="16"/>
              </w:rPr>
              <w:t>32</w:t>
            </w:r>
          </w:p>
        </w:tc>
        <w:tc>
          <w:tcPr>
            <w:tcW w:w="1214" w:type="pct"/>
          </w:tcPr>
          <w:p w14:paraId="52DE33B1" w14:textId="77777777" w:rsidR="00544EFC" w:rsidRPr="0015610B" w:rsidRDefault="00544EFC">
            <w:pPr>
              <w:pStyle w:val="BodyCopy"/>
              <w:tabs>
                <w:tab w:val="left" w:pos="143"/>
              </w:tabs>
              <w:spacing w:before="120" w:after="0" w:line="240" w:lineRule="auto"/>
              <w:ind w:left="142" w:right="130"/>
              <w:rPr>
                <w:sz w:val="16"/>
                <w:szCs w:val="16"/>
              </w:rPr>
            </w:pPr>
            <w:r w:rsidRPr="0015610B">
              <w:rPr>
                <w:sz w:val="16"/>
                <w:szCs w:val="16"/>
              </w:rPr>
              <w:t>IELTS 6.0</w:t>
            </w:r>
          </w:p>
          <w:p w14:paraId="3171DDDA" w14:textId="77777777" w:rsidR="00544EFC" w:rsidRPr="0015610B" w:rsidRDefault="00544EFC">
            <w:pPr>
              <w:pStyle w:val="BodyCopy"/>
              <w:tabs>
                <w:tab w:val="left" w:pos="143"/>
              </w:tabs>
              <w:spacing w:before="120" w:after="0" w:line="240" w:lineRule="auto"/>
              <w:ind w:left="142" w:right="130"/>
              <w:rPr>
                <w:sz w:val="16"/>
                <w:szCs w:val="16"/>
              </w:rPr>
            </w:pPr>
            <w:r w:rsidRPr="0015610B">
              <w:rPr>
                <w:sz w:val="16"/>
                <w:szCs w:val="16"/>
              </w:rPr>
              <w:t>TOEFL ITP 552</w:t>
            </w:r>
          </w:p>
          <w:p w14:paraId="7858B1C9" w14:textId="77777777" w:rsidR="00544EFC" w:rsidRPr="0015610B" w:rsidRDefault="00544EFC">
            <w:pPr>
              <w:pStyle w:val="BodyCopy"/>
              <w:tabs>
                <w:tab w:val="left" w:pos="143"/>
              </w:tabs>
              <w:spacing w:before="120" w:after="0" w:line="240" w:lineRule="auto"/>
              <w:ind w:left="142" w:right="130"/>
              <w:rPr>
                <w:sz w:val="16"/>
                <w:szCs w:val="16"/>
              </w:rPr>
            </w:pPr>
            <w:r w:rsidRPr="0015610B">
              <w:rPr>
                <w:sz w:val="16"/>
                <w:szCs w:val="16"/>
              </w:rPr>
              <w:t>TOEFL iBT 80</w:t>
            </w:r>
          </w:p>
          <w:p w14:paraId="7DA951B2" w14:textId="77777777" w:rsidR="00544EFC" w:rsidRPr="0015610B" w:rsidRDefault="00544EFC">
            <w:pPr>
              <w:pStyle w:val="BodyCopy"/>
              <w:tabs>
                <w:tab w:val="left" w:pos="143"/>
              </w:tabs>
              <w:spacing w:before="120" w:after="0" w:line="240" w:lineRule="auto"/>
              <w:ind w:left="142" w:right="130"/>
              <w:rPr>
                <w:sz w:val="16"/>
                <w:szCs w:val="16"/>
              </w:rPr>
            </w:pPr>
            <w:r w:rsidRPr="0015610B">
              <w:rPr>
                <w:sz w:val="16"/>
                <w:szCs w:val="16"/>
              </w:rPr>
              <w:t>PTE Academic 56</w:t>
            </w:r>
          </w:p>
        </w:tc>
      </w:tr>
    </w:tbl>
    <w:p w14:paraId="72EC0D47" w14:textId="6CA4875A" w:rsidR="00544EFC" w:rsidRPr="00ED008E" w:rsidRDefault="00544EFC" w:rsidP="00544EFC">
      <w:pPr>
        <w:ind w:left="720"/>
        <w:rPr>
          <w:rFonts w:eastAsia="Times New Roman" w:cs="Arial"/>
          <w:i/>
          <w:iCs/>
          <w:sz w:val="18"/>
          <w:szCs w:val="18"/>
        </w:rPr>
      </w:pPr>
      <w:r w:rsidRPr="00ED008E">
        <w:rPr>
          <w:rFonts w:eastAsia="Times New Roman" w:cs="Arial"/>
          <w:i/>
          <w:iCs/>
          <w:sz w:val="18"/>
          <w:szCs w:val="18"/>
        </w:rPr>
        <w:t>* GoI: Government of Indonesia</w:t>
      </w:r>
      <w:r w:rsidR="00F17C65">
        <w:rPr>
          <w:rFonts w:eastAsia="Times New Roman" w:cs="Arial"/>
          <w:i/>
          <w:iCs/>
          <w:sz w:val="18"/>
          <w:szCs w:val="18"/>
        </w:rPr>
        <w:t>. Applicants</w:t>
      </w:r>
      <w:r w:rsidR="00F17C65" w:rsidRPr="00F17C65">
        <w:rPr>
          <w:rFonts w:eastAsia="Times New Roman" w:cs="Arial"/>
          <w:i/>
          <w:iCs/>
          <w:sz w:val="18"/>
          <w:szCs w:val="18"/>
        </w:rPr>
        <w:t xml:space="preserve"> from government agencies (central, provincial, or local) are eligible for this </w:t>
      </w:r>
      <w:r w:rsidR="00F17C65">
        <w:rPr>
          <w:rFonts w:eastAsia="Times New Roman" w:cs="Arial"/>
          <w:i/>
          <w:iCs/>
          <w:sz w:val="18"/>
          <w:szCs w:val="18"/>
        </w:rPr>
        <w:t>category</w:t>
      </w:r>
      <w:r w:rsidR="00F17C65" w:rsidRPr="00F17C65">
        <w:rPr>
          <w:rFonts w:eastAsia="Times New Roman" w:cs="Arial"/>
          <w:i/>
          <w:iCs/>
          <w:sz w:val="18"/>
          <w:szCs w:val="18"/>
        </w:rPr>
        <w:t xml:space="preserve">, excluding employees of state-owned enterprises. The category will be </w:t>
      </w:r>
      <w:r w:rsidR="00F17C65">
        <w:rPr>
          <w:rFonts w:eastAsia="Times New Roman" w:cs="Arial"/>
          <w:i/>
          <w:iCs/>
          <w:sz w:val="18"/>
          <w:szCs w:val="18"/>
        </w:rPr>
        <w:t>limited</w:t>
      </w:r>
      <w:r w:rsidR="00F17C65" w:rsidRPr="00F17C65">
        <w:rPr>
          <w:rFonts w:eastAsia="Times New Roman" w:cs="Arial"/>
          <w:i/>
          <w:iCs/>
          <w:sz w:val="18"/>
          <w:szCs w:val="18"/>
        </w:rPr>
        <w:t xml:space="preserve"> to individuals holding the status of civil servant (</w:t>
      </w:r>
      <w:proofErr w:type="spellStart"/>
      <w:r w:rsidR="00F17C65" w:rsidRPr="00F17C65">
        <w:rPr>
          <w:rFonts w:eastAsia="Times New Roman" w:cs="Arial"/>
          <w:i/>
          <w:iCs/>
          <w:sz w:val="18"/>
          <w:szCs w:val="18"/>
        </w:rPr>
        <w:t>Pegawai</w:t>
      </w:r>
      <w:proofErr w:type="spellEnd"/>
      <w:r w:rsidR="00F17C65" w:rsidRPr="00F17C65">
        <w:rPr>
          <w:rFonts w:eastAsia="Times New Roman" w:cs="Arial"/>
          <w:i/>
          <w:iCs/>
          <w:sz w:val="18"/>
          <w:szCs w:val="18"/>
        </w:rPr>
        <w:t xml:space="preserve"> Negeri </w:t>
      </w:r>
      <w:proofErr w:type="spellStart"/>
      <w:r w:rsidR="00F17C65" w:rsidRPr="00F17C65">
        <w:rPr>
          <w:rFonts w:eastAsia="Times New Roman" w:cs="Arial"/>
          <w:i/>
          <w:iCs/>
          <w:sz w:val="18"/>
          <w:szCs w:val="18"/>
        </w:rPr>
        <w:t>Sipil</w:t>
      </w:r>
      <w:proofErr w:type="spellEnd"/>
      <w:r w:rsidR="00F17C65" w:rsidRPr="00F17C65">
        <w:rPr>
          <w:rFonts w:eastAsia="Times New Roman" w:cs="Arial"/>
          <w:i/>
          <w:iCs/>
          <w:sz w:val="18"/>
          <w:szCs w:val="18"/>
        </w:rPr>
        <w:t>)</w:t>
      </w:r>
      <w:r w:rsidR="00F17C65">
        <w:rPr>
          <w:rFonts w:eastAsia="Times New Roman" w:cs="Arial"/>
          <w:i/>
          <w:iCs/>
          <w:sz w:val="18"/>
          <w:szCs w:val="18"/>
        </w:rPr>
        <w:t>.</w:t>
      </w:r>
    </w:p>
    <w:p w14:paraId="64C642B2" w14:textId="7943CC58" w:rsidR="00544EFC" w:rsidRPr="00ED008E" w:rsidRDefault="00544EFC" w:rsidP="00544EFC">
      <w:pPr>
        <w:ind w:left="720"/>
        <w:rPr>
          <w:rFonts w:eastAsia="Times New Roman" w:cs="Arial"/>
          <w:i/>
          <w:iCs/>
          <w:sz w:val="18"/>
          <w:szCs w:val="18"/>
        </w:rPr>
      </w:pPr>
      <w:r w:rsidRPr="00ED008E">
        <w:rPr>
          <w:rFonts w:eastAsia="Times New Roman" w:cs="Arial"/>
          <w:i/>
          <w:iCs/>
          <w:sz w:val="18"/>
          <w:szCs w:val="18"/>
        </w:rPr>
        <w:t>** ETG: Equity Target Group</w:t>
      </w:r>
      <w:r w:rsidR="00F17C65">
        <w:rPr>
          <w:rFonts w:eastAsia="Times New Roman" w:cs="Arial"/>
          <w:i/>
          <w:iCs/>
          <w:sz w:val="18"/>
          <w:szCs w:val="18"/>
        </w:rPr>
        <w:t xml:space="preserve">. </w:t>
      </w:r>
      <w:r w:rsidR="00F17C65" w:rsidRPr="00F17C65">
        <w:rPr>
          <w:rFonts w:eastAsia="Times New Roman" w:cs="Arial"/>
          <w:i/>
          <w:iCs/>
          <w:sz w:val="18"/>
          <w:szCs w:val="18"/>
        </w:rPr>
        <w:t>Applicants with disabilities, women from disadvantaged backgrounds, or those from 15 target provinces are eligible for this category.</w:t>
      </w:r>
    </w:p>
    <w:p w14:paraId="12F1A478" w14:textId="390350BE" w:rsidR="00544EFC" w:rsidRPr="00806C81" w:rsidRDefault="00544EFC" w:rsidP="00806C81">
      <w:pPr>
        <w:ind w:left="720"/>
        <w:rPr>
          <w:rFonts w:eastAsia="Times New Roman" w:cs="Arial"/>
          <w:i/>
          <w:iCs/>
          <w:sz w:val="18"/>
          <w:szCs w:val="18"/>
        </w:rPr>
      </w:pPr>
      <w:r w:rsidRPr="00ED008E">
        <w:rPr>
          <w:rFonts w:eastAsia="Times New Roman" w:cs="Arial"/>
          <w:i/>
          <w:iCs/>
          <w:sz w:val="18"/>
          <w:szCs w:val="18"/>
        </w:rPr>
        <w:t>*** NT: Non-</w:t>
      </w:r>
      <w:proofErr w:type="spellStart"/>
      <w:r w:rsidRPr="00ED008E">
        <w:rPr>
          <w:rFonts w:eastAsia="Times New Roman" w:cs="Arial"/>
          <w:i/>
          <w:iCs/>
          <w:sz w:val="18"/>
          <w:szCs w:val="18"/>
        </w:rPr>
        <w:t>Targeted</w:t>
      </w:r>
      <w:r w:rsidR="00F17C65">
        <w:rPr>
          <w:rFonts w:eastAsia="Times New Roman" w:cs="Arial"/>
          <w:i/>
          <w:iCs/>
          <w:sz w:val="18"/>
          <w:szCs w:val="18"/>
        </w:rPr>
        <w:t>.</w:t>
      </w:r>
      <w:r w:rsidR="00F17C65">
        <w:rPr>
          <w:rStyle w:val="CommentReference"/>
        </w:rPr>
        <w:t>A</w:t>
      </w:r>
      <w:r w:rsidR="00F17C65" w:rsidRPr="00F17C65">
        <w:rPr>
          <w:rFonts w:eastAsia="Times New Roman" w:cs="Arial"/>
          <w:i/>
          <w:iCs/>
          <w:sz w:val="18"/>
          <w:szCs w:val="18"/>
        </w:rPr>
        <w:t>ll</w:t>
      </w:r>
      <w:proofErr w:type="spellEnd"/>
      <w:r w:rsidR="00F17C65" w:rsidRPr="00F17C65">
        <w:rPr>
          <w:rFonts w:eastAsia="Times New Roman" w:cs="Arial"/>
          <w:i/>
          <w:iCs/>
          <w:sz w:val="18"/>
          <w:szCs w:val="18"/>
        </w:rPr>
        <w:t xml:space="preserve"> other applicants not part of the target groups outlined above</w:t>
      </w:r>
      <w:r w:rsidR="00F17C65">
        <w:rPr>
          <w:rFonts w:eastAsia="Times New Roman" w:cs="Arial"/>
          <w:i/>
          <w:iCs/>
          <w:sz w:val="18"/>
          <w:szCs w:val="18"/>
        </w:rPr>
        <w:t>.</w:t>
      </w:r>
    </w:p>
    <w:p w14:paraId="5B3F4D69" w14:textId="40E85239" w:rsidR="00544EFC" w:rsidRPr="00414D74" w:rsidRDefault="00544EFC" w:rsidP="00544EFC">
      <w:pPr>
        <w:pStyle w:val="Bullet"/>
        <w:rPr>
          <w:rFonts w:eastAsia="Times New Roman" w:cs="Arial"/>
        </w:rPr>
      </w:pPr>
      <w:r w:rsidRPr="00414D74">
        <w:rPr>
          <w:rFonts w:eastAsia="Times New Roman" w:cs="Arial"/>
        </w:rPr>
        <w:t>The IELTS</w:t>
      </w:r>
      <w:r w:rsidR="00F17C65">
        <w:rPr>
          <w:rFonts w:eastAsia="Times New Roman" w:cs="Arial"/>
        </w:rPr>
        <w:t xml:space="preserve"> (</w:t>
      </w:r>
      <w:r w:rsidR="00F17C65" w:rsidRPr="00F17C65">
        <w:rPr>
          <w:rFonts w:eastAsia="Times New Roman" w:cs="Arial"/>
        </w:rPr>
        <w:t>International English Language Testing System</w:t>
      </w:r>
      <w:r w:rsidR="00F17C65">
        <w:rPr>
          <w:rFonts w:eastAsia="Times New Roman" w:cs="Arial"/>
        </w:rPr>
        <w:t>)</w:t>
      </w:r>
      <w:r>
        <w:rPr>
          <w:rFonts w:eastAsia="Times New Roman" w:cs="Arial"/>
        </w:rPr>
        <w:t>, TOEFL</w:t>
      </w:r>
      <w:r w:rsidR="00F17C65">
        <w:rPr>
          <w:rFonts w:eastAsia="Times New Roman" w:cs="Arial"/>
        </w:rPr>
        <w:t xml:space="preserve"> (</w:t>
      </w:r>
      <w:r w:rsidR="00F17C65" w:rsidRPr="00F17C65">
        <w:rPr>
          <w:rFonts w:eastAsia="Times New Roman" w:cs="Arial"/>
        </w:rPr>
        <w:t>Test of English as a Foreign Language</w:t>
      </w:r>
      <w:r w:rsidR="00F17C65">
        <w:rPr>
          <w:rFonts w:eastAsia="Times New Roman" w:cs="Arial"/>
        </w:rPr>
        <w:t>)</w:t>
      </w:r>
      <w:r>
        <w:rPr>
          <w:rFonts w:eastAsia="Times New Roman" w:cs="Arial"/>
        </w:rPr>
        <w:t>,</w:t>
      </w:r>
      <w:r w:rsidRPr="00414D74">
        <w:rPr>
          <w:rFonts w:eastAsia="Times New Roman" w:cs="Arial"/>
        </w:rPr>
        <w:t xml:space="preserve"> or PTE</w:t>
      </w:r>
      <w:r w:rsidR="00F17C65">
        <w:rPr>
          <w:rFonts w:eastAsia="Times New Roman" w:cs="Arial"/>
        </w:rPr>
        <w:t xml:space="preserve"> (Pearson Test of English)</w:t>
      </w:r>
      <w:r w:rsidRPr="00414D74">
        <w:rPr>
          <w:rFonts w:eastAsia="Times New Roman" w:cs="Arial"/>
        </w:rPr>
        <w:t xml:space="preserve"> result</w:t>
      </w:r>
      <w:r>
        <w:rPr>
          <w:rFonts w:eastAsia="Times New Roman" w:cs="Arial"/>
        </w:rPr>
        <w:t>s</w:t>
      </w:r>
      <w:r w:rsidRPr="00414D74">
        <w:rPr>
          <w:rFonts w:eastAsia="Times New Roman" w:cs="Arial"/>
        </w:rPr>
        <w:t xml:space="preserve"> must be current</w:t>
      </w:r>
      <w:r>
        <w:t xml:space="preserve"> and </w:t>
      </w:r>
      <w:r w:rsidRPr="00CB3290">
        <w:t xml:space="preserve">valid </w:t>
      </w:r>
      <w:r>
        <w:t xml:space="preserve">as </w:t>
      </w:r>
      <w:proofErr w:type="gramStart"/>
      <w:r w:rsidR="004430C5">
        <w:t>at</w:t>
      </w:r>
      <w:proofErr w:type="gramEnd"/>
      <w:r w:rsidRPr="00CB3290">
        <w:t xml:space="preserve"> 1 January </w:t>
      </w:r>
      <w:r>
        <w:t xml:space="preserve">2026. </w:t>
      </w:r>
      <w:r w:rsidRPr="00810245">
        <w:t xml:space="preserve"> (IELTS, TOEFL scores, and PTE Academic are valid for two years after the test date)</w:t>
      </w:r>
      <w:r>
        <w:t xml:space="preserve">. </w:t>
      </w:r>
      <w:r w:rsidRPr="00810245">
        <w:t xml:space="preserve">The test date must be no later than </w:t>
      </w:r>
      <w:r>
        <w:t xml:space="preserve">1 </w:t>
      </w:r>
      <w:r w:rsidRPr="00810245">
        <w:t>January 2024</w:t>
      </w:r>
      <w:r w:rsidRPr="00414D74">
        <w:rPr>
          <w:rFonts w:eastAsia="Times New Roman" w:cs="Arial"/>
        </w:rPr>
        <w:t xml:space="preserve">. No other English language test (including </w:t>
      </w:r>
      <w:r>
        <w:rPr>
          <w:rFonts w:eastAsia="Times New Roman" w:cs="Arial"/>
        </w:rPr>
        <w:t xml:space="preserve">the </w:t>
      </w:r>
      <w:r w:rsidRPr="00414D74">
        <w:rPr>
          <w:rFonts w:eastAsia="Times New Roman" w:cs="Arial"/>
        </w:rPr>
        <w:t>TOEFL prediction test) results will be accepted;</w:t>
      </w:r>
    </w:p>
    <w:p w14:paraId="2689895E" w14:textId="77777777" w:rsidR="00544EFC" w:rsidRDefault="00544EFC" w:rsidP="00544EFC">
      <w:pPr>
        <w:pStyle w:val="Bullet"/>
        <w:rPr>
          <w:rFonts w:eastAsia="Times New Roman"/>
        </w:rPr>
      </w:pPr>
      <w:r>
        <w:rPr>
          <w:rFonts w:eastAsia="Times New Roman"/>
        </w:rPr>
        <w:t>P</w:t>
      </w:r>
      <w:r w:rsidRPr="00414D74">
        <w:rPr>
          <w:rFonts w:eastAsia="Times New Roman"/>
        </w:rPr>
        <w:t xml:space="preserve">rovide contact details of </w:t>
      </w:r>
      <w:r>
        <w:rPr>
          <w:rFonts w:eastAsia="Times New Roman"/>
        </w:rPr>
        <w:t xml:space="preserve">the </w:t>
      </w:r>
      <w:r w:rsidRPr="00414D74">
        <w:rPr>
          <w:rFonts w:eastAsia="Times New Roman"/>
        </w:rPr>
        <w:t>test centre for verification of TOEFL test results;</w:t>
      </w:r>
    </w:p>
    <w:p w14:paraId="056794EC" w14:textId="5BCC023D" w:rsidR="00544EFC" w:rsidRPr="00414D74" w:rsidRDefault="00544EFC" w:rsidP="00544EFC">
      <w:pPr>
        <w:pStyle w:val="Bullet"/>
        <w:rPr>
          <w:rFonts w:eastAsia="Times New Roman"/>
        </w:rPr>
      </w:pPr>
      <w:r>
        <w:rPr>
          <w:rFonts w:eastAsia="Times New Roman"/>
        </w:rPr>
        <w:t>A</w:t>
      </w:r>
      <w:r w:rsidRPr="00414D74">
        <w:rPr>
          <w:rFonts w:eastAsia="Times New Roman"/>
        </w:rPr>
        <w:t xml:space="preserve">lready hold an undergraduate degree, if applying for a </w:t>
      </w:r>
      <w:proofErr w:type="gramStart"/>
      <w:r>
        <w:rPr>
          <w:rFonts w:eastAsia="Times New Roman"/>
        </w:rPr>
        <w:t>Master</w:t>
      </w:r>
      <w:r w:rsidR="00C15C33">
        <w:rPr>
          <w:rFonts w:eastAsia="Times New Roman"/>
        </w:rPr>
        <w:t>’</w:t>
      </w:r>
      <w:r>
        <w:rPr>
          <w:rFonts w:eastAsia="Times New Roman"/>
        </w:rPr>
        <w:t>s</w:t>
      </w:r>
      <w:proofErr w:type="gramEnd"/>
      <w:r w:rsidR="000F7F55">
        <w:rPr>
          <w:rFonts w:eastAsia="Times New Roman"/>
        </w:rPr>
        <w:t xml:space="preserve"> degree</w:t>
      </w:r>
      <w:r w:rsidRPr="00414D74">
        <w:rPr>
          <w:rFonts w:eastAsia="Times New Roman"/>
        </w:rPr>
        <w:t>;</w:t>
      </w:r>
    </w:p>
    <w:p w14:paraId="71C8D6EE" w14:textId="1C65A794" w:rsidR="00544EFC" w:rsidRDefault="00544EFC" w:rsidP="00544EFC">
      <w:pPr>
        <w:pStyle w:val="Bullet"/>
        <w:rPr>
          <w:rFonts w:eastAsia="Times New Roman"/>
        </w:rPr>
      </w:pPr>
      <w:r>
        <w:rPr>
          <w:rFonts w:eastAsia="Times New Roman"/>
        </w:rPr>
        <w:t>A</w:t>
      </w:r>
      <w:r w:rsidRPr="00414D74">
        <w:rPr>
          <w:rFonts w:eastAsia="Times New Roman"/>
        </w:rPr>
        <w:t xml:space="preserve">lready have a </w:t>
      </w:r>
      <w:proofErr w:type="gramStart"/>
      <w:r>
        <w:rPr>
          <w:rFonts w:eastAsia="Times New Roman"/>
        </w:rPr>
        <w:t>Master</w:t>
      </w:r>
      <w:r w:rsidR="00264F17">
        <w:rPr>
          <w:rFonts w:eastAsia="Times New Roman"/>
        </w:rPr>
        <w:t>’</w:t>
      </w:r>
      <w:r>
        <w:rPr>
          <w:rFonts w:eastAsia="Times New Roman"/>
        </w:rPr>
        <w:t>s</w:t>
      </w:r>
      <w:proofErr w:type="gramEnd"/>
      <w:r>
        <w:rPr>
          <w:rFonts w:eastAsia="Times New Roman"/>
        </w:rPr>
        <w:t xml:space="preserve"> degree</w:t>
      </w:r>
      <w:r w:rsidRPr="00414D74">
        <w:rPr>
          <w:rFonts w:eastAsia="Times New Roman"/>
        </w:rPr>
        <w:t xml:space="preserve"> if applying for a </w:t>
      </w:r>
      <w:r w:rsidR="006008A0">
        <w:rPr>
          <w:rFonts w:eastAsia="Times New Roman"/>
        </w:rPr>
        <w:t>PhD</w:t>
      </w:r>
      <w:r w:rsidRPr="00414D74">
        <w:rPr>
          <w:rFonts w:eastAsia="Times New Roman"/>
        </w:rPr>
        <w:t xml:space="preserve">. Specialisation/professional certificate is not considered a </w:t>
      </w:r>
      <w:proofErr w:type="gramStart"/>
      <w:r>
        <w:rPr>
          <w:rFonts w:eastAsia="Times New Roman"/>
        </w:rPr>
        <w:t>M</w:t>
      </w:r>
      <w:r w:rsidRPr="00414D74">
        <w:rPr>
          <w:rFonts w:eastAsia="Times New Roman"/>
        </w:rPr>
        <w:t>aster</w:t>
      </w:r>
      <w:r w:rsidR="00CC222A">
        <w:rPr>
          <w:rFonts w:eastAsia="Times New Roman"/>
        </w:rPr>
        <w:t>’</w:t>
      </w:r>
      <w:r>
        <w:rPr>
          <w:rFonts w:eastAsia="Times New Roman"/>
        </w:rPr>
        <w:t>s</w:t>
      </w:r>
      <w:proofErr w:type="gramEnd"/>
      <w:r w:rsidRPr="00414D74">
        <w:rPr>
          <w:rFonts w:eastAsia="Times New Roman"/>
        </w:rPr>
        <w:t xml:space="preserve"> degree;</w:t>
      </w:r>
    </w:p>
    <w:p w14:paraId="40EA6751" w14:textId="2CBC1031" w:rsidR="00544EFC" w:rsidRPr="00414D74" w:rsidRDefault="00544EFC" w:rsidP="00544EFC">
      <w:pPr>
        <w:pStyle w:val="Bullet"/>
        <w:rPr>
          <w:rFonts w:eastAsia="Times New Roman"/>
        </w:rPr>
      </w:pPr>
      <w:r>
        <w:rPr>
          <w:rFonts w:eastAsia="Times New Roman"/>
        </w:rPr>
        <w:t>N</w:t>
      </w:r>
      <w:r w:rsidRPr="00B4018F">
        <w:rPr>
          <w:rFonts w:eastAsia="Times New Roman"/>
        </w:rPr>
        <w:t>ot have previously received a long-term Australia Award</w:t>
      </w:r>
      <w:r>
        <w:rPr>
          <w:rFonts w:eastAsia="Times New Roman"/>
        </w:rPr>
        <w:t>s Scholarship</w:t>
      </w:r>
      <w:r w:rsidRPr="00B4018F">
        <w:rPr>
          <w:rFonts w:eastAsia="Times New Roman"/>
        </w:rPr>
        <w:t xml:space="preserve"> in the previous four years;</w:t>
      </w:r>
    </w:p>
    <w:p w14:paraId="7B8A55D4" w14:textId="77777777" w:rsidR="00544EFC" w:rsidRPr="00414D74" w:rsidRDefault="00544EFC" w:rsidP="00544EFC">
      <w:pPr>
        <w:pStyle w:val="Bullet"/>
        <w:rPr>
          <w:rFonts w:eastAsia="Times New Roman"/>
        </w:rPr>
      </w:pPr>
      <w:r>
        <w:rPr>
          <w:rFonts w:eastAsia="Times New Roman"/>
        </w:rPr>
        <w:t>A</w:t>
      </w:r>
      <w:r w:rsidRPr="00414D74">
        <w:rPr>
          <w:rFonts w:eastAsia="Times New Roman"/>
        </w:rPr>
        <w:t>nswer all relevant questions on the application form; and,</w:t>
      </w:r>
    </w:p>
    <w:p w14:paraId="2B8CDD2A" w14:textId="2725FDD2" w:rsidR="00544EFC" w:rsidRPr="00D24399" w:rsidRDefault="00544EFC" w:rsidP="00D24399">
      <w:pPr>
        <w:pStyle w:val="Bullet"/>
        <w:rPr>
          <w:rFonts w:eastAsia="Times New Roman"/>
        </w:rPr>
      </w:pPr>
      <w:r>
        <w:rPr>
          <w:rFonts w:eastAsia="Times New Roman"/>
        </w:rPr>
        <w:t>B</w:t>
      </w:r>
      <w:r w:rsidRPr="00414D74">
        <w:rPr>
          <w:rFonts w:eastAsia="Times New Roman"/>
        </w:rPr>
        <w:t>e willing and available to undertake full-time (Monday - Friday 8</w:t>
      </w:r>
      <w:r>
        <w:rPr>
          <w:rFonts w:eastAsia="Times New Roman"/>
        </w:rPr>
        <w:t xml:space="preserve"> am</w:t>
      </w:r>
      <w:r w:rsidRPr="00414D74">
        <w:rPr>
          <w:rFonts w:eastAsia="Times New Roman"/>
        </w:rPr>
        <w:t>-</w:t>
      </w:r>
      <w:r>
        <w:rPr>
          <w:rFonts w:eastAsia="Times New Roman"/>
        </w:rPr>
        <w:t>4 pm</w:t>
      </w:r>
      <w:r w:rsidRPr="00414D74">
        <w:rPr>
          <w:rFonts w:eastAsia="Times New Roman"/>
        </w:rPr>
        <w:t xml:space="preserve">) </w:t>
      </w:r>
      <w:r w:rsidR="00670DB7">
        <w:rPr>
          <w:rFonts w:eastAsia="Times New Roman"/>
        </w:rPr>
        <w:t xml:space="preserve">Pre-departure training and </w:t>
      </w:r>
      <w:r w:rsidRPr="00414D74">
        <w:rPr>
          <w:rFonts w:eastAsia="Times New Roman"/>
        </w:rPr>
        <w:t>English for Academic Purposes (EAP) training in Indonesia prior to studying in Australia, if offered a scholarship.</w:t>
      </w:r>
      <w:r>
        <w:rPr>
          <w:rFonts w:eastAsia="Times New Roman"/>
        </w:rPr>
        <w:t xml:space="preserve"> </w:t>
      </w:r>
      <w:r w:rsidRPr="00C3245B">
        <w:rPr>
          <w:rFonts w:eastAsia="Times New Roman"/>
        </w:rPr>
        <w:t xml:space="preserve">The duration of the </w:t>
      </w:r>
      <w:r w:rsidRPr="00C3245B">
        <w:rPr>
          <w:rFonts w:eastAsia="Times New Roman"/>
        </w:rPr>
        <w:lastRenderedPageBreak/>
        <w:t>EAP will range from 6 weeks to 6 months, depending on the awardee's level of English skills.</w:t>
      </w:r>
      <w:r w:rsidR="009A1CC6">
        <w:rPr>
          <w:rFonts w:eastAsia="Times New Roman"/>
        </w:rPr>
        <w:t xml:space="preserve"> For applicants from Equity Target Groups with IELTS at 5.5 or below a long</w:t>
      </w:r>
      <w:r w:rsidR="00670DB7">
        <w:rPr>
          <w:rFonts w:eastAsia="Times New Roman"/>
        </w:rPr>
        <w:t>er</w:t>
      </w:r>
      <w:r w:rsidR="009A1CC6">
        <w:rPr>
          <w:rFonts w:eastAsia="Times New Roman"/>
        </w:rPr>
        <w:t xml:space="preserve"> EAP training may be required.</w:t>
      </w:r>
    </w:p>
    <w:p w14:paraId="560D530C" w14:textId="77777777" w:rsidR="00544EFC" w:rsidRPr="00414D74" w:rsidRDefault="00544EFC" w:rsidP="00544EFC">
      <w:pPr>
        <w:spacing w:before="100" w:after="100" w:line="240" w:lineRule="atLeast"/>
        <w:rPr>
          <w:rFonts w:eastAsia="Times New Roman" w:cs="Arial"/>
          <w:szCs w:val="24"/>
        </w:rPr>
      </w:pPr>
      <w:r w:rsidRPr="00414D74">
        <w:rPr>
          <w:rFonts w:eastAsia="Times New Roman" w:cs="Arial"/>
          <w:szCs w:val="24"/>
        </w:rPr>
        <w:t>Additionally:</w:t>
      </w:r>
    </w:p>
    <w:p w14:paraId="6E064FA3" w14:textId="42840A0C" w:rsidR="005E61F0" w:rsidRPr="00554B85" w:rsidRDefault="005E61F0" w:rsidP="00096EF6">
      <w:pPr>
        <w:pStyle w:val="Bullet"/>
        <w:rPr>
          <w:rFonts w:eastAsia="Times New Roman"/>
        </w:rPr>
      </w:pPr>
      <w:r w:rsidRPr="00554B85">
        <w:rPr>
          <w:rFonts w:eastAsia="Times New Roman"/>
        </w:rPr>
        <w:t>PhD awards will be targeted primarily at</w:t>
      </w:r>
      <w:r w:rsidR="00096EF6" w:rsidRPr="00554B85">
        <w:rPr>
          <w:rFonts w:eastAsia="Times New Roman"/>
        </w:rPr>
        <w:t xml:space="preserve"> 1) f</w:t>
      </w:r>
      <w:r w:rsidRPr="00554B85">
        <w:rPr>
          <w:rFonts w:eastAsia="Times New Roman"/>
        </w:rPr>
        <w:t>uture policy makers and policy influencers, including from civil society and academia, who are considered to have the leadership potential, intellectual capacity, and networks to make significant contributions to Indonesia’s development and the Indonesia-Australia relationship; and</w:t>
      </w:r>
      <w:r w:rsidR="00096EF6" w:rsidRPr="00554B85">
        <w:rPr>
          <w:rFonts w:eastAsia="Times New Roman"/>
        </w:rPr>
        <w:t xml:space="preserve"> 2) p</w:t>
      </w:r>
      <w:r w:rsidRPr="00554B85">
        <w:rPr>
          <w:rFonts w:eastAsia="Times New Roman"/>
        </w:rPr>
        <w:t>romising academic researchers or lecturers on cutting-edge topics relevant to (a) Indonesia’s development and (b) Australian strengths, including STEM, with the expectation that they will return and act as a change agent in Indonesia in that field.</w:t>
      </w:r>
    </w:p>
    <w:p w14:paraId="0A8870A7" w14:textId="770CC24F" w:rsidR="003456E1" w:rsidRPr="00554B85" w:rsidRDefault="00544EFC" w:rsidP="00554B85">
      <w:pPr>
        <w:pStyle w:val="Bullet"/>
        <w:rPr>
          <w:rFonts w:eastAsia="Times New Roman"/>
        </w:rPr>
      </w:pPr>
      <w:r w:rsidRPr="005C1877">
        <w:rPr>
          <w:rFonts w:eastAsia="Times New Roman"/>
        </w:rPr>
        <w:t>It is highly desirable for PhD applicants to have a letter of support from an Australian university for their proposed study.</w:t>
      </w:r>
    </w:p>
    <w:p w14:paraId="3102C364" w14:textId="77777777" w:rsidR="00870EC9" w:rsidRPr="00DD7A27" w:rsidRDefault="0024777B" w:rsidP="00D55FB9">
      <w:pPr>
        <w:pStyle w:val="Heading3"/>
        <w:rPr>
          <w:color w:val="002060"/>
          <w:sz w:val="21"/>
          <w:szCs w:val="21"/>
        </w:rPr>
      </w:pPr>
      <w:r>
        <w:rPr>
          <w:color w:val="002060"/>
          <w:sz w:val="21"/>
          <w:szCs w:val="21"/>
        </w:rPr>
        <w:t xml:space="preserve">Application </w:t>
      </w:r>
      <w:r w:rsidR="006F7A86">
        <w:rPr>
          <w:color w:val="002060"/>
          <w:sz w:val="21"/>
          <w:szCs w:val="21"/>
        </w:rPr>
        <w:t>d</w:t>
      </w:r>
      <w:r w:rsidR="00EE3B50" w:rsidRPr="00DD7A27">
        <w:rPr>
          <w:color w:val="002060"/>
          <w:sz w:val="21"/>
          <w:szCs w:val="21"/>
        </w:rPr>
        <w:t xml:space="preserve">ates </w:t>
      </w:r>
    </w:p>
    <w:p w14:paraId="520E9078" w14:textId="1F77E320" w:rsidR="00EE3B50" w:rsidRPr="008C5E56" w:rsidRDefault="00796623" w:rsidP="002E75B9">
      <w:pPr>
        <w:pStyle w:val="BodyCopy"/>
        <w:rPr>
          <w:rFonts w:eastAsiaTheme="minorHAnsi" w:cs="Arial"/>
          <w:b/>
          <w:bCs/>
          <w:color w:val="000000"/>
          <w:spacing w:val="0"/>
        </w:rPr>
      </w:pPr>
      <w:r w:rsidRPr="00796623">
        <w:rPr>
          <w:sz w:val="22"/>
          <w:szCs w:val="22"/>
        </w:rPr>
        <w:t>F</w:t>
      </w:r>
      <w:r w:rsidR="00EE3B50" w:rsidRPr="00796623">
        <w:t>or study</w:t>
      </w:r>
      <w:r w:rsidR="00C4402E" w:rsidRPr="00796623">
        <w:t xml:space="preserve"> commencing in Australia</w:t>
      </w:r>
      <w:r w:rsidR="000A44ED" w:rsidRPr="00796623">
        <w:t xml:space="preserve"> </w:t>
      </w:r>
      <w:r w:rsidR="00C4402E" w:rsidRPr="00796623">
        <w:t>in</w:t>
      </w:r>
      <w:r w:rsidR="00C4402E" w:rsidRPr="0072110F">
        <w:t xml:space="preserve"> </w:t>
      </w:r>
      <w:r w:rsidR="000C32C7">
        <w:rPr>
          <w:rFonts w:eastAsiaTheme="minorHAnsi" w:cs="Arial"/>
          <w:color w:val="000000"/>
          <w:spacing w:val="0"/>
        </w:rPr>
        <w:t>202</w:t>
      </w:r>
      <w:r w:rsidR="006E4C52">
        <w:rPr>
          <w:rFonts w:eastAsiaTheme="minorHAnsi" w:cs="Arial"/>
          <w:color w:val="000000"/>
          <w:spacing w:val="0"/>
        </w:rPr>
        <w:t>6</w:t>
      </w:r>
      <w:r w:rsidR="000C32C7">
        <w:rPr>
          <w:rFonts w:eastAsiaTheme="minorHAnsi" w:cs="Arial"/>
          <w:color w:val="000000"/>
          <w:spacing w:val="0"/>
        </w:rPr>
        <w:t>:</w:t>
      </w:r>
    </w:p>
    <w:p w14:paraId="13C92DD4" w14:textId="0BA96D46" w:rsidR="00EE3B50" w:rsidRPr="00292267" w:rsidRDefault="00DF6FD5" w:rsidP="00457822">
      <w:pPr>
        <w:pStyle w:val="BodyCopy"/>
        <w:tabs>
          <w:tab w:val="left" w:pos="1560"/>
        </w:tabs>
        <w:spacing w:before="60" w:after="0" w:line="240" w:lineRule="auto"/>
        <w:jc w:val="both"/>
        <w:rPr>
          <w:color w:val="auto"/>
        </w:rPr>
      </w:pPr>
      <w:r w:rsidRPr="00292267">
        <w:rPr>
          <w:color w:val="auto"/>
        </w:rPr>
        <w:t xml:space="preserve">Opening date: </w:t>
      </w:r>
      <w:r w:rsidR="000C32C7" w:rsidRPr="00292267">
        <w:rPr>
          <w:color w:val="auto"/>
        </w:rPr>
        <w:t>1 February 202</w:t>
      </w:r>
      <w:r w:rsidR="006E4C52">
        <w:rPr>
          <w:color w:val="auto"/>
        </w:rPr>
        <w:t>5</w:t>
      </w:r>
    </w:p>
    <w:p w14:paraId="27EFD683" w14:textId="2D1664E0" w:rsidR="00EE3B50" w:rsidRPr="0072110F" w:rsidRDefault="00EE3B50" w:rsidP="00457822">
      <w:pPr>
        <w:pStyle w:val="BodyCopy"/>
        <w:tabs>
          <w:tab w:val="left" w:pos="1560"/>
        </w:tabs>
        <w:spacing w:before="60" w:after="0" w:line="240" w:lineRule="auto"/>
        <w:jc w:val="both"/>
        <w:rPr>
          <w:b/>
          <w:color w:val="auto"/>
        </w:rPr>
      </w:pPr>
      <w:r w:rsidRPr="00292267">
        <w:rPr>
          <w:color w:val="auto"/>
        </w:rPr>
        <w:t xml:space="preserve">Closing date: </w:t>
      </w:r>
      <w:r w:rsidR="00054A53">
        <w:rPr>
          <w:color w:val="auto"/>
        </w:rPr>
        <w:t>30 April</w:t>
      </w:r>
      <w:r w:rsidR="000C32C7" w:rsidRPr="00292267">
        <w:rPr>
          <w:color w:val="auto"/>
        </w:rPr>
        <w:t xml:space="preserve"> 202</w:t>
      </w:r>
      <w:r w:rsidR="006E4C52">
        <w:rPr>
          <w:color w:val="auto"/>
        </w:rPr>
        <w:t>5</w:t>
      </w:r>
      <w:r w:rsidR="00A9484A">
        <w:rPr>
          <w:color w:val="auto"/>
        </w:rPr>
        <w:t xml:space="preserve"> </w:t>
      </w:r>
      <w:r w:rsidR="00214270">
        <w:rPr>
          <w:color w:val="auto"/>
        </w:rPr>
        <w:t>(</w:t>
      </w:r>
      <w:r w:rsidR="00214270">
        <w:t>11:59PM AEST)</w:t>
      </w:r>
    </w:p>
    <w:p w14:paraId="370537C8" w14:textId="4F3D5DC4" w:rsidR="00EE3B50" w:rsidRPr="00DA2C34" w:rsidRDefault="00EE3B50" w:rsidP="00E37240">
      <w:pPr>
        <w:pStyle w:val="BodyCopy"/>
        <w:spacing w:before="120" w:after="120"/>
        <w:rPr>
          <w:color w:val="000000"/>
          <w:lang w:eastAsia="en-AU"/>
        </w:rPr>
      </w:pPr>
      <w:r w:rsidRPr="00DA2C34">
        <w:rPr>
          <w:color w:val="000000"/>
          <w:lang w:eastAsia="en-AU"/>
        </w:rPr>
        <w:t xml:space="preserve">Applications </w:t>
      </w:r>
      <w:r w:rsidR="009B10CA">
        <w:rPr>
          <w:color w:val="000000"/>
          <w:lang w:eastAsia="en-AU"/>
        </w:rPr>
        <w:t>and/or</w:t>
      </w:r>
      <w:r w:rsidRPr="00DA2C34">
        <w:rPr>
          <w:color w:val="000000"/>
          <w:lang w:eastAsia="en-AU"/>
        </w:rPr>
        <w:t xml:space="preserve"> supporting documents received after th</w:t>
      </w:r>
      <w:r w:rsidR="00E37240" w:rsidRPr="00DA2C34">
        <w:rPr>
          <w:color w:val="000000"/>
          <w:lang w:eastAsia="en-AU"/>
        </w:rPr>
        <w:t xml:space="preserve">e closing </w:t>
      </w:r>
      <w:r w:rsidRPr="00DA2C34">
        <w:rPr>
          <w:color w:val="000000"/>
          <w:lang w:eastAsia="en-AU"/>
        </w:rPr>
        <w:t>date will not be considered.</w:t>
      </w:r>
    </w:p>
    <w:p w14:paraId="5E39C57A" w14:textId="283334D4" w:rsidR="00EE3B50" w:rsidRPr="00DD7A27" w:rsidRDefault="0024777B" w:rsidP="0005326E">
      <w:pPr>
        <w:pStyle w:val="Heading3"/>
        <w:rPr>
          <w:color w:val="002060"/>
          <w:sz w:val="21"/>
          <w:szCs w:val="21"/>
        </w:rPr>
      </w:pPr>
      <w:r>
        <w:rPr>
          <w:color w:val="002060"/>
          <w:sz w:val="21"/>
          <w:szCs w:val="21"/>
        </w:rPr>
        <w:t xml:space="preserve">The </w:t>
      </w:r>
      <w:r w:rsidR="006F7A86">
        <w:rPr>
          <w:color w:val="002060"/>
          <w:sz w:val="21"/>
          <w:szCs w:val="21"/>
        </w:rPr>
        <w:t>a</w:t>
      </w:r>
      <w:r>
        <w:rPr>
          <w:color w:val="002060"/>
          <w:sz w:val="21"/>
          <w:szCs w:val="21"/>
        </w:rPr>
        <w:t xml:space="preserve">pplication </w:t>
      </w:r>
      <w:proofErr w:type="gramStart"/>
      <w:r w:rsidR="006F7A86">
        <w:rPr>
          <w:color w:val="002060"/>
          <w:sz w:val="21"/>
          <w:szCs w:val="21"/>
        </w:rPr>
        <w:t>p</w:t>
      </w:r>
      <w:r w:rsidR="00EE3B50" w:rsidRPr="00DD7A27">
        <w:rPr>
          <w:color w:val="002060"/>
          <w:sz w:val="21"/>
          <w:szCs w:val="21"/>
        </w:rPr>
        <w:t>rocess</w:t>
      </w:r>
      <w:proofErr w:type="gramEnd"/>
    </w:p>
    <w:p w14:paraId="6959C0A5" w14:textId="77777777" w:rsidR="00EE3B50" w:rsidRPr="00DA2C34" w:rsidRDefault="0024777B" w:rsidP="0005326E">
      <w:pPr>
        <w:pStyle w:val="Heading4"/>
      </w:pPr>
      <w:r>
        <w:t xml:space="preserve">Online </w:t>
      </w:r>
      <w:r w:rsidR="006F7A86">
        <w:t>a</w:t>
      </w:r>
      <w:r w:rsidR="00EE3B50" w:rsidRPr="00DA2C34">
        <w:t>pplications</w:t>
      </w:r>
    </w:p>
    <w:p w14:paraId="7EA365D7" w14:textId="4F7E8421" w:rsidR="002E7B2F" w:rsidRDefault="002E7B2F" w:rsidP="002E7B2F">
      <w:pPr>
        <w:pStyle w:val="BodyCopy"/>
        <w:spacing w:before="120" w:after="120"/>
      </w:pPr>
      <w:r>
        <w:rPr>
          <w:color w:val="000000"/>
          <w:lang w:eastAsia="en-AU"/>
        </w:rPr>
        <w:t>Apply</w:t>
      </w:r>
      <w:r w:rsidRPr="00DA2C34">
        <w:rPr>
          <w:color w:val="000000"/>
          <w:lang w:eastAsia="en-AU"/>
        </w:rPr>
        <w:t xml:space="preserve"> </w:t>
      </w:r>
      <w:r>
        <w:rPr>
          <w:color w:val="000000"/>
          <w:lang w:eastAsia="en-AU"/>
        </w:rPr>
        <w:t xml:space="preserve">online </w:t>
      </w:r>
      <w:r w:rsidRPr="00DA2C34">
        <w:rPr>
          <w:color w:val="000000"/>
          <w:lang w:eastAsia="en-AU"/>
        </w:rPr>
        <w:t xml:space="preserve">through </w:t>
      </w:r>
      <w:hyperlink r:id="rId17" w:history="1">
        <w:proofErr w:type="spellStart"/>
        <w:r w:rsidRPr="00D24399">
          <w:rPr>
            <w:rFonts w:asciiTheme="minorHAnsi" w:eastAsiaTheme="minorHAnsi" w:hAnsiTheme="minorHAnsi" w:cs="Times New Roman"/>
            <w:color w:val="0000FF"/>
            <w:spacing w:val="0"/>
            <w:kern w:val="0"/>
            <w:szCs w:val="20"/>
            <w:u w:val="single"/>
          </w:rPr>
          <w:t>Cognitoform</w:t>
        </w:r>
        <w:proofErr w:type="spellEnd"/>
      </w:hyperlink>
      <w:r>
        <w:rPr>
          <w:color w:val="000000"/>
          <w:lang w:eastAsia="en-AU"/>
        </w:rPr>
        <w:t>.</w:t>
      </w:r>
    </w:p>
    <w:p w14:paraId="5D86EC61" w14:textId="3F8735C7" w:rsidR="002E7B2F" w:rsidRDefault="002E7B2F" w:rsidP="002E7B2F">
      <w:pPr>
        <w:pStyle w:val="BodyCopy"/>
        <w:spacing w:before="120" w:after="120"/>
        <w:rPr>
          <w:rFonts w:eastAsiaTheme="minorHAnsi" w:cs="Arial"/>
          <w:color w:val="000000"/>
          <w:spacing w:val="0"/>
          <w:kern w:val="0"/>
          <w:szCs w:val="20"/>
        </w:rPr>
      </w:pPr>
      <w:r>
        <w:rPr>
          <w:rFonts w:eastAsiaTheme="minorHAnsi" w:cs="Arial"/>
          <w:color w:val="000000"/>
          <w:spacing w:val="0"/>
          <w:kern w:val="0"/>
          <w:szCs w:val="20"/>
        </w:rPr>
        <w:t xml:space="preserve">When applying online, all essential supporting documents must be uploaded </w:t>
      </w:r>
      <w:r w:rsidR="009F5E28">
        <w:rPr>
          <w:rFonts w:eastAsiaTheme="minorHAnsi" w:cs="Arial"/>
          <w:color w:val="000000"/>
          <w:spacing w:val="0"/>
          <w:kern w:val="0"/>
          <w:szCs w:val="20"/>
        </w:rPr>
        <w:t>in</w:t>
      </w:r>
      <w:r>
        <w:rPr>
          <w:rFonts w:eastAsiaTheme="minorHAnsi" w:cs="Arial"/>
          <w:color w:val="000000"/>
          <w:spacing w:val="0"/>
          <w:kern w:val="0"/>
          <w:szCs w:val="20"/>
        </w:rPr>
        <w:t xml:space="preserve"> the online application form (Cognitoform) to meet the specific requirements for Indonesia.</w:t>
      </w:r>
    </w:p>
    <w:p w14:paraId="1C272812" w14:textId="77777777" w:rsidR="002E7B2F" w:rsidRDefault="002E7B2F" w:rsidP="002E7B2F">
      <w:pPr>
        <w:pStyle w:val="BodyCopy"/>
        <w:spacing w:before="120" w:after="120"/>
        <w:rPr>
          <w:rFonts w:eastAsiaTheme="minorHAnsi" w:cs="Arial"/>
          <w:color w:val="000000"/>
          <w:spacing w:val="0"/>
          <w:kern w:val="0"/>
          <w:szCs w:val="20"/>
        </w:rPr>
      </w:pPr>
      <w:r>
        <w:rPr>
          <w:rFonts w:eastAsiaTheme="minorHAnsi" w:cs="Arial"/>
          <w:color w:val="000000"/>
          <w:spacing w:val="0"/>
          <w:kern w:val="0"/>
          <w:szCs w:val="20"/>
        </w:rPr>
        <w:t>We advise applicants to submit their online application well before the closing date. The online application facility (Cognitoform) experiences peak usage in the days leading up to the closing date, and applicants may experience delays.</w:t>
      </w:r>
    </w:p>
    <w:p w14:paraId="3340664A" w14:textId="6480F5C3" w:rsidR="003C3B5C" w:rsidRPr="008C5E56" w:rsidRDefault="002E7B2F" w:rsidP="00457822">
      <w:pPr>
        <w:pStyle w:val="BodyCopy"/>
        <w:spacing w:before="120" w:after="120"/>
        <w:rPr>
          <w:rFonts w:eastAsiaTheme="minorHAnsi" w:cs="Arial"/>
          <w:color w:val="000000"/>
          <w:spacing w:val="0"/>
          <w:kern w:val="0"/>
          <w:szCs w:val="20"/>
        </w:rPr>
      </w:pPr>
      <w:r>
        <w:rPr>
          <w:rFonts w:eastAsiaTheme="minorHAnsi" w:cs="Arial"/>
          <w:color w:val="000000"/>
          <w:spacing w:val="0"/>
          <w:kern w:val="0"/>
          <w:szCs w:val="20"/>
        </w:rPr>
        <w:t xml:space="preserve">Applicants who are selected as scholarship recipients will be assisted </w:t>
      </w:r>
      <w:r w:rsidR="00A12367">
        <w:rPr>
          <w:rFonts w:eastAsiaTheme="minorHAnsi" w:cs="Arial"/>
          <w:color w:val="000000"/>
          <w:spacing w:val="0"/>
          <w:kern w:val="0"/>
          <w:szCs w:val="20"/>
        </w:rPr>
        <w:t>to</w:t>
      </w:r>
      <w:r>
        <w:rPr>
          <w:rFonts w:eastAsiaTheme="minorHAnsi" w:cs="Arial"/>
          <w:color w:val="000000"/>
          <w:spacing w:val="0"/>
          <w:kern w:val="0"/>
          <w:szCs w:val="20"/>
        </w:rPr>
        <w:t xml:space="preserve"> complet</w:t>
      </w:r>
      <w:r w:rsidR="00A12367">
        <w:rPr>
          <w:rFonts w:eastAsiaTheme="minorHAnsi" w:cs="Arial"/>
          <w:color w:val="000000"/>
          <w:spacing w:val="0"/>
          <w:kern w:val="0"/>
          <w:szCs w:val="20"/>
        </w:rPr>
        <w:t>e</w:t>
      </w:r>
      <w:r>
        <w:rPr>
          <w:rFonts w:eastAsiaTheme="minorHAnsi" w:cs="Arial"/>
          <w:color w:val="000000"/>
          <w:spacing w:val="0"/>
          <w:kern w:val="0"/>
          <w:szCs w:val="20"/>
        </w:rPr>
        <w:t xml:space="preserve"> the </w:t>
      </w:r>
      <w:r w:rsidR="00A12367">
        <w:rPr>
          <w:rFonts w:eastAsiaTheme="minorHAnsi" w:cs="Arial"/>
          <w:color w:val="000000"/>
          <w:spacing w:val="0"/>
          <w:kern w:val="0"/>
          <w:szCs w:val="20"/>
        </w:rPr>
        <w:t xml:space="preserve">application in the Australian Government’s </w:t>
      </w:r>
      <w:r>
        <w:rPr>
          <w:rFonts w:eastAsiaTheme="minorHAnsi" w:cs="Arial"/>
          <w:color w:val="000000"/>
          <w:spacing w:val="0"/>
          <w:kern w:val="0"/>
          <w:szCs w:val="20"/>
        </w:rPr>
        <w:t xml:space="preserve">OASIS </w:t>
      </w:r>
      <w:r w:rsidR="00A12367">
        <w:rPr>
          <w:rFonts w:eastAsiaTheme="minorHAnsi" w:cs="Arial"/>
          <w:color w:val="000000"/>
          <w:spacing w:val="0"/>
          <w:kern w:val="0"/>
          <w:szCs w:val="20"/>
        </w:rPr>
        <w:t xml:space="preserve">scholarships </w:t>
      </w:r>
      <w:r>
        <w:rPr>
          <w:rFonts w:eastAsiaTheme="minorHAnsi" w:cs="Arial"/>
          <w:color w:val="000000"/>
          <w:spacing w:val="0"/>
          <w:kern w:val="0"/>
          <w:szCs w:val="20"/>
        </w:rPr>
        <w:t>system</w:t>
      </w:r>
      <w:r w:rsidR="003456E1">
        <w:t>.</w:t>
      </w:r>
    </w:p>
    <w:p w14:paraId="48A0F162" w14:textId="77777777" w:rsidR="00EE3B50" w:rsidRPr="00DA2C34" w:rsidRDefault="0024777B" w:rsidP="0005326E">
      <w:pPr>
        <w:pStyle w:val="Heading4"/>
      </w:pPr>
      <w:r>
        <w:t xml:space="preserve">Supporting </w:t>
      </w:r>
      <w:r w:rsidR="006F7A86">
        <w:t>d</w:t>
      </w:r>
      <w:r w:rsidR="00EE3B50" w:rsidRPr="00DA2C34">
        <w:t>ocuments</w:t>
      </w:r>
    </w:p>
    <w:p w14:paraId="615927E6" w14:textId="439FC96B" w:rsidR="00796623" w:rsidRDefault="00796623" w:rsidP="002E75B9">
      <w:pPr>
        <w:pStyle w:val="BodyCopy"/>
        <w:rPr>
          <w:lang w:eastAsia="en-AU"/>
        </w:rPr>
      </w:pPr>
      <w:r w:rsidRPr="00796623">
        <w:rPr>
          <w:lang w:eastAsia="en-AU"/>
        </w:rPr>
        <w:t xml:space="preserve">Applicants must submit all the relevant supporting documents listed in the </w:t>
      </w:r>
      <w:hyperlink r:id="rId18" w:history="1">
        <w:r w:rsidRPr="00D24399">
          <w:rPr>
            <w:rFonts w:asciiTheme="minorHAnsi" w:eastAsiaTheme="minorHAnsi" w:hAnsiTheme="minorHAnsi" w:cs="Times New Roman"/>
            <w:color w:val="0000FF"/>
            <w:spacing w:val="0"/>
            <w:kern w:val="0"/>
            <w:szCs w:val="20"/>
            <w:u w:val="single"/>
          </w:rPr>
          <w:t>Australia Awards Scholarships Policy Handbook</w:t>
        </w:r>
      </w:hyperlink>
      <w:r w:rsidRPr="00796623">
        <w:rPr>
          <w:lang w:eastAsia="en-AU"/>
        </w:rPr>
        <w:t>.</w:t>
      </w:r>
    </w:p>
    <w:p w14:paraId="4335D0D0" w14:textId="63FEE922" w:rsidR="00EB7EF3" w:rsidRPr="00796623" w:rsidRDefault="00EB7EF3" w:rsidP="00EB7EF3">
      <w:pPr>
        <w:pStyle w:val="Heading3"/>
        <w:spacing w:before="120" w:after="120"/>
        <w:rPr>
          <w:b w:val="0"/>
          <w:color w:val="000000" w:themeColor="text1"/>
          <w:kern w:val="28"/>
          <w:szCs w:val="52"/>
          <w:lang w:eastAsia="en-AU"/>
        </w:rPr>
      </w:pPr>
      <w:r w:rsidRPr="00796623">
        <w:rPr>
          <w:b w:val="0"/>
          <w:color w:val="000000" w:themeColor="text1"/>
          <w:kern w:val="28"/>
          <w:szCs w:val="52"/>
          <w:lang w:eastAsia="en-AU"/>
        </w:rPr>
        <w:t xml:space="preserve">Applicants must also provide the following documents to meet the specific requirements for </w:t>
      </w:r>
      <w:r w:rsidR="00B24124">
        <w:rPr>
          <w:b w:val="0"/>
          <w:color w:val="000000" w:themeColor="text1"/>
          <w:kern w:val="28"/>
          <w:szCs w:val="52"/>
          <w:lang w:eastAsia="en-AU"/>
        </w:rPr>
        <w:t>Indonesia</w:t>
      </w:r>
      <w:r w:rsidRPr="00796623">
        <w:rPr>
          <w:b w:val="0"/>
          <w:color w:val="000000" w:themeColor="text1"/>
          <w:kern w:val="28"/>
          <w:szCs w:val="52"/>
          <w:lang w:eastAsia="en-AU"/>
        </w:rPr>
        <w:t>:</w:t>
      </w:r>
    </w:p>
    <w:p w14:paraId="325AC595" w14:textId="77777777" w:rsidR="00EB7EF3" w:rsidRPr="003B6EDF" w:rsidRDefault="00EB7EF3" w:rsidP="00EB7EF3">
      <w:pPr>
        <w:pStyle w:val="BodyCopy"/>
        <w:spacing w:before="120" w:after="120" w:line="240" w:lineRule="auto"/>
        <w:contextualSpacing/>
        <w:rPr>
          <w:sz w:val="6"/>
          <w:szCs w:val="6"/>
          <w:lang w:eastAsia="en-AU"/>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222"/>
        <w:gridCol w:w="1276"/>
      </w:tblGrid>
      <w:tr w:rsidR="00EB7EF3" w14:paraId="20FFD752" w14:textId="77777777" w:rsidTr="00B54F70">
        <w:tc>
          <w:tcPr>
            <w:tcW w:w="1129" w:type="dxa"/>
            <w:shd w:val="clear" w:color="auto" w:fill="003150" w:themeFill="text2"/>
            <w:vAlign w:val="center"/>
          </w:tcPr>
          <w:p w14:paraId="5F5ABAB3" w14:textId="280DB4B2" w:rsidR="00EB7EF3" w:rsidRPr="003B6EDF" w:rsidRDefault="00EB7EF3" w:rsidP="00554B85">
            <w:pPr>
              <w:spacing w:before="240" w:after="240"/>
              <w:jc w:val="center"/>
              <w:rPr>
                <w:rFonts w:ascii="Calibri" w:hAnsi="Calibri"/>
                <w:b/>
                <w:color w:val="FFFFFF" w:themeColor="background1"/>
                <w:sz w:val="22"/>
                <w:szCs w:val="22"/>
                <w:lang w:eastAsia="en-AU"/>
              </w:rPr>
            </w:pPr>
            <w:r w:rsidRPr="003B6EDF">
              <w:rPr>
                <w:rFonts w:ascii="Calibri" w:hAnsi="Calibri"/>
                <w:b/>
                <w:color w:val="FFFFFF" w:themeColor="background1"/>
                <w:sz w:val="22"/>
                <w:szCs w:val="22"/>
                <w:lang w:eastAsia="en-AU"/>
              </w:rPr>
              <w:t xml:space="preserve">Required </w:t>
            </w:r>
            <w:r>
              <w:rPr>
                <w:rFonts w:ascii="Calibri" w:hAnsi="Calibri"/>
                <w:b/>
                <w:color w:val="FFFFFF" w:themeColor="background1"/>
                <w:sz w:val="22"/>
                <w:szCs w:val="22"/>
                <w:lang w:eastAsia="en-AU"/>
              </w:rPr>
              <w:t>d</w:t>
            </w:r>
            <w:r w:rsidRPr="003B6EDF">
              <w:rPr>
                <w:rFonts w:ascii="Calibri" w:hAnsi="Calibri"/>
                <w:b/>
                <w:color w:val="FFFFFF" w:themeColor="background1"/>
                <w:sz w:val="22"/>
                <w:szCs w:val="22"/>
                <w:lang w:eastAsia="en-AU"/>
              </w:rPr>
              <w:t>ocument</w:t>
            </w:r>
          </w:p>
        </w:tc>
        <w:tc>
          <w:tcPr>
            <w:tcW w:w="8222" w:type="dxa"/>
            <w:shd w:val="clear" w:color="auto" w:fill="003150" w:themeFill="text2"/>
            <w:vAlign w:val="center"/>
          </w:tcPr>
          <w:p w14:paraId="36B94024" w14:textId="4542A055" w:rsidR="00EB7EF3" w:rsidRPr="003B6EDF" w:rsidRDefault="00EB7EF3">
            <w:pPr>
              <w:spacing w:before="240" w:after="240"/>
              <w:ind w:left="140" w:right="139"/>
              <w:jc w:val="center"/>
              <w:rPr>
                <w:rFonts w:ascii="Calibri" w:hAnsi="Calibri"/>
                <w:b/>
                <w:color w:val="FFFFFF" w:themeColor="background1"/>
                <w:sz w:val="22"/>
                <w:szCs w:val="22"/>
                <w:lang w:eastAsia="en-AU"/>
              </w:rPr>
            </w:pPr>
            <w:r w:rsidRPr="003B6EDF">
              <w:rPr>
                <w:rFonts w:ascii="Calibri" w:hAnsi="Calibri"/>
                <w:b/>
                <w:color w:val="FFFFFF" w:themeColor="background1"/>
                <w:sz w:val="22"/>
                <w:szCs w:val="22"/>
                <w:lang w:eastAsia="en-AU"/>
              </w:rPr>
              <w:t xml:space="preserve">OASIS </w:t>
            </w:r>
            <w:r>
              <w:rPr>
                <w:rFonts w:ascii="Calibri" w:hAnsi="Calibri"/>
                <w:b/>
                <w:color w:val="FFFFFF" w:themeColor="background1"/>
                <w:sz w:val="22"/>
                <w:szCs w:val="22"/>
                <w:lang w:eastAsia="en-AU"/>
              </w:rPr>
              <w:t>d</w:t>
            </w:r>
            <w:r w:rsidRPr="003B6EDF">
              <w:rPr>
                <w:rFonts w:ascii="Calibri" w:hAnsi="Calibri"/>
                <w:b/>
                <w:color w:val="FFFFFF" w:themeColor="background1"/>
                <w:sz w:val="22"/>
                <w:szCs w:val="22"/>
                <w:lang w:eastAsia="en-AU"/>
              </w:rPr>
              <w:t xml:space="preserve">ocument </w:t>
            </w:r>
            <w:r>
              <w:rPr>
                <w:rFonts w:ascii="Calibri" w:hAnsi="Calibri"/>
                <w:b/>
                <w:color w:val="FFFFFF" w:themeColor="background1"/>
                <w:sz w:val="22"/>
                <w:szCs w:val="22"/>
                <w:lang w:eastAsia="en-AU"/>
              </w:rPr>
              <w:t>t</w:t>
            </w:r>
            <w:r w:rsidRPr="003B6EDF">
              <w:rPr>
                <w:rFonts w:ascii="Calibri" w:hAnsi="Calibri"/>
                <w:b/>
                <w:color w:val="FFFFFF" w:themeColor="background1"/>
                <w:sz w:val="22"/>
                <w:szCs w:val="22"/>
                <w:lang w:eastAsia="en-AU"/>
              </w:rPr>
              <w:t>ype</w:t>
            </w:r>
          </w:p>
        </w:tc>
        <w:tc>
          <w:tcPr>
            <w:tcW w:w="1276" w:type="dxa"/>
            <w:shd w:val="clear" w:color="auto" w:fill="003150" w:themeFill="text2"/>
            <w:vAlign w:val="center"/>
          </w:tcPr>
          <w:p w14:paraId="7BDE7A1E" w14:textId="77777777" w:rsidR="00EB7EF3" w:rsidRPr="003B6EDF" w:rsidRDefault="00EB7EF3" w:rsidP="004717E4">
            <w:pPr>
              <w:spacing w:before="240" w:after="240"/>
              <w:jc w:val="center"/>
              <w:rPr>
                <w:rFonts w:ascii="Calibri" w:hAnsi="Calibri"/>
                <w:b/>
                <w:color w:val="FFFFFF" w:themeColor="background1"/>
                <w:sz w:val="22"/>
                <w:szCs w:val="22"/>
                <w:lang w:eastAsia="en-AU"/>
              </w:rPr>
            </w:pPr>
            <w:r w:rsidRPr="003B6EDF">
              <w:rPr>
                <w:rFonts w:ascii="Calibri" w:hAnsi="Calibri"/>
                <w:b/>
                <w:color w:val="FFFFFF" w:themeColor="background1"/>
                <w:sz w:val="22"/>
                <w:szCs w:val="22"/>
                <w:lang w:eastAsia="en-AU"/>
              </w:rPr>
              <w:t>Certified</w:t>
            </w:r>
          </w:p>
        </w:tc>
      </w:tr>
      <w:tr w:rsidR="004717E4" w14:paraId="4B4DEEF5" w14:textId="77777777" w:rsidTr="00554B85">
        <w:tc>
          <w:tcPr>
            <w:tcW w:w="1129" w:type="dxa"/>
          </w:tcPr>
          <w:p w14:paraId="11F43989" w14:textId="52941272" w:rsidR="004717E4" w:rsidRDefault="004717E4" w:rsidP="00554B85">
            <w:pPr>
              <w:jc w:val="center"/>
              <w:rPr>
                <w:rFonts w:ascii="Calibri" w:hAnsi="Calibri"/>
                <w:sz w:val="22"/>
                <w:szCs w:val="22"/>
                <w:lang w:eastAsia="en-AU"/>
              </w:rPr>
            </w:pPr>
            <w:r>
              <w:rPr>
                <w:sz w:val="18"/>
                <w:szCs w:val="18"/>
              </w:rPr>
              <w:t>Yes</w:t>
            </w:r>
          </w:p>
        </w:tc>
        <w:tc>
          <w:tcPr>
            <w:tcW w:w="8222" w:type="dxa"/>
          </w:tcPr>
          <w:p w14:paraId="615000F4" w14:textId="15948A6A" w:rsidR="004717E4" w:rsidRDefault="004717E4" w:rsidP="00554B85">
            <w:pPr>
              <w:ind w:left="140" w:right="335"/>
              <w:rPr>
                <w:rFonts w:ascii="Calibri" w:hAnsi="Calibri"/>
                <w:sz w:val="22"/>
                <w:szCs w:val="22"/>
                <w:lang w:eastAsia="en-AU"/>
              </w:rPr>
            </w:pPr>
            <w:r w:rsidRPr="00866DF3">
              <w:rPr>
                <w:sz w:val="18"/>
                <w:szCs w:val="18"/>
              </w:rPr>
              <w:t xml:space="preserve">Birth certificate </w:t>
            </w:r>
          </w:p>
        </w:tc>
        <w:tc>
          <w:tcPr>
            <w:tcW w:w="1276" w:type="dxa"/>
          </w:tcPr>
          <w:p w14:paraId="554175B8" w14:textId="7E8EC6AA" w:rsidR="004717E4" w:rsidRDefault="004717E4" w:rsidP="00554B85">
            <w:pPr>
              <w:jc w:val="center"/>
              <w:rPr>
                <w:rFonts w:ascii="Calibri" w:hAnsi="Calibri"/>
                <w:sz w:val="22"/>
                <w:szCs w:val="22"/>
                <w:lang w:eastAsia="en-AU"/>
              </w:rPr>
            </w:pPr>
            <w:r w:rsidRPr="00866DF3">
              <w:rPr>
                <w:sz w:val="18"/>
                <w:szCs w:val="18"/>
              </w:rPr>
              <w:t>No</w:t>
            </w:r>
          </w:p>
        </w:tc>
      </w:tr>
      <w:tr w:rsidR="004717E4" w14:paraId="5BA310D7" w14:textId="77777777" w:rsidTr="00554B85">
        <w:tc>
          <w:tcPr>
            <w:tcW w:w="1129" w:type="dxa"/>
          </w:tcPr>
          <w:p w14:paraId="07D5020D" w14:textId="466876DF" w:rsidR="004717E4" w:rsidRDefault="004717E4" w:rsidP="00554B85">
            <w:pPr>
              <w:jc w:val="center"/>
              <w:rPr>
                <w:rFonts w:ascii="Calibri" w:hAnsi="Calibri"/>
                <w:sz w:val="22"/>
                <w:szCs w:val="22"/>
                <w:lang w:eastAsia="en-AU"/>
              </w:rPr>
            </w:pPr>
            <w:r>
              <w:rPr>
                <w:sz w:val="18"/>
                <w:szCs w:val="18"/>
              </w:rPr>
              <w:t>Yes</w:t>
            </w:r>
          </w:p>
        </w:tc>
        <w:tc>
          <w:tcPr>
            <w:tcW w:w="8222" w:type="dxa"/>
          </w:tcPr>
          <w:p w14:paraId="11BC666C" w14:textId="30A5204E" w:rsidR="004717E4" w:rsidRDefault="004717E4" w:rsidP="00554B85">
            <w:pPr>
              <w:ind w:left="140" w:right="335"/>
              <w:rPr>
                <w:rFonts w:ascii="Calibri" w:hAnsi="Calibri"/>
                <w:sz w:val="22"/>
                <w:szCs w:val="22"/>
                <w:lang w:eastAsia="en-AU"/>
              </w:rPr>
            </w:pPr>
            <w:r w:rsidRPr="006D73A3">
              <w:rPr>
                <w:sz w:val="18"/>
                <w:szCs w:val="18"/>
                <w:lang w:val="sv-SE"/>
              </w:rPr>
              <w:t>ID Card: Kartu Tanda Penduduk (KTP)</w:t>
            </w:r>
          </w:p>
        </w:tc>
        <w:tc>
          <w:tcPr>
            <w:tcW w:w="1276" w:type="dxa"/>
          </w:tcPr>
          <w:p w14:paraId="03B1EB78" w14:textId="49D51B44" w:rsidR="004717E4" w:rsidRDefault="004717E4" w:rsidP="00554B85">
            <w:pPr>
              <w:jc w:val="center"/>
              <w:rPr>
                <w:rFonts w:ascii="Calibri" w:hAnsi="Calibri"/>
                <w:sz w:val="22"/>
                <w:szCs w:val="22"/>
                <w:lang w:eastAsia="en-AU"/>
              </w:rPr>
            </w:pPr>
            <w:r w:rsidRPr="00866DF3">
              <w:rPr>
                <w:sz w:val="18"/>
                <w:szCs w:val="18"/>
              </w:rPr>
              <w:t>No</w:t>
            </w:r>
          </w:p>
        </w:tc>
      </w:tr>
      <w:tr w:rsidR="004717E4" w14:paraId="05520FA2" w14:textId="77777777" w:rsidTr="00554B85">
        <w:tc>
          <w:tcPr>
            <w:tcW w:w="1129" w:type="dxa"/>
          </w:tcPr>
          <w:p w14:paraId="45BC75EC" w14:textId="0F83CBC2" w:rsidR="004717E4" w:rsidRDefault="004717E4" w:rsidP="00554B85">
            <w:pPr>
              <w:jc w:val="center"/>
              <w:rPr>
                <w:rFonts w:ascii="Calibri" w:hAnsi="Calibri"/>
                <w:sz w:val="22"/>
                <w:szCs w:val="22"/>
                <w:lang w:eastAsia="en-AU"/>
              </w:rPr>
            </w:pPr>
            <w:r>
              <w:rPr>
                <w:sz w:val="18"/>
                <w:szCs w:val="18"/>
              </w:rPr>
              <w:t>Yes</w:t>
            </w:r>
          </w:p>
        </w:tc>
        <w:tc>
          <w:tcPr>
            <w:tcW w:w="8222" w:type="dxa"/>
          </w:tcPr>
          <w:p w14:paraId="6A04AAA2" w14:textId="4E2C92F7" w:rsidR="004717E4" w:rsidRDefault="004717E4" w:rsidP="00554B85">
            <w:pPr>
              <w:ind w:left="140" w:right="335"/>
              <w:rPr>
                <w:rFonts w:ascii="Calibri" w:hAnsi="Calibri"/>
                <w:sz w:val="22"/>
                <w:szCs w:val="22"/>
                <w:lang w:eastAsia="en-AU"/>
              </w:rPr>
            </w:pPr>
            <w:r w:rsidRPr="00866DF3">
              <w:rPr>
                <w:sz w:val="18"/>
                <w:szCs w:val="18"/>
              </w:rPr>
              <w:t>Current Curriculum Vitae</w:t>
            </w:r>
          </w:p>
        </w:tc>
        <w:tc>
          <w:tcPr>
            <w:tcW w:w="1276" w:type="dxa"/>
          </w:tcPr>
          <w:p w14:paraId="50130921" w14:textId="1F0EDE22" w:rsidR="004717E4" w:rsidRDefault="004717E4" w:rsidP="00554B85">
            <w:pPr>
              <w:jc w:val="center"/>
              <w:rPr>
                <w:rFonts w:ascii="Calibri" w:hAnsi="Calibri"/>
                <w:sz w:val="22"/>
                <w:szCs w:val="22"/>
                <w:lang w:eastAsia="en-AU"/>
              </w:rPr>
            </w:pPr>
            <w:r w:rsidRPr="00866DF3">
              <w:rPr>
                <w:sz w:val="18"/>
                <w:szCs w:val="18"/>
              </w:rPr>
              <w:t>No</w:t>
            </w:r>
          </w:p>
        </w:tc>
      </w:tr>
      <w:tr w:rsidR="004717E4" w14:paraId="5B13CB95" w14:textId="77777777" w:rsidTr="00554B85">
        <w:tc>
          <w:tcPr>
            <w:tcW w:w="1129" w:type="dxa"/>
          </w:tcPr>
          <w:p w14:paraId="64F92296" w14:textId="186C6E02" w:rsidR="004717E4" w:rsidRDefault="004717E4" w:rsidP="00554B85">
            <w:pPr>
              <w:jc w:val="center"/>
              <w:rPr>
                <w:rFonts w:ascii="Calibri" w:hAnsi="Calibri"/>
                <w:sz w:val="22"/>
                <w:szCs w:val="22"/>
                <w:lang w:eastAsia="en-AU"/>
              </w:rPr>
            </w:pPr>
            <w:r>
              <w:rPr>
                <w:sz w:val="18"/>
                <w:szCs w:val="18"/>
              </w:rPr>
              <w:t>Yes</w:t>
            </w:r>
          </w:p>
        </w:tc>
        <w:tc>
          <w:tcPr>
            <w:tcW w:w="8222" w:type="dxa"/>
          </w:tcPr>
          <w:p w14:paraId="44B0D2AC" w14:textId="12C50A49" w:rsidR="004717E4" w:rsidRDefault="004717E4" w:rsidP="00554B85">
            <w:pPr>
              <w:ind w:left="140" w:right="335"/>
              <w:rPr>
                <w:rFonts w:ascii="Calibri" w:hAnsi="Calibri"/>
                <w:sz w:val="22"/>
                <w:szCs w:val="22"/>
                <w:lang w:eastAsia="en-AU"/>
              </w:rPr>
            </w:pPr>
            <w:r w:rsidRPr="00866DF3">
              <w:rPr>
                <w:sz w:val="18"/>
                <w:szCs w:val="18"/>
              </w:rPr>
              <w:t>All official degrees, certificates, diplomas</w:t>
            </w:r>
            <w:r>
              <w:rPr>
                <w:sz w:val="18"/>
                <w:szCs w:val="18"/>
              </w:rPr>
              <w:t>,</w:t>
            </w:r>
            <w:r w:rsidRPr="00866DF3">
              <w:rPr>
                <w:sz w:val="18"/>
                <w:szCs w:val="18"/>
              </w:rPr>
              <w:t xml:space="preserve"> and transcripts</w:t>
            </w:r>
          </w:p>
        </w:tc>
        <w:tc>
          <w:tcPr>
            <w:tcW w:w="1276" w:type="dxa"/>
          </w:tcPr>
          <w:p w14:paraId="4E8EE5D4" w14:textId="2C2857E8" w:rsidR="004717E4" w:rsidRDefault="004717E4" w:rsidP="00554B85">
            <w:pPr>
              <w:jc w:val="center"/>
              <w:rPr>
                <w:rFonts w:ascii="Calibri" w:hAnsi="Calibri"/>
                <w:sz w:val="22"/>
                <w:szCs w:val="22"/>
                <w:lang w:eastAsia="en-AU"/>
              </w:rPr>
            </w:pPr>
            <w:r w:rsidRPr="00866DF3">
              <w:rPr>
                <w:sz w:val="18"/>
                <w:szCs w:val="18"/>
              </w:rPr>
              <w:t>Yes</w:t>
            </w:r>
            <w:r w:rsidRPr="00866DF3">
              <w:rPr>
                <w:i/>
                <w:sz w:val="18"/>
                <w:szCs w:val="18"/>
              </w:rPr>
              <w:t>*</w:t>
            </w:r>
          </w:p>
        </w:tc>
      </w:tr>
      <w:tr w:rsidR="004717E4" w14:paraId="58FB61EF" w14:textId="77777777" w:rsidTr="00554B85">
        <w:tc>
          <w:tcPr>
            <w:tcW w:w="1129" w:type="dxa"/>
          </w:tcPr>
          <w:p w14:paraId="3AFE7C52" w14:textId="22C11A67" w:rsidR="004717E4" w:rsidRDefault="004717E4" w:rsidP="00554B85">
            <w:pPr>
              <w:jc w:val="center"/>
              <w:rPr>
                <w:rFonts w:ascii="Calibri" w:hAnsi="Calibri"/>
                <w:sz w:val="22"/>
                <w:szCs w:val="22"/>
                <w:lang w:eastAsia="en-AU"/>
              </w:rPr>
            </w:pPr>
            <w:r>
              <w:rPr>
                <w:sz w:val="18"/>
                <w:szCs w:val="18"/>
              </w:rPr>
              <w:t>Yes</w:t>
            </w:r>
          </w:p>
        </w:tc>
        <w:tc>
          <w:tcPr>
            <w:tcW w:w="8222" w:type="dxa"/>
          </w:tcPr>
          <w:p w14:paraId="4FF42596" w14:textId="6311B20A" w:rsidR="004717E4" w:rsidRDefault="004717E4" w:rsidP="00554B85">
            <w:pPr>
              <w:ind w:left="140" w:right="335"/>
              <w:rPr>
                <w:rFonts w:ascii="Calibri" w:hAnsi="Calibri"/>
                <w:sz w:val="22"/>
                <w:szCs w:val="22"/>
                <w:lang w:eastAsia="en-AU"/>
              </w:rPr>
            </w:pPr>
            <w:r w:rsidRPr="00866DF3">
              <w:rPr>
                <w:sz w:val="18"/>
                <w:szCs w:val="18"/>
              </w:rPr>
              <w:t xml:space="preserve">Current (original) IELTS, TOEFL, or PTE result. </w:t>
            </w:r>
            <w:bookmarkStart w:id="1" w:name="_Hlk180161266"/>
            <w:r w:rsidRPr="00CB3290">
              <w:rPr>
                <w:sz w:val="18"/>
                <w:szCs w:val="18"/>
              </w:rPr>
              <w:t xml:space="preserve">Awardees’ English language test results must be valid </w:t>
            </w:r>
            <w:r>
              <w:rPr>
                <w:sz w:val="18"/>
                <w:szCs w:val="18"/>
              </w:rPr>
              <w:t>on</w:t>
            </w:r>
            <w:r w:rsidRPr="00CB3290">
              <w:rPr>
                <w:sz w:val="18"/>
                <w:szCs w:val="18"/>
              </w:rPr>
              <w:t xml:space="preserve"> 1 January </w:t>
            </w:r>
            <w:r>
              <w:rPr>
                <w:sz w:val="18"/>
                <w:szCs w:val="18"/>
              </w:rPr>
              <w:t xml:space="preserve">2026. </w:t>
            </w:r>
            <w:r w:rsidRPr="00810245">
              <w:rPr>
                <w:sz w:val="18"/>
                <w:szCs w:val="18"/>
              </w:rPr>
              <w:t xml:space="preserve"> (IELTS, TOEFL scores, and PTE Academic are valid for two years after the test date)</w:t>
            </w:r>
            <w:r>
              <w:rPr>
                <w:sz w:val="18"/>
                <w:szCs w:val="18"/>
              </w:rPr>
              <w:t xml:space="preserve">. </w:t>
            </w:r>
            <w:r w:rsidRPr="00810245">
              <w:rPr>
                <w:sz w:val="18"/>
                <w:szCs w:val="18"/>
              </w:rPr>
              <w:t xml:space="preserve">The test date must be no later than </w:t>
            </w:r>
            <w:r>
              <w:rPr>
                <w:sz w:val="18"/>
                <w:szCs w:val="18"/>
              </w:rPr>
              <w:t xml:space="preserve">1 </w:t>
            </w:r>
            <w:r w:rsidRPr="00810245">
              <w:rPr>
                <w:sz w:val="18"/>
                <w:szCs w:val="18"/>
              </w:rPr>
              <w:t>January 2024.</w:t>
            </w:r>
            <w:r w:rsidRPr="00866DF3">
              <w:rPr>
                <w:sz w:val="18"/>
                <w:szCs w:val="18"/>
              </w:rPr>
              <w:t xml:space="preserve">TOEFL prediction test result is NOT accepted. </w:t>
            </w:r>
            <w:bookmarkEnd w:id="1"/>
          </w:p>
        </w:tc>
        <w:tc>
          <w:tcPr>
            <w:tcW w:w="1276" w:type="dxa"/>
          </w:tcPr>
          <w:p w14:paraId="6452D67D" w14:textId="2E7B7311" w:rsidR="004717E4" w:rsidRDefault="004717E4" w:rsidP="00554B85">
            <w:pPr>
              <w:jc w:val="center"/>
              <w:rPr>
                <w:rFonts w:ascii="Calibri" w:hAnsi="Calibri"/>
                <w:sz w:val="22"/>
                <w:szCs w:val="22"/>
                <w:lang w:eastAsia="en-AU"/>
              </w:rPr>
            </w:pPr>
            <w:r w:rsidRPr="00866DF3">
              <w:rPr>
                <w:sz w:val="18"/>
                <w:szCs w:val="18"/>
              </w:rPr>
              <w:t>No</w:t>
            </w:r>
          </w:p>
        </w:tc>
      </w:tr>
      <w:tr w:rsidR="004717E4" w14:paraId="221F1207" w14:textId="77777777" w:rsidTr="00554B85">
        <w:tc>
          <w:tcPr>
            <w:tcW w:w="1129" w:type="dxa"/>
          </w:tcPr>
          <w:p w14:paraId="29CA13AA" w14:textId="50FA0CF2" w:rsidR="004717E4" w:rsidRDefault="004717E4" w:rsidP="00554B85">
            <w:pPr>
              <w:jc w:val="center"/>
              <w:rPr>
                <w:rFonts w:ascii="Calibri" w:hAnsi="Calibri"/>
                <w:sz w:val="22"/>
                <w:szCs w:val="22"/>
                <w:lang w:eastAsia="en-AU"/>
              </w:rPr>
            </w:pPr>
            <w:r>
              <w:rPr>
                <w:sz w:val="18"/>
                <w:szCs w:val="18"/>
              </w:rPr>
              <w:t>Yes</w:t>
            </w:r>
          </w:p>
        </w:tc>
        <w:tc>
          <w:tcPr>
            <w:tcW w:w="8222" w:type="dxa"/>
          </w:tcPr>
          <w:p w14:paraId="486128C4" w14:textId="23CF7B7A" w:rsidR="004717E4" w:rsidRDefault="004717E4" w:rsidP="00554B85">
            <w:pPr>
              <w:ind w:left="140" w:right="335"/>
              <w:rPr>
                <w:rFonts w:ascii="Calibri" w:hAnsi="Calibri"/>
                <w:sz w:val="22"/>
                <w:szCs w:val="22"/>
                <w:lang w:eastAsia="en-AU"/>
              </w:rPr>
            </w:pPr>
            <w:r w:rsidRPr="008B3659">
              <w:rPr>
                <w:sz w:val="18"/>
                <w:szCs w:val="18"/>
              </w:rPr>
              <w:t xml:space="preserve">Referee reports:  at least one academic referee report and at least one other referee report (e.g., a work supervisor's). </w:t>
            </w:r>
            <w:proofErr w:type="gramStart"/>
            <w:r w:rsidRPr="008B3659">
              <w:rPr>
                <w:sz w:val="18"/>
                <w:szCs w:val="18"/>
              </w:rPr>
              <w:t>Master’s</w:t>
            </w:r>
            <w:proofErr w:type="gramEnd"/>
            <w:r w:rsidRPr="008B3659">
              <w:rPr>
                <w:sz w:val="18"/>
                <w:szCs w:val="18"/>
              </w:rPr>
              <w:t xml:space="preserve"> by Research or PhD applicants should provide two academic referee reports.</w:t>
            </w:r>
          </w:p>
        </w:tc>
        <w:tc>
          <w:tcPr>
            <w:tcW w:w="1276" w:type="dxa"/>
          </w:tcPr>
          <w:p w14:paraId="5265B008" w14:textId="69C0CFCF" w:rsidR="004717E4" w:rsidRDefault="004717E4" w:rsidP="00554B85">
            <w:pPr>
              <w:jc w:val="center"/>
              <w:rPr>
                <w:rFonts w:ascii="Calibri" w:hAnsi="Calibri"/>
                <w:sz w:val="22"/>
                <w:szCs w:val="22"/>
                <w:lang w:eastAsia="en-AU"/>
              </w:rPr>
            </w:pPr>
            <w:r w:rsidRPr="00866DF3">
              <w:rPr>
                <w:sz w:val="18"/>
                <w:szCs w:val="18"/>
              </w:rPr>
              <w:t>No</w:t>
            </w:r>
          </w:p>
        </w:tc>
      </w:tr>
      <w:tr w:rsidR="00B06C2D" w14:paraId="29AD7F74" w14:textId="77777777" w:rsidTr="004717E4">
        <w:tc>
          <w:tcPr>
            <w:tcW w:w="1129" w:type="dxa"/>
          </w:tcPr>
          <w:p w14:paraId="35FC0346" w14:textId="4A566537" w:rsidR="00B06C2D" w:rsidRDefault="00B06C2D" w:rsidP="00B06C2D">
            <w:pPr>
              <w:jc w:val="center"/>
              <w:rPr>
                <w:sz w:val="18"/>
                <w:szCs w:val="18"/>
              </w:rPr>
            </w:pPr>
            <w:r>
              <w:rPr>
                <w:sz w:val="18"/>
                <w:szCs w:val="18"/>
              </w:rPr>
              <w:t>Yes**</w:t>
            </w:r>
          </w:p>
        </w:tc>
        <w:tc>
          <w:tcPr>
            <w:tcW w:w="8222" w:type="dxa"/>
          </w:tcPr>
          <w:p w14:paraId="201667D4" w14:textId="6F75C37F" w:rsidR="00B06C2D" w:rsidRPr="008B3659" w:rsidRDefault="00B06C2D" w:rsidP="00554B85">
            <w:pPr>
              <w:ind w:left="140" w:right="335"/>
              <w:rPr>
                <w:sz w:val="18"/>
                <w:szCs w:val="18"/>
              </w:rPr>
            </w:pPr>
            <w:r>
              <w:rPr>
                <w:sz w:val="18"/>
                <w:szCs w:val="18"/>
              </w:rPr>
              <w:t xml:space="preserve">Supporting documents for </w:t>
            </w:r>
            <w:r w:rsidRPr="00B16B38">
              <w:rPr>
                <w:sz w:val="18"/>
                <w:szCs w:val="18"/>
              </w:rPr>
              <w:t xml:space="preserve">candidates applying under targeted categories, such as SK PNS, KTP from </w:t>
            </w:r>
            <w:r>
              <w:rPr>
                <w:sz w:val="18"/>
                <w:szCs w:val="18"/>
              </w:rPr>
              <w:t xml:space="preserve">the equity </w:t>
            </w:r>
            <w:r w:rsidRPr="00B16B38">
              <w:rPr>
                <w:sz w:val="18"/>
                <w:szCs w:val="18"/>
              </w:rPr>
              <w:t>targeted provinces, letters confirming disability status</w:t>
            </w:r>
            <w:r>
              <w:rPr>
                <w:sz w:val="18"/>
                <w:szCs w:val="18"/>
              </w:rPr>
              <w:t>, etc</w:t>
            </w:r>
            <w:r w:rsidRPr="00B16B38">
              <w:rPr>
                <w:sz w:val="18"/>
                <w:szCs w:val="18"/>
              </w:rPr>
              <w:t>.</w:t>
            </w:r>
          </w:p>
        </w:tc>
        <w:tc>
          <w:tcPr>
            <w:tcW w:w="1276" w:type="dxa"/>
          </w:tcPr>
          <w:p w14:paraId="1699E9DD" w14:textId="13D9DB25" w:rsidR="00B06C2D" w:rsidRPr="00866DF3" w:rsidRDefault="00B06C2D" w:rsidP="00B06C2D">
            <w:pPr>
              <w:jc w:val="center"/>
              <w:rPr>
                <w:sz w:val="18"/>
                <w:szCs w:val="18"/>
              </w:rPr>
            </w:pPr>
            <w:r>
              <w:rPr>
                <w:sz w:val="18"/>
                <w:szCs w:val="18"/>
              </w:rPr>
              <w:t>No</w:t>
            </w:r>
          </w:p>
        </w:tc>
      </w:tr>
    </w:tbl>
    <w:p w14:paraId="543C0EA0" w14:textId="77777777" w:rsidR="009C3384" w:rsidRDefault="009C3384">
      <w:pPr>
        <w:rPr>
          <w:rFonts w:ascii="Arial" w:eastAsiaTheme="majorEastAsia" w:hAnsi="Arial" w:cstheme="majorBidi"/>
          <w:b/>
          <w:bCs/>
          <w:color w:val="002060"/>
          <w:spacing w:val="-2"/>
          <w:sz w:val="21"/>
          <w:szCs w:val="21"/>
        </w:rPr>
      </w:pPr>
      <w:r>
        <w:rPr>
          <w:color w:val="002060"/>
          <w:sz w:val="21"/>
          <w:szCs w:val="21"/>
        </w:rPr>
        <w:br w:type="page"/>
      </w:r>
    </w:p>
    <w:p w14:paraId="51BBE5A8" w14:textId="35CD17B8" w:rsidR="00EE3B50" w:rsidRPr="00457822" w:rsidRDefault="0024777B" w:rsidP="00C02C5D">
      <w:pPr>
        <w:pStyle w:val="Heading3"/>
        <w:rPr>
          <w:color w:val="002060"/>
          <w:sz w:val="21"/>
          <w:szCs w:val="21"/>
        </w:rPr>
      </w:pPr>
      <w:r>
        <w:rPr>
          <w:color w:val="002060"/>
          <w:sz w:val="21"/>
          <w:szCs w:val="21"/>
        </w:rPr>
        <w:lastRenderedPageBreak/>
        <w:t xml:space="preserve">The </w:t>
      </w:r>
      <w:r w:rsidR="006F7A86">
        <w:rPr>
          <w:color w:val="002060"/>
          <w:sz w:val="21"/>
          <w:szCs w:val="21"/>
        </w:rPr>
        <w:t>s</w:t>
      </w:r>
      <w:r>
        <w:rPr>
          <w:color w:val="002060"/>
          <w:sz w:val="21"/>
          <w:szCs w:val="21"/>
        </w:rPr>
        <w:t xml:space="preserve">election </w:t>
      </w:r>
      <w:proofErr w:type="gramStart"/>
      <w:r w:rsidR="006F7A86">
        <w:rPr>
          <w:color w:val="002060"/>
          <w:sz w:val="21"/>
          <w:szCs w:val="21"/>
        </w:rPr>
        <w:t>p</w:t>
      </w:r>
      <w:r w:rsidR="00EE3B50" w:rsidRPr="00457822">
        <w:rPr>
          <w:color w:val="002060"/>
          <w:sz w:val="21"/>
          <w:szCs w:val="21"/>
        </w:rPr>
        <w:t>rocess</w:t>
      </w:r>
      <w:proofErr w:type="gramEnd"/>
    </w:p>
    <w:p w14:paraId="3066485B" w14:textId="77777777" w:rsidR="003F4B33" w:rsidRPr="003F4B33" w:rsidRDefault="009455DB" w:rsidP="002E75B9">
      <w:pPr>
        <w:pStyle w:val="Bullet"/>
      </w:pPr>
      <w:r w:rsidRPr="00DA2C34">
        <w:rPr>
          <w:rFonts w:eastAsiaTheme="minorHAnsi"/>
          <w:lang w:eastAsia="en-AU"/>
        </w:rPr>
        <w:t>A</w:t>
      </w:r>
      <w:r w:rsidR="00C04254" w:rsidRPr="00DA2C34">
        <w:rPr>
          <w:rFonts w:eastAsiaTheme="minorHAnsi"/>
          <w:lang w:eastAsia="en-AU"/>
        </w:rPr>
        <w:t>pplications will be shortlisted</w:t>
      </w:r>
      <w:r w:rsidRPr="00DA2C34">
        <w:rPr>
          <w:rFonts w:eastAsiaTheme="minorHAnsi"/>
          <w:lang w:eastAsia="en-AU"/>
        </w:rPr>
        <w:t xml:space="preserve"> after eligibility checking.</w:t>
      </w:r>
    </w:p>
    <w:p w14:paraId="666126D0" w14:textId="77777777" w:rsidR="00D24399" w:rsidRPr="00D24399" w:rsidRDefault="00896156" w:rsidP="0001020A">
      <w:pPr>
        <w:pStyle w:val="Bullet"/>
      </w:pPr>
      <w:r w:rsidRPr="00D24399">
        <w:rPr>
          <w:rFonts w:eastAsiaTheme="minorHAnsi"/>
          <w:lang w:eastAsia="en-AU"/>
        </w:rPr>
        <w:t>Only short</w:t>
      </w:r>
      <w:r w:rsidR="00B9091B" w:rsidRPr="00D24399">
        <w:rPr>
          <w:rFonts w:eastAsiaTheme="minorHAnsi"/>
          <w:lang w:eastAsia="en-AU"/>
        </w:rPr>
        <w:t xml:space="preserve">listed candidates will be </w:t>
      </w:r>
      <w:proofErr w:type="gramStart"/>
      <w:r w:rsidR="00B9091B" w:rsidRPr="00D24399">
        <w:rPr>
          <w:rFonts w:eastAsiaTheme="minorHAnsi"/>
          <w:lang w:eastAsia="en-AU"/>
        </w:rPr>
        <w:t>contacted</w:t>
      </w:r>
      <w:proofErr w:type="gramEnd"/>
    </w:p>
    <w:p w14:paraId="1C3A0DE9" w14:textId="76639BE9" w:rsidR="00271775" w:rsidRPr="00DA2C34" w:rsidRDefault="00C4402E" w:rsidP="0001020A">
      <w:pPr>
        <w:pStyle w:val="Bullet"/>
      </w:pPr>
      <w:r w:rsidRPr="00D24399">
        <w:rPr>
          <w:rFonts w:eastAsiaTheme="minorHAnsi"/>
          <w:lang w:eastAsia="en-AU"/>
        </w:rPr>
        <w:t xml:space="preserve">The selection process </w:t>
      </w:r>
      <w:r w:rsidR="009455DB" w:rsidRPr="00D24399">
        <w:rPr>
          <w:rFonts w:eastAsiaTheme="minorHAnsi"/>
          <w:lang w:eastAsia="en-AU"/>
        </w:rPr>
        <w:t xml:space="preserve">includes </w:t>
      </w:r>
      <w:r w:rsidRPr="00D24399">
        <w:rPr>
          <w:rFonts w:eastAsiaTheme="minorHAnsi"/>
          <w:lang w:eastAsia="en-AU"/>
        </w:rPr>
        <w:t>an interview</w:t>
      </w:r>
      <w:r w:rsidR="006E27CD" w:rsidRPr="00D24399">
        <w:rPr>
          <w:rFonts w:eastAsiaTheme="minorHAnsi"/>
          <w:lang w:eastAsia="en-AU"/>
        </w:rPr>
        <w:t xml:space="preserve">. Applicants </w:t>
      </w:r>
      <w:r w:rsidR="0010550B" w:rsidRPr="00D24399">
        <w:rPr>
          <w:rFonts w:eastAsiaTheme="minorHAnsi"/>
          <w:lang w:eastAsia="en-AU"/>
        </w:rPr>
        <w:t>will be assessed against the f</w:t>
      </w:r>
      <w:r w:rsidR="00C04254" w:rsidRPr="00D24399">
        <w:rPr>
          <w:rFonts w:eastAsiaTheme="minorHAnsi"/>
          <w:lang w:eastAsia="en-AU"/>
        </w:rPr>
        <w:t>ollowing criteria:</w:t>
      </w:r>
    </w:p>
    <w:p w14:paraId="7A347790" w14:textId="77777777" w:rsidR="00271775" w:rsidRPr="00DA2C34" w:rsidRDefault="009455DB" w:rsidP="00554B85">
      <w:pPr>
        <w:pStyle w:val="Bullet"/>
        <w:numPr>
          <w:ilvl w:val="2"/>
          <w:numId w:val="32"/>
        </w:numPr>
      </w:pPr>
      <w:r w:rsidRPr="00DA2C34">
        <w:rPr>
          <w:rFonts w:eastAsiaTheme="minorHAnsi"/>
          <w:lang w:eastAsia="en-AU"/>
        </w:rPr>
        <w:t>a</w:t>
      </w:r>
      <w:r w:rsidR="00271775" w:rsidRPr="00DA2C34">
        <w:rPr>
          <w:rFonts w:eastAsiaTheme="minorHAnsi"/>
          <w:lang w:eastAsia="en-AU"/>
        </w:rPr>
        <w:t>cademic competence</w:t>
      </w:r>
    </w:p>
    <w:p w14:paraId="49DBB9EF" w14:textId="027692D7" w:rsidR="00271775" w:rsidRPr="00DA2C34" w:rsidRDefault="009455DB" w:rsidP="00554B85">
      <w:pPr>
        <w:pStyle w:val="Bullet"/>
        <w:numPr>
          <w:ilvl w:val="2"/>
          <w:numId w:val="32"/>
        </w:numPr>
      </w:pPr>
      <w:r w:rsidRPr="00DA2C34">
        <w:rPr>
          <w:rFonts w:eastAsiaTheme="minorHAnsi"/>
          <w:lang w:eastAsia="en-AU"/>
        </w:rPr>
        <w:t>p</w:t>
      </w:r>
      <w:r w:rsidR="00271775" w:rsidRPr="00DA2C34">
        <w:rPr>
          <w:rFonts w:eastAsiaTheme="minorHAnsi"/>
          <w:lang w:eastAsia="en-AU"/>
        </w:rPr>
        <w:t xml:space="preserve">otential </w:t>
      </w:r>
      <w:r w:rsidR="00C53E40">
        <w:rPr>
          <w:rFonts w:eastAsiaTheme="minorHAnsi"/>
          <w:lang w:eastAsia="en-AU"/>
        </w:rPr>
        <w:t>impact</w:t>
      </w:r>
      <w:r w:rsidR="00271775" w:rsidRPr="00DA2C34">
        <w:rPr>
          <w:rFonts w:eastAsiaTheme="minorHAnsi"/>
          <w:lang w:eastAsia="en-AU"/>
        </w:rPr>
        <w:t xml:space="preserve">, </w:t>
      </w:r>
      <w:r w:rsidR="00D41FCC">
        <w:rPr>
          <w:rFonts w:eastAsiaTheme="minorHAnsi"/>
          <w:lang w:eastAsia="en-AU"/>
        </w:rPr>
        <w:t>specifically the</w:t>
      </w:r>
      <w:r w:rsidR="00271775" w:rsidRPr="00DA2C34">
        <w:rPr>
          <w:rFonts w:eastAsiaTheme="minorHAnsi"/>
          <w:lang w:eastAsia="en-AU"/>
        </w:rPr>
        <w:t xml:space="preserve"> contribution to development outcomes in </w:t>
      </w:r>
      <w:r w:rsidR="00C53E40">
        <w:rPr>
          <w:rFonts w:eastAsiaTheme="minorHAnsi"/>
          <w:lang w:eastAsia="en-AU"/>
        </w:rPr>
        <w:t>Indonesia</w:t>
      </w:r>
    </w:p>
    <w:p w14:paraId="0D78F1F3" w14:textId="19EBF1D6" w:rsidR="00EE3B50" w:rsidRPr="003F4B33" w:rsidRDefault="009455DB" w:rsidP="00554B85">
      <w:pPr>
        <w:pStyle w:val="Bullet"/>
        <w:numPr>
          <w:ilvl w:val="2"/>
          <w:numId w:val="32"/>
        </w:numPr>
      </w:pPr>
      <w:r w:rsidRPr="00DA2C34">
        <w:rPr>
          <w:rFonts w:eastAsiaTheme="minorHAnsi"/>
          <w:lang w:eastAsia="en-AU"/>
        </w:rPr>
        <w:t>p</w:t>
      </w:r>
      <w:r w:rsidR="00271775" w:rsidRPr="00DA2C34">
        <w:rPr>
          <w:rFonts w:eastAsiaTheme="minorHAnsi"/>
          <w:lang w:eastAsia="en-AU"/>
        </w:rPr>
        <w:t>rofessional and personal leadership attributes</w:t>
      </w:r>
      <w:r w:rsidR="00397A14" w:rsidRPr="00DA2C34">
        <w:rPr>
          <w:rFonts w:eastAsiaTheme="minorHAnsi"/>
          <w:lang w:eastAsia="en-AU"/>
        </w:rPr>
        <w:t xml:space="preserve"> including relevant work </w:t>
      </w:r>
      <w:proofErr w:type="gramStart"/>
      <w:r w:rsidR="00397A14" w:rsidRPr="00DA2C34">
        <w:rPr>
          <w:rFonts w:eastAsiaTheme="minorHAnsi"/>
          <w:lang w:eastAsia="en-AU"/>
        </w:rPr>
        <w:t>experience</w:t>
      </w:r>
      <w:proofErr w:type="gramEnd"/>
    </w:p>
    <w:p w14:paraId="73E6AEDF" w14:textId="4BDB7110" w:rsidR="003F4B33" w:rsidRPr="009C6893" w:rsidRDefault="003F4B33" w:rsidP="002E75B9">
      <w:pPr>
        <w:pStyle w:val="Bullet"/>
      </w:pPr>
      <w:r>
        <w:rPr>
          <w:rFonts w:eastAsiaTheme="minorHAnsi"/>
          <w:lang w:eastAsia="en-AU"/>
        </w:rPr>
        <w:t xml:space="preserve">Successful candidates will be notified </w:t>
      </w:r>
      <w:r w:rsidR="00392D43">
        <w:rPr>
          <w:rFonts w:eastAsiaTheme="minorHAnsi"/>
          <w:lang w:eastAsia="en-AU"/>
        </w:rPr>
        <w:t>in the second half of</w:t>
      </w:r>
      <w:r w:rsidR="007C3351">
        <w:rPr>
          <w:rFonts w:eastAsiaTheme="minorHAnsi"/>
          <w:lang w:eastAsia="en-AU"/>
        </w:rPr>
        <w:t xml:space="preserve"> </w:t>
      </w:r>
      <w:r w:rsidR="003456E1">
        <w:rPr>
          <w:rFonts w:eastAsiaTheme="minorHAnsi"/>
          <w:lang w:eastAsia="en-AU"/>
        </w:rPr>
        <w:t>202</w:t>
      </w:r>
      <w:r w:rsidR="006E4C52">
        <w:rPr>
          <w:rFonts w:eastAsiaTheme="minorHAnsi"/>
          <w:lang w:eastAsia="en-AU"/>
        </w:rPr>
        <w:t>5</w:t>
      </w:r>
      <w:r w:rsidR="0025381C">
        <w:rPr>
          <w:rFonts w:eastAsiaTheme="minorHAnsi"/>
          <w:lang w:eastAsia="en-AU"/>
        </w:rPr>
        <w:t>.</w:t>
      </w:r>
    </w:p>
    <w:p w14:paraId="73CF98AB" w14:textId="77777777" w:rsidR="00C4402E" w:rsidRPr="00457822" w:rsidRDefault="0024777B" w:rsidP="00C02C5D">
      <w:pPr>
        <w:pStyle w:val="Heading3"/>
        <w:rPr>
          <w:color w:val="002060"/>
          <w:sz w:val="21"/>
          <w:szCs w:val="21"/>
        </w:rPr>
      </w:pPr>
      <w:r>
        <w:rPr>
          <w:color w:val="002060"/>
          <w:sz w:val="21"/>
          <w:szCs w:val="21"/>
        </w:rPr>
        <w:t xml:space="preserve">Preparatory </w:t>
      </w:r>
      <w:r w:rsidR="006F7A86">
        <w:rPr>
          <w:color w:val="002060"/>
          <w:sz w:val="21"/>
          <w:szCs w:val="21"/>
        </w:rPr>
        <w:t>t</w:t>
      </w:r>
      <w:r w:rsidR="00C4402E" w:rsidRPr="00457822">
        <w:rPr>
          <w:color w:val="002060"/>
          <w:sz w:val="21"/>
          <w:szCs w:val="21"/>
        </w:rPr>
        <w:t>raining</w:t>
      </w:r>
    </w:p>
    <w:p w14:paraId="7E20DB78" w14:textId="77777777" w:rsidR="009E1749" w:rsidRDefault="00607C5C" w:rsidP="003C3B5C">
      <w:pPr>
        <w:pStyle w:val="Bullet"/>
        <w:numPr>
          <w:ilvl w:val="0"/>
          <w:numId w:val="0"/>
        </w:numPr>
        <w:spacing w:before="120" w:after="120"/>
        <w:ind w:left="284" w:hanging="284"/>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S</w:t>
      </w:r>
      <w:r w:rsidR="001C2659" w:rsidRPr="00DA2C34">
        <w:rPr>
          <w:rFonts w:asciiTheme="minorHAnsi" w:eastAsiaTheme="minorHAnsi" w:hAnsiTheme="minorHAnsi" w:cs="Times New Roman"/>
          <w:color w:val="auto"/>
          <w:spacing w:val="0"/>
          <w:kern w:val="0"/>
          <w:szCs w:val="20"/>
          <w:lang w:eastAsia="en-AU"/>
        </w:rPr>
        <w:t xml:space="preserve">uccessful applicants </w:t>
      </w:r>
      <w:r w:rsidR="00896156">
        <w:rPr>
          <w:rFonts w:asciiTheme="minorHAnsi" w:eastAsiaTheme="minorHAnsi" w:hAnsiTheme="minorHAnsi" w:cs="Times New Roman"/>
          <w:color w:val="auto"/>
          <w:spacing w:val="0"/>
          <w:kern w:val="0"/>
          <w:szCs w:val="20"/>
          <w:lang w:eastAsia="en-AU"/>
        </w:rPr>
        <w:t>will be</w:t>
      </w:r>
      <w:r w:rsidR="001C2659" w:rsidRPr="00DA2C34">
        <w:rPr>
          <w:rFonts w:asciiTheme="minorHAnsi" w:eastAsiaTheme="minorHAnsi" w:hAnsiTheme="minorHAnsi" w:cs="Times New Roman"/>
          <w:color w:val="auto"/>
          <w:spacing w:val="0"/>
          <w:kern w:val="0"/>
          <w:szCs w:val="20"/>
          <w:lang w:eastAsia="en-AU"/>
        </w:rPr>
        <w:t xml:space="preserve"> required to attend</w:t>
      </w:r>
      <w:r w:rsidR="009E1749" w:rsidRPr="00DA2C34">
        <w:rPr>
          <w:rFonts w:asciiTheme="minorHAnsi" w:eastAsiaTheme="minorHAnsi" w:hAnsiTheme="minorHAnsi" w:cs="Times New Roman"/>
          <w:color w:val="auto"/>
          <w:spacing w:val="0"/>
          <w:kern w:val="0"/>
          <w:szCs w:val="20"/>
          <w:lang w:eastAsia="en-AU"/>
        </w:rPr>
        <w:t>:</w:t>
      </w:r>
    </w:p>
    <w:p w14:paraId="0A32E24F" w14:textId="3466FBCA" w:rsidR="00630EC1" w:rsidRPr="005A6F81" w:rsidRDefault="00841930" w:rsidP="00630EC1">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f</w:t>
      </w:r>
      <w:r w:rsidR="00630EC1">
        <w:rPr>
          <w:rFonts w:asciiTheme="minorHAnsi" w:eastAsiaTheme="minorHAnsi" w:hAnsiTheme="minorHAnsi" w:cs="Times New Roman"/>
          <w:color w:val="auto"/>
          <w:spacing w:val="0"/>
          <w:kern w:val="0"/>
          <w:szCs w:val="20"/>
          <w:lang w:eastAsia="en-AU"/>
        </w:rPr>
        <w:t xml:space="preserve">ull-time (Monday to Friday, 8 a.m.-4 p.m.) pre-departure training (PDT) in Indonesia prior to studying in Australia. </w:t>
      </w:r>
      <w:r w:rsidR="00630EC1" w:rsidRPr="00C3245B">
        <w:rPr>
          <w:rFonts w:asciiTheme="minorHAnsi" w:eastAsiaTheme="minorHAnsi" w:hAnsiTheme="minorHAnsi" w:cs="Times New Roman"/>
          <w:color w:val="auto"/>
          <w:spacing w:val="0"/>
          <w:kern w:val="0"/>
          <w:szCs w:val="20"/>
          <w:lang w:eastAsia="en-AU"/>
        </w:rPr>
        <w:t xml:space="preserve">The duration of the </w:t>
      </w:r>
      <w:r w:rsidR="00630EC1">
        <w:rPr>
          <w:rFonts w:asciiTheme="minorHAnsi" w:eastAsiaTheme="minorHAnsi" w:hAnsiTheme="minorHAnsi" w:cs="Times New Roman"/>
          <w:color w:val="auto"/>
          <w:spacing w:val="0"/>
          <w:kern w:val="0"/>
          <w:szCs w:val="20"/>
          <w:lang w:eastAsia="en-AU"/>
        </w:rPr>
        <w:t>PDT</w:t>
      </w:r>
      <w:r w:rsidR="00630EC1" w:rsidRPr="00C3245B">
        <w:rPr>
          <w:rFonts w:asciiTheme="minorHAnsi" w:eastAsiaTheme="minorHAnsi" w:hAnsiTheme="minorHAnsi" w:cs="Times New Roman"/>
          <w:color w:val="auto"/>
          <w:spacing w:val="0"/>
          <w:kern w:val="0"/>
          <w:szCs w:val="20"/>
          <w:lang w:eastAsia="en-AU"/>
        </w:rPr>
        <w:t xml:space="preserve"> will range from 6 weeks to </w:t>
      </w:r>
      <w:r w:rsidR="00630EC1">
        <w:rPr>
          <w:rFonts w:asciiTheme="minorHAnsi" w:eastAsiaTheme="minorHAnsi" w:hAnsiTheme="minorHAnsi" w:cs="Times New Roman"/>
          <w:color w:val="auto"/>
          <w:spacing w:val="0"/>
          <w:kern w:val="0"/>
          <w:szCs w:val="20"/>
          <w:lang w:eastAsia="en-AU"/>
        </w:rPr>
        <w:t>12</w:t>
      </w:r>
      <w:r w:rsidR="00630EC1" w:rsidRPr="00C3245B">
        <w:rPr>
          <w:rFonts w:asciiTheme="minorHAnsi" w:eastAsiaTheme="minorHAnsi" w:hAnsiTheme="minorHAnsi" w:cs="Times New Roman"/>
          <w:color w:val="auto"/>
          <w:spacing w:val="0"/>
          <w:kern w:val="0"/>
          <w:szCs w:val="20"/>
          <w:lang w:eastAsia="en-AU"/>
        </w:rPr>
        <w:t xml:space="preserve"> months, depending on the awardee's level of English skills.</w:t>
      </w:r>
    </w:p>
    <w:p w14:paraId="4D907478" w14:textId="733E70CE" w:rsidR="003C3B5C" w:rsidRDefault="006F7A86" w:rsidP="006E27CD">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c</w:t>
      </w:r>
      <w:r w:rsidR="003C3B5C">
        <w:rPr>
          <w:rFonts w:asciiTheme="minorHAnsi" w:eastAsiaTheme="minorHAnsi" w:hAnsiTheme="minorHAnsi" w:cs="Times New Roman"/>
          <w:color w:val="auto"/>
          <w:spacing w:val="0"/>
          <w:kern w:val="0"/>
          <w:szCs w:val="20"/>
          <w:lang w:eastAsia="en-AU"/>
        </w:rPr>
        <w:t>ourse counselling</w:t>
      </w:r>
    </w:p>
    <w:p w14:paraId="39D0EC65" w14:textId="77777777" w:rsidR="003C3B5C" w:rsidRDefault="006F7A86" w:rsidP="006E27CD">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p</w:t>
      </w:r>
      <w:r w:rsidR="005B3C50" w:rsidRPr="003C3B5C">
        <w:rPr>
          <w:rFonts w:asciiTheme="minorHAnsi" w:eastAsiaTheme="minorHAnsi" w:hAnsiTheme="minorHAnsi" w:cs="Times New Roman"/>
          <w:color w:val="auto"/>
          <w:spacing w:val="0"/>
          <w:kern w:val="0"/>
          <w:szCs w:val="20"/>
          <w:lang w:eastAsia="en-AU"/>
        </w:rPr>
        <w:t xml:space="preserve">re-departure </w:t>
      </w:r>
      <w:r w:rsidR="00C22AD7" w:rsidRPr="003C3B5C">
        <w:rPr>
          <w:rFonts w:asciiTheme="minorHAnsi" w:eastAsiaTheme="minorHAnsi" w:hAnsiTheme="minorHAnsi" w:cs="Times New Roman"/>
          <w:color w:val="auto"/>
          <w:spacing w:val="0"/>
          <w:kern w:val="0"/>
          <w:szCs w:val="20"/>
          <w:lang w:eastAsia="en-AU"/>
        </w:rPr>
        <w:t>briefing</w:t>
      </w:r>
    </w:p>
    <w:p w14:paraId="1F09BF80" w14:textId="21EDAC67" w:rsidR="006F7A86" w:rsidRPr="009C38C5" w:rsidRDefault="006F7A86">
      <w:pPr>
        <w:pStyle w:val="Bullet"/>
        <w:spacing w:before="60" w:after="0"/>
      </w:pPr>
      <w:r w:rsidRPr="006F7A86">
        <w:rPr>
          <w:lang w:eastAsia="en-AU"/>
        </w:rPr>
        <w:t>u</w:t>
      </w:r>
      <w:r w:rsidR="00D82C42" w:rsidRPr="006F7A86">
        <w:rPr>
          <w:lang w:eastAsia="en-AU"/>
        </w:rPr>
        <w:t>niversity’s Intr</w:t>
      </w:r>
      <w:r w:rsidR="003C3B5C" w:rsidRPr="006F7A86">
        <w:rPr>
          <w:lang w:eastAsia="en-AU"/>
        </w:rPr>
        <w:t>oductory Academic Program</w:t>
      </w:r>
    </w:p>
    <w:p w14:paraId="34E3A57B" w14:textId="7981C52F" w:rsidR="00375B3D" w:rsidRPr="00D24399" w:rsidRDefault="006F7A86" w:rsidP="00D24399">
      <w:pPr>
        <w:pStyle w:val="Bullet"/>
        <w:spacing w:before="60" w:after="0"/>
        <w:rPr>
          <w:rFonts w:asciiTheme="minorHAnsi" w:eastAsiaTheme="minorHAnsi" w:hAnsiTheme="minorHAnsi" w:cs="Times New Roman"/>
          <w:color w:val="auto"/>
          <w:spacing w:val="0"/>
          <w:kern w:val="0"/>
          <w:szCs w:val="20"/>
          <w:lang w:eastAsia="en-AU"/>
        </w:rPr>
      </w:pPr>
      <w:r w:rsidRPr="00F2037E">
        <w:rPr>
          <w:rFonts w:asciiTheme="minorHAnsi" w:eastAsiaTheme="minorHAnsi" w:hAnsiTheme="minorHAnsi" w:cs="Times New Roman"/>
          <w:color w:val="auto"/>
          <w:spacing w:val="0"/>
          <w:kern w:val="0"/>
          <w:szCs w:val="20"/>
          <w:lang w:eastAsia="en-AU"/>
        </w:rPr>
        <w:t>o</w:t>
      </w:r>
      <w:r w:rsidR="00D82C42" w:rsidRPr="00F2037E">
        <w:rPr>
          <w:rFonts w:asciiTheme="minorHAnsi" w:eastAsiaTheme="minorHAnsi" w:hAnsiTheme="minorHAnsi" w:cs="Times New Roman"/>
          <w:color w:val="auto"/>
          <w:spacing w:val="0"/>
          <w:kern w:val="0"/>
          <w:szCs w:val="20"/>
          <w:lang w:eastAsia="en-AU"/>
        </w:rPr>
        <w:t>ther required preparator</w:t>
      </w:r>
      <w:r w:rsidR="003C3B5C" w:rsidRPr="00F2037E">
        <w:rPr>
          <w:rFonts w:asciiTheme="minorHAnsi" w:eastAsiaTheme="minorHAnsi" w:hAnsiTheme="minorHAnsi" w:cs="Times New Roman"/>
          <w:color w:val="auto"/>
          <w:spacing w:val="0"/>
          <w:kern w:val="0"/>
          <w:szCs w:val="20"/>
          <w:lang w:eastAsia="en-AU"/>
        </w:rPr>
        <w:t>y study on arrival in Australia</w:t>
      </w:r>
      <w:r w:rsidR="005647A0" w:rsidRPr="00F2037E">
        <w:rPr>
          <w:rFonts w:asciiTheme="minorHAnsi" w:eastAsiaTheme="minorHAnsi" w:hAnsiTheme="minorHAnsi" w:cs="Times New Roman"/>
          <w:color w:val="auto"/>
          <w:spacing w:val="0"/>
          <w:kern w:val="0"/>
          <w:szCs w:val="20"/>
          <w:lang w:eastAsia="en-AU"/>
        </w:rPr>
        <w:t>.</w:t>
      </w:r>
    </w:p>
    <w:p w14:paraId="1B3417CF" w14:textId="2F03ABBB" w:rsidR="002E75B9" w:rsidRPr="002E75B9" w:rsidRDefault="002E75B9" w:rsidP="002E75B9">
      <w:pPr>
        <w:pStyle w:val="Heading3"/>
        <w:rPr>
          <w:color w:val="auto"/>
          <w:sz w:val="24"/>
          <w:szCs w:val="24"/>
        </w:rPr>
      </w:pPr>
      <w:r w:rsidRPr="002E75B9">
        <w:rPr>
          <w:color w:val="002060"/>
          <w:sz w:val="21"/>
          <w:szCs w:val="21"/>
        </w:rPr>
        <w:t>Furthe</w:t>
      </w:r>
      <w:r>
        <w:rPr>
          <w:color w:val="002060"/>
          <w:sz w:val="21"/>
          <w:szCs w:val="21"/>
        </w:rPr>
        <w:t>r information</w:t>
      </w:r>
    </w:p>
    <w:p w14:paraId="38822A9B" w14:textId="62F4C18A" w:rsidR="002E75B9" w:rsidRPr="002E75B9" w:rsidRDefault="002E75B9" w:rsidP="002E75B9">
      <w:pPr>
        <w:pStyle w:val="BodyCopy"/>
        <w:rPr>
          <w:color w:val="auto"/>
        </w:rPr>
      </w:pPr>
      <w:r w:rsidRPr="002E75B9">
        <w:rPr>
          <w:color w:val="auto"/>
        </w:rPr>
        <w:t xml:space="preserve">More general information about the Australia Awards, Australia’s </w:t>
      </w:r>
      <w:r w:rsidR="004754B9">
        <w:rPr>
          <w:color w:val="auto"/>
        </w:rPr>
        <w:t>development</w:t>
      </w:r>
      <w:r w:rsidRPr="002E75B9">
        <w:rPr>
          <w:color w:val="auto"/>
        </w:rPr>
        <w:t xml:space="preserve"> program, and studying in Australia can be found at the following links:</w:t>
      </w:r>
    </w:p>
    <w:p w14:paraId="054A4C4B" w14:textId="7A5E9950" w:rsidR="00AC0DF5" w:rsidRPr="009C3384" w:rsidRDefault="00000000" w:rsidP="002E75B9">
      <w:pPr>
        <w:pStyle w:val="Bullet"/>
        <w:rPr>
          <w:rFonts w:asciiTheme="minorHAnsi" w:eastAsiaTheme="minorHAnsi" w:hAnsiTheme="minorHAnsi" w:cs="Times New Roman"/>
          <w:color w:val="0000FF"/>
          <w:spacing w:val="0"/>
          <w:kern w:val="0"/>
          <w:szCs w:val="20"/>
          <w:u w:val="single"/>
        </w:rPr>
      </w:pPr>
      <w:hyperlink r:id="rId19" w:history="1">
        <w:r w:rsidR="009C3384" w:rsidRPr="009C3384">
          <w:rPr>
            <w:rFonts w:asciiTheme="minorHAnsi" w:eastAsiaTheme="minorHAnsi" w:hAnsiTheme="minorHAnsi" w:cs="Times New Roman"/>
            <w:color w:val="0000FF"/>
            <w:spacing w:val="0"/>
            <w:kern w:val="0"/>
            <w:szCs w:val="20"/>
            <w:u w:val="single"/>
          </w:rPr>
          <w:t>Australia Awards Scholarships</w:t>
        </w:r>
      </w:hyperlink>
    </w:p>
    <w:p w14:paraId="2258D57D" w14:textId="5CAB5E0F" w:rsidR="00DD2783" w:rsidRPr="009C3384" w:rsidRDefault="00000000" w:rsidP="00DE75F5">
      <w:pPr>
        <w:pStyle w:val="Bullet"/>
        <w:rPr>
          <w:rFonts w:asciiTheme="minorHAnsi" w:eastAsiaTheme="minorHAnsi" w:hAnsiTheme="minorHAnsi" w:cs="Times New Roman"/>
          <w:color w:val="0000FF"/>
          <w:spacing w:val="0"/>
          <w:kern w:val="0"/>
          <w:szCs w:val="20"/>
          <w:u w:val="single"/>
        </w:rPr>
      </w:pPr>
      <w:hyperlink r:id="rId20" w:history="1">
        <w:r w:rsidR="009C3384" w:rsidRPr="009C3384">
          <w:rPr>
            <w:rFonts w:asciiTheme="minorHAnsi" w:eastAsiaTheme="minorHAnsi" w:hAnsiTheme="minorHAnsi" w:cs="Times New Roman"/>
            <w:color w:val="0000FF"/>
            <w:spacing w:val="0"/>
            <w:kern w:val="0"/>
            <w:szCs w:val="20"/>
            <w:u w:val="single"/>
          </w:rPr>
          <w:t>Study Australia</w:t>
        </w:r>
      </w:hyperlink>
    </w:p>
    <w:p w14:paraId="08D548B9" w14:textId="74C069C0" w:rsidR="002E75B9" w:rsidRPr="00DE75F5" w:rsidRDefault="002E75B9" w:rsidP="00DE75F5">
      <w:pPr>
        <w:pStyle w:val="Bullet"/>
        <w:rPr>
          <w:rStyle w:val="Hyperlink"/>
          <w:color w:val="00759A"/>
        </w:rPr>
      </w:pPr>
      <w:r w:rsidRPr="002E75B9">
        <w:rPr>
          <w:color w:val="auto"/>
          <w:szCs w:val="20"/>
        </w:rPr>
        <w:t xml:space="preserve">Information about visas and Australia Awards scholarship entitlements and conditions can be found in the </w:t>
      </w:r>
      <w:hyperlink r:id="rId21" w:history="1">
        <w:r w:rsidR="0016070F">
          <w:rPr>
            <w:rFonts w:asciiTheme="minorHAnsi" w:eastAsiaTheme="minorHAnsi" w:hAnsiTheme="minorHAnsi" w:cs="Times New Roman"/>
            <w:color w:val="0000FF"/>
            <w:spacing w:val="0"/>
            <w:kern w:val="0"/>
            <w:szCs w:val="20"/>
            <w:u w:val="single"/>
          </w:rPr>
          <w:t>Australia Awards Scholarships Policy Handbook</w:t>
        </w:r>
      </w:hyperlink>
      <w:r w:rsidR="00B54F70">
        <w:rPr>
          <w:color w:val="auto"/>
          <w:szCs w:val="20"/>
        </w:rPr>
        <w:t>.</w:t>
      </w:r>
    </w:p>
    <w:p w14:paraId="79539B6C" w14:textId="77777777" w:rsidR="002E75B9" w:rsidRPr="00DE75F5" w:rsidRDefault="002E75B9" w:rsidP="00DE75F5">
      <w:pPr>
        <w:pStyle w:val="Heading3"/>
        <w:rPr>
          <w:bCs w:val="0"/>
          <w:color w:val="002060"/>
          <w:sz w:val="21"/>
          <w:szCs w:val="21"/>
        </w:rPr>
      </w:pPr>
      <w:r w:rsidRPr="00DE75F5">
        <w:rPr>
          <w:bCs w:val="0"/>
          <w:color w:val="002060"/>
          <w:sz w:val="21"/>
          <w:szCs w:val="21"/>
        </w:rPr>
        <w:t xml:space="preserve">Contact </w:t>
      </w:r>
      <w:proofErr w:type="gramStart"/>
      <w:r w:rsidRPr="00DE75F5">
        <w:rPr>
          <w:bCs w:val="0"/>
          <w:color w:val="002060"/>
          <w:sz w:val="21"/>
          <w:szCs w:val="21"/>
        </w:rPr>
        <w:t>details</w:t>
      </w:r>
      <w:proofErr w:type="gramEnd"/>
    </w:p>
    <w:p w14:paraId="750C3367" w14:textId="3C250401" w:rsidR="00251114" w:rsidRPr="00251114" w:rsidRDefault="00251114" w:rsidP="00554B85">
      <w:pPr>
        <w:pStyle w:val="Heading3"/>
        <w:spacing w:before="0" w:after="0"/>
        <w:rPr>
          <w:b w:val="0"/>
          <w:bCs w:val="0"/>
          <w:color w:val="000000" w:themeColor="text1"/>
          <w:kern w:val="28"/>
          <w:szCs w:val="52"/>
          <w:lang w:eastAsia="en-AU"/>
        </w:rPr>
      </w:pPr>
      <w:r w:rsidRPr="00251114">
        <w:rPr>
          <w:b w:val="0"/>
          <w:bCs w:val="0"/>
          <w:color w:val="000000" w:themeColor="text1"/>
          <w:kern w:val="28"/>
          <w:szCs w:val="52"/>
          <w:lang w:eastAsia="en-AU"/>
        </w:rPr>
        <w:t>Australia Awards in Indonesia</w:t>
      </w:r>
    </w:p>
    <w:p w14:paraId="3ECC4E26" w14:textId="73176118" w:rsidR="00251114" w:rsidRPr="00251114" w:rsidRDefault="00251114" w:rsidP="00554B85">
      <w:pPr>
        <w:pStyle w:val="Heading3"/>
        <w:spacing w:before="0" w:after="0"/>
        <w:rPr>
          <w:b w:val="0"/>
          <w:bCs w:val="0"/>
          <w:color w:val="000000" w:themeColor="text1"/>
          <w:kern w:val="28"/>
          <w:szCs w:val="52"/>
          <w:lang w:eastAsia="en-AU"/>
        </w:rPr>
      </w:pPr>
      <w:r w:rsidRPr="00251114">
        <w:rPr>
          <w:b w:val="0"/>
          <w:bCs w:val="0"/>
          <w:color w:val="000000" w:themeColor="text1"/>
          <w:kern w:val="28"/>
          <w:szCs w:val="52"/>
          <w:lang w:eastAsia="en-AU"/>
        </w:rPr>
        <w:t>Address:</w:t>
      </w:r>
      <w:r w:rsidR="00B54F70">
        <w:rPr>
          <w:b w:val="0"/>
          <w:bCs w:val="0"/>
          <w:color w:val="000000" w:themeColor="text1"/>
          <w:kern w:val="28"/>
          <w:szCs w:val="52"/>
          <w:lang w:eastAsia="en-AU"/>
        </w:rPr>
        <w:t xml:space="preserve"> </w:t>
      </w:r>
      <w:r w:rsidRPr="00251114">
        <w:rPr>
          <w:b w:val="0"/>
          <w:bCs w:val="0"/>
          <w:color w:val="000000" w:themeColor="text1"/>
          <w:kern w:val="28"/>
          <w:szCs w:val="52"/>
          <w:lang w:eastAsia="en-AU"/>
        </w:rPr>
        <w:t>RDTX Place, 46th floor,</w:t>
      </w:r>
      <w:r w:rsidR="009C3384">
        <w:rPr>
          <w:b w:val="0"/>
          <w:bCs w:val="0"/>
          <w:color w:val="000000" w:themeColor="text1"/>
          <w:kern w:val="28"/>
          <w:szCs w:val="52"/>
          <w:lang w:eastAsia="en-AU"/>
        </w:rPr>
        <w:t xml:space="preserve"> </w:t>
      </w:r>
      <w:r w:rsidRPr="00251114">
        <w:rPr>
          <w:b w:val="0"/>
          <w:bCs w:val="0"/>
          <w:color w:val="000000" w:themeColor="text1"/>
          <w:kern w:val="28"/>
          <w:szCs w:val="52"/>
          <w:lang w:eastAsia="en-AU"/>
        </w:rPr>
        <w:t xml:space="preserve">Jl. Prof. DR. </w:t>
      </w:r>
      <w:proofErr w:type="spellStart"/>
      <w:r w:rsidRPr="00251114">
        <w:rPr>
          <w:b w:val="0"/>
          <w:bCs w:val="0"/>
          <w:color w:val="000000" w:themeColor="text1"/>
          <w:kern w:val="28"/>
          <w:szCs w:val="52"/>
          <w:lang w:eastAsia="en-AU"/>
        </w:rPr>
        <w:t>Satrio</w:t>
      </w:r>
      <w:proofErr w:type="spellEnd"/>
      <w:r w:rsidRPr="00251114">
        <w:rPr>
          <w:b w:val="0"/>
          <w:bCs w:val="0"/>
          <w:color w:val="000000" w:themeColor="text1"/>
          <w:kern w:val="28"/>
          <w:szCs w:val="52"/>
          <w:lang w:eastAsia="en-AU"/>
        </w:rPr>
        <w:t xml:space="preserve"> No. </w:t>
      </w:r>
      <w:proofErr w:type="gramStart"/>
      <w:r w:rsidRPr="00251114">
        <w:rPr>
          <w:b w:val="0"/>
          <w:bCs w:val="0"/>
          <w:color w:val="000000" w:themeColor="text1"/>
          <w:kern w:val="28"/>
          <w:szCs w:val="52"/>
          <w:lang w:eastAsia="en-AU"/>
        </w:rPr>
        <w:t>17.Kav</w:t>
      </w:r>
      <w:proofErr w:type="gramEnd"/>
      <w:r w:rsidRPr="00251114">
        <w:rPr>
          <w:b w:val="0"/>
          <w:bCs w:val="0"/>
          <w:color w:val="000000" w:themeColor="text1"/>
          <w:kern w:val="28"/>
          <w:szCs w:val="52"/>
          <w:lang w:eastAsia="en-AU"/>
        </w:rPr>
        <w:t xml:space="preserve">.3, RW.4, </w:t>
      </w:r>
      <w:proofErr w:type="spellStart"/>
      <w:r w:rsidRPr="00251114">
        <w:rPr>
          <w:b w:val="0"/>
          <w:bCs w:val="0"/>
          <w:color w:val="000000" w:themeColor="text1"/>
          <w:kern w:val="28"/>
          <w:szCs w:val="52"/>
          <w:lang w:eastAsia="en-AU"/>
        </w:rPr>
        <w:t>Kuningan</w:t>
      </w:r>
      <w:proofErr w:type="spellEnd"/>
      <w:r w:rsidRPr="00251114">
        <w:rPr>
          <w:b w:val="0"/>
          <w:bCs w:val="0"/>
          <w:color w:val="000000" w:themeColor="text1"/>
          <w:kern w:val="28"/>
          <w:szCs w:val="52"/>
          <w:lang w:eastAsia="en-AU"/>
        </w:rPr>
        <w:t>, Jakarta 12940</w:t>
      </w:r>
    </w:p>
    <w:p w14:paraId="3DB0F8CE" w14:textId="278533E8" w:rsidR="00B76A39" w:rsidRPr="00554B85" w:rsidRDefault="00251114" w:rsidP="00554B85">
      <w:pPr>
        <w:pStyle w:val="BodyText"/>
        <w:spacing w:after="0"/>
        <w:rPr>
          <w:b/>
          <w:bCs/>
          <w:lang w:eastAsia="en-AU"/>
        </w:rPr>
      </w:pPr>
      <w:r w:rsidRPr="00B54F70">
        <w:rPr>
          <w:b/>
          <w:bCs/>
          <w:color w:val="000000" w:themeColor="text1"/>
          <w:kern w:val="28"/>
          <w:szCs w:val="52"/>
          <w:lang w:eastAsia="en-AU"/>
        </w:rPr>
        <w:t>Email:</w:t>
      </w:r>
      <w:r w:rsidRPr="00251114">
        <w:rPr>
          <w:color w:val="000000" w:themeColor="text1"/>
          <w:kern w:val="28"/>
          <w:szCs w:val="52"/>
          <w:lang w:eastAsia="en-AU"/>
        </w:rPr>
        <w:t xml:space="preserve"> </w:t>
      </w:r>
      <w:hyperlink r:id="rId22" w:history="1">
        <w:r w:rsidR="00B76A39" w:rsidRPr="00B54F70">
          <w:rPr>
            <w:color w:val="0000FF"/>
            <w:u w:val="single"/>
          </w:rPr>
          <w:t>longtermawards@australiaawardsindonesia.org</w:t>
        </w:r>
      </w:hyperlink>
    </w:p>
    <w:p w14:paraId="4E431B7D" w14:textId="43517869" w:rsidR="00375B3D" w:rsidRPr="00D24399" w:rsidRDefault="00251114" w:rsidP="00D24399">
      <w:pPr>
        <w:pStyle w:val="Heading3"/>
        <w:spacing w:before="0" w:after="0"/>
        <w:rPr>
          <w:rFonts w:asciiTheme="minorHAnsi" w:eastAsiaTheme="minorHAnsi" w:hAnsiTheme="minorHAnsi" w:cs="Times New Roman"/>
          <w:b w:val="0"/>
          <w:bCs w:val="0"/>
          <w:color w:val="0000FF"/>
          <w:spacing w:val="0"/>
          <w:u w:val="single"/>
        </w:rPr>
      </w:pPr>
      <w:r w:rsidRPr="00251114">
        <w:rPr>
          <w:lang w:eastAsia="en-AU"/>
        </w:rPr>
        <w:t xml:space="preserve">Website: </w:t>
      </w:r>
      <w:hyperlink r:id="rId23" w:history="1">
        <w:r w:rsidR="00B76A39" w:rsidRPr="00D24399">
          <w:rPr>
            <w:rFonts w:asciiTheme="minorHAnsi" w:eastAsiaTheme="minorHAnsi" w:hAnsiTheme="minorHAnsi" w:cs="Times New Roman"/>
            <w:b w:val="0"/>
            <w:bCs w:val="0"/>
            <w:color w:val="0000FF"/>
            <w:spacing w:val="0"/>
            <w:u w:val="single"/>
          </w:rPr>
          <w:t>www.australiaawardsindonesia.org</w:t>
        </w:r>
      </w:hyperlink>
    </w:p>
    <w:sectPr w:rsidR="00375B3D" w:rsidRPr="00D24399" w:rsidSect="002E75B9">
      <w:type w:val="continuous"/>
      <w:pgSz w:w="11906" w:h="16838" w:code="9"/>
      <w:pgMar w:top="737" w:right="567" w:bottom="737" w:left="567" w:header="567" w:footer="56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EEE6F" w14:textId="77777777" w:rsidR="00DA2177" w:rsidRDefault="00DA2177" w:rsidP="00070A89">
      <w:r>
        <w:separator/>
      </w:r>
    </w:p>
  </w:endnote>
  <w:endnote w:type="continuationSeparator" w:id="0">
    <w:p w14:paraId="583575CD" w14:textId="77777777" w:rsidR="00DA2177" w:rsidRDefault="00DA2177" w:rsidP="00070A89">
      <w:r>
        <w:continuationSeparator/>
      </w:r>
    </w:p>
  </w:endnote>
  <w:endnote w:type="continuationNotice" w:id="1">
    <w:p w14:paraId="77EC9EF8" w14:textId="77777777" w:rsidR="00DA2177" w:rsidRDefault="00DA21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4AC6" w14:textId="3172F6FF" w:rsidR="008C5E56" w:rsidRPr="005D27B3" w:rsidRDefault="005D27B3" w:rsidP="005D27B3">
    <w:pPr>
      <w:pStyle w:val="FooterText"/>
      <w:jc w:val="right"/>
    </w:pPr>
    <w:r>
      <w:t xml:space="preserve">Australia Awards </w:t>
    </w:r>
    <w:r w:rsidR="006F7A86">
      <w:t>s</w:t>
    </w:r>
    <w:r>
      <w:t xml:space="preserve">cholarships information for study commencing in </w:t>
    </w:r>
    <w:proofErr w:type="gramStart"/>
    <w:r>
      <w:t>20</w:t>
    </w:r>
    <w:r w:rsidR="004A3DFD">
      <w:t>2</w:t>
    </w:r>
    <w:r w:rsidR="00B16E97">
      <w:t>6</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2C1B" w14:textId="60945A7E" w:rsidR="008C5E56" w:rsidRDefault="00512B77" w:rsidP="00FB1BC9">
    <w:pPr>
      <w:pStyle w:val="FooterText"/>
      <w:jc w:val="right"/>
    </w:pPr>
    <w:r>
      <w:t>A</w:t>
    </w:r>
    <w:r w:rsidR="006F7A86">
      <w:t>ustralia Awards s</w:t>
    </w:r>
    <w:r w:rsidR="008C5E56">
      <w:t>cholarships</w:t>
    </w:r>
    <w:r>
      <w:t xml:space="preserve"> information for study commencing in </w:t>
    </w:r>
    <w:proofErr w:type="gramStart"/>
    <w:r>
      <w:t>20</w:t>
    </w:r>
    <w:r w:rsidR="004A3DFD">
      <w:t>2</w:t>
    </w:r>
    <w:r w:rsidR="00B16E97">
      <w:t>6</w:t>
    </w:r>
    <w:proofErr w:type="gramEnd"/>
    <w:r w:rsidR="008C5E5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9C1AF" w14:textId="77777777" w:rsidR="00DA2177" w:rsidRDefault="00DA2177" w:rsidP="00070A89">
      <w:r>
        <w:separator/>
      </w:r>
    </w:p>
  </w:footnote>
  <w:footnote w:type="continuationSeparator" w:id="0">
    <w:p w14:paraId="2B8C6233" w14:textId="77777777" w:rsidR="00DA2177" w:rsidRDefault="00DA2177" w:rsidP="00070A89">
      <w:r>
        <w:continuationSeparator/>
      </w:r>
    </w:p>
  </w:footnote>
  <w:footnote w:type="continuationNotice" w:id="1">
    <w:p w14:paraId="70521A21" w14:textId="77777777" w:rsidR="00DA2177" w:rsidRDefault="00DA21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ECC5" w14:textId="77777777" w:rsidR="008C5E56" w:rsidRDefault="008C5E56" w:rsidP="004A3DFD">
    <w:pPr>
      <w:pStyle w:val="Header"/>
      <w:tabs>
        <w:tab w:val="clear" w:pos="4513"/>
        <w:tab w:val="clear" w:pos="9026"/>
        <w:tab w:val="left" w:pos="1092"/>
      </w:tabs>
      <w:spacing w:after="2640"/>
    </w:pPr>
    <w:r>
      <w:rPr>
        <w:noProof/>
        <w:lang w:eastAsia="en-AU"/>
      </w:rPr>
      <w:drawing>
        <wp:anchor distT="0" distB="0" distL="114300" distR="114300" simplePos="0" relativeHeight="251658240" behindDoc="1" locked="0" layoutInCell="1" allowOverlap="1" wp14:anchorId="2F93D420" wp14:editId="38AE8FD4">
          <wp:simplePos x="0" y="0"/>
          <wp:positionH relativeFrom="page">
            <wp:align>left</wp:align>
          </wp:positionH>
          <wp:positionV relativeFrom="page">
            <wp:align>top</wp:align>
          </wp:positionV>
          <wp:extent cx="7560923" cy="10692000"/>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r w:rsidR="004A3DF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9B2"/>
    <w:multiLevelType w:val="hybridMultilevel"/>
    <w:tmpl w:val="00E22292"/>
    <w:lvl w:ilvl="0" w:tplc="92F8C92C">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6AE6174"/>
    <w:multiLevelType w:val="hybridMultilevel"/>
    <w:tmpl w:val="FA1A3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5B1D16"/>
    <w:multiLevelType w:val="hybridMultilevel"/>
    <w:tmpl w:val="0CEC09E0"/>
    <w:lvl w:ilvl="0" w:tplc="C1C428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35F8A"/>
    <w:multiLevelType w:val="hybridMultilevel"/>
    <w:tmpl w:val="FC16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F5187C"/>
    <w:multiLevelType w:val="hybridMultilevel"/>
    <w:tmpl w:val="28E6425E"/>
    <w:lvl w:ilvl="0" w:tplc="8974AC62">
      <w:start w:val="1"/>
      <w:numFmt w:val="bullet"/>
      <w:lvlText w:val="•"/>
      <w:lvlJc w:val="left"/>
      <w:pPr>
        <w:tabs>
          <w:tab w:val="num" w:pos="720"/>
        </w:tabs>
        <w:ind w:left="720" w:hanging="360"/>
      </w:pPr>
      <w:rPr>
        <w:rFonts w:ascii="Arial" w:hAnsi="Arial" w:hint="default"/>
      </w:rPr>
    </w:lvl>
    <w:lvl w:ilvl="1" w:tplc="B3D8FFDE" w:tentative="1">
      <w:start w:val="1"/>
      <w:numFmt w:val="bullet"/>
      <w:lvlText w:val="•"/>
      <w:lvlJc w:val="left"/>
      <w:pPr>
        <w:tabs>
          <w:tab w:val="num" w:pos="1440"/>
        </w:tabs>
        <w:ind w:left="1440" w:hanging="360"/>
      </w:pPr>
      <w:rPr>
        <w:rFonts w:ascii="Arial" w:hAnsi="Arial" w:hint="default"/>
      </w:rPr>
    </w:lvl>
    <w:lvl w:ilvl="2" w:tplc="7D047362" w:tentative="1">
      <w:start w:val="1"/>
      <w:numFmt w:val="bullet"/>
      <w:lvlText w:val="•"/>
      <w:lvlJc w:val="left"/>
      <w:pPr>
        <w:tabs>
          <w:tab w:val="num" w:pos="2160"/>
        </w:tabs>
        <w:ind w:left="2160" w:hanging="360"/>
      </w:pPr>
      <w:rPr>
        <w:rFonts w:ascii="Arial" w:hAnsi="Arial" w:hint="default"/>
      </w:rPr>
    </w:lvl>
    <w:lvl w:ilvl="3" w:tplc="0CD00702" w:tentative="1">
      <w:start w:val="1"/>
      <w:numFmt w:val="bullet"/>
      <w:lvlText w:val="•"/>
      <w:lvlJc w:val="left"/>
      <w:pPr>
        <w:tabs>
          <w:tab w:val="num" w:pos="2880"/>
        </w:tabs>
        <w:ind w:left="2880" w:hanging="360"/>
      </w:pPr>
      <w:rPr>
        <w:rFonts w:ascii="Arial" w:hAnsi="Arial" w:hint="default"/>
      </w:rPr>
    </w:lvl>
    <w:lvl w:ilvl="4" w:tplc="3F32D91A">
      <w:start w:val="1"/>
      <w:numFmt w:val="bullet"/>
      <w:lvlText w:val="•"/>
      <w:lvlJc w:val="left"/>
      <w:pPr>
        <w:tabs>
          <w:tab w:val="num" w:pos="3600"/>
        </w:tabs>
        <w:ind w:left="3600" w:hanging="360"/>
      </w:pPr>
      <w:rPr>
        <w:rFonts w:ascii="Arial" w:hAnsi="Arial" w:hint="default"/>
      </w:rPr>
    </w:lvl>
    <w:lvl w:ilvl="5" w:tplc="4C06D28C" w:tentative="1">
      <w:start w:val="1"/>
      <w:numFmt w:val="bullet"/>
      <w:lvlText w:val="•"/>
      <w:lvlJc w:val="left"/>
      <w:pPr>
        <w:tabs>
          <w:tab w:val="num" w:pos="4320"/>
        </w:tabs>
        <w:ind w:left="4320" w:hanging="360"/>
      </w:pPr>
      <w:rPr>
        <w:rFonts w:ascii="Arial" w:hAnsi="Arial" w:hint="default"/>
      </w:rPr>
    </w:lvl>
    <w:lvl w:ilvl="6" w:tplc="FEBC1022" w:tentative="1">
      <w:start w:val="1"/>
      <w:numFmt w:val="bullet"/>
      <w:lvlText w:val="•"/>
      <w:lvlJc w:val="left"/>
      <w:pPr>
        <w:tabs>
          <w:tab w:val="num" w:pos="5040"/>
        </w:tabs>
        <w:ind w:left="5040" w:hanging="360"/>
      </w:pPr>
      <w:rPr>
        <w:rFonts w:ascii="Arial" w:hAnsi="Arial" w:hint="default"/>
      </w:rPr>
    </w:lvl>
    <w:lvl w:ilvl="7" w:tplc="6E542662" w:tentative="1">
      <w:start w:val="1"/>
      <w:numFmt w:val="bullet"/>
      <w:lvlText w:val="•"/>
      <w:lvlJc w:val="left"/>
      <w:pPr>
        <w:tabs>
          <w:tab w:val="num" w:pos="5760"/>
        </w:tabs>
        <w:ind w:left="5760" w:hanging="360"/>
      </w:pPr>
      <w:rPr>
        <w:rFonts w:ascii="Arial" w:hAnsi="Arial" w:hint="default"/>
      </w:rPr>
    </w:lvl>
    <w:lvl w:ilvl="8" w:tplc="DD50CF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7B5236"/>
    <w:multiLevelType w:val="hybridMultilevel"/>
    <w:tmpl w:val="4F447CDE"/>
    <w:lvl w:ilvl="0" w:tplc="3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FF641B"/>
    <w:multiLevelType w:val="multilevel"/>
    <w:tmpl w:val="FFB67186"/>
    <w:lvl w:ilvl="0">
      <w:start w:val="1"/>
      <w:numFmt w:val="bullet"/>
      <w:lvlText w:val="•"/>
      <w:lvlJc w:val="left"/>
      <w:pPr>
        <w:tabs>
          <w:tab w:val="num" w:pos="284"/>
        </w:tabs>
        <w:ind w:left="284" w:hanging="284"/>
      </w:pPr>
      <w:rPr>
        <w:rFonts w:ascii="Arial" w:hAnsi="Arial" w:hint="default"/>
        <w:color w:val="auto"/>
      </w:rPr>
    </w:lvl>
    <w:lvl w:ilvl="1">
      <w:numFmt w:val="bullet"/>
      <w:lvlText w:val="-"/>
      <w:lvlJc w:val="left"/>
      <w:pPr>
        <w:ind w:left="644" w:hanging="360"/>
      </w:pPr>
      <w:rPr>
        <w:rFonts w:ascii="Aptos" w:eastAsiaTheme="minorHAnsi" w:hAnsi="Aptos" w:cstheme="minorBidi" w:hint="default"/>
      </w:rPr>
    </w:lvl>
    <w:lvl w:ilvl="2">
      <w:numFmt w:val="bullet"/>
      <w:lvlText w:val="-"/>
      <w:lvlJc w:val="left"/>
      <w:pPr>
        <w:ind w:left="1080" w:hanging="360"/>
      </w:pPr>
      <w:rPr>
        <w:rFonts w:ascii="Aptos" w:eastAsiaTheme="minorHAnsi" w:hAnsi="Aptos" w:cstheme="minorBid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2C280F"/>
    <w:multiLevelType w:val="hybridMultilevel"/>
    <w:tmpl w:val="16F88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637E6A"/>
    <w:multiLevelType w:val="multilevel"/>
    <w:tmpl w:val="E7A8D27C"/>
    <w:lvl w:ilvl="0">
      <w:start w:val="1"/>
      <w:numFmt w:val="bullet"/>
      <w:lvlText w:val=""/>
      <w:lvlJc w:val="left"/>
      <w:pPr>
        <w:ind w:left="720" w:hanging="360"/>
      </w:pPr>
      <w:rPr>
        <w:rFonts w:ascii="Wingdings" w:hAnsi="Wingding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47D4ABB"/>
    <w:multiLevelType w:val="hybridMultilevel"/>
    <w:tmpl w:val="5776D6F8"/>
    <w:lvl w:ilvl="0" w:tplc="6EA2BF3E">
      <w:start w:val="1"/>
      <w:numFmt w:val="bullet"/>
      <w:lvlText w:val="•"/>
      <w:lvlJc w:val="left"/>
      <w:pPr>
        <w:tabs>
          <w:tab w:val="num" w:pos="720"/>
        </w:tabs>
        <w:ind w:left="720" w:hanging="360"/>
      </w:pPr>
      <w:rPr>
        <w:rFonts w:ascii="Arial" w:hAnsi="Arial" w:hint="default"/>
      </w:rPr>
    </w:lvl>
    <w:lvl w:ilvl="1" w:tplc="341C95C4">
      <w:start w:val="1"/>
      <w:numFmt w:val="bullet"/>
      <w:lvlText w:val="•"/>
      <w:lvlJc w:val="left"/>
      <w:pPr>
        <w:tabs>
          <w:tab w:val="num" w:pos="1440"/>
        </w:tabs>
        <w:ind w:left="1440" w:hanging="360"/>
      </w:pPr>
      <w:rPr>
        <w:rFonts w:ascii="Arial" w:hAnsi="Arial" w:hint="default"/>
      </w:rPr>
    </w:lvl>
    <w:lvl w:ilvl="2" w:tplc="F9DE81E4" w:tentative="1">
      <w:start w:val="1"/>
      <w:numFmt w:val="bullet"/>
      <w:lvlText w:val="•"/>
      <w:lvlJc w:val="left"/>
      <w:pPr>
        <w:tabs>
          <w:tab w:val="num" w:pos="2160"/>
        </w:tabs>
        <w:ind w:left="2160" w:hanging="360"/>
      </w:pPr>
      <w:rPr>
        <w:rFonts w:ascii="Arial" w:hAnsi="Arial" w:hint="default"/>
      </w:rPr>
    </w:lvl>
    <w:lvl w:ilvl="3" w:tplc="7AC0896C" w:tentative="1">
      <w:start w:val="1"/>
      <w:numFmt w:val="bullet"/>
      <w:lvlText w:val="•"/>
      <w:lvlJc w:val="left"/>
      <w:pPr>
        <w:tabs>
          <w:tab w:val="num" w:pos="2880"/>
        </w:tabs>
        <w:ind w:left="2880" w:hanging="360"/>
      </w:pPr>
      <w:rPr>
        <w:rFonts w:ascii="Arial" w:hAnsi="Arial" w:hint="default"/>
      </w:rPr>
    </w:lvl>
    <w:lvl w:ilvl="4" w:tplc="6F52F712" w:tentative="1">
      <w:start w:val="1"/>
      <w:numFmt w:val="bullet"/>
      <w:lvlText w:val="•"/>
      <w:lvlJc w:val="left"/>
      <w:pPr>
        <w:tabs>
          <w:tab w:val="num" w:pos="3600"/>
        </w:tabs>
        <w:ind w:left="3600" w:hanging="360"/>
      </w:pPr>
      <w:rPr>
        <w:rFonts w:ascii="Arial" w:hAnsi="Arial" w:hint="default"/>
      </w:rPr>
    </w:lvl>
    <w:lvl w:ilvl="5" w:tplc="1780FCC0" w:tentative="1">
      <w:start w:val="1"/>
      <w:numFmt w:val="bullet"/>
      <w:lvlText w:val="•"/>
      <w:lvlJc w:val="left"/>
      <w:pPr>
        <w:tabs>
          <w:tab w:val="num" w:pos="4320"/>
        </w:tabs>
        <w:ind w:left="4320" w:hanging="360"/>
      </w:pPr>
      <w:rPr>
        <w:rFonts w:ascii="Arial" w:hAnsi="Arial" w:hint="default"/>
      </w:rPr>
    </w:lvl>
    <w:lvl w:ilvl="6" w:tplc="0C56B032" w:tentative="1">
      <w:start w:val="1"/>
      <w:numFmt w:val="bullet"/>
      <w:lvlText w:val="•"/>
      <w:lvlJc w:val="left"/>
      <w:pPr>
        <w:tabs>
          <w:tab w:val="num" w:pos="5040"/>
        </w:tabs>
        <w:ind w:left="5040" w:hanging="360"/>
      </w:pPr>
      <w:rPr>
        <w:rFonts w:ascii="Arial" w:hAnsi="Arial" w:hint="default"/>
      </w:rPr>
    </w:lvl>
    <w:lvl w:ilvl="7" w:tplc="EFE6CC80" w:tentative="1">
      <w:start w:val="1"/>
      <w:numFmt w:val="bullet"/>
      <w:lvlText w:val="•"/>
      <w:lvlJc w:val="left"/>
      <w:pPr>
        <w:tabs>
          <w:tab w:val="num" w:pos="5760"/>
        </w:tabs>
        <w:ind w:left="5760" w:hanging="360"/>
      </w:pPr>
      <w:rPr>
        <w:rFonts w:ascii="Arial" w:hAnsi="Arial" w:hint="default"/>
      </w:rPr>
    </w:lvl>
    <w:lvl w:ilvl="8" w:tplc="DA6E4D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3" w15:restartNumberingAfterBreak="0">
    <w:nsid w:val="39B751CC"/>
    <w:multiLevelType w:val="hybridMultilevel"/>
    <w:tmpl w:val="FC028A0A"/>
    <w:lvl w:ilvl="0" w:tplc="A9F0FC3E">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BDB6FF5"/>
    <w:multiLevelType w:val="hybridMultilevel"/>
    <w:tmpl w:val="B1DCE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8B2F77"/>
    <w:multiLevelType w:val="hybridMultilevel"/>
    <w:tmpl w:val="4A76F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B70346"/>
    <w:multiLevelType w:val="multilevel"/>
    <w:tmpl w:val="D7F0A60C"/>
    <w:lvl w:ilvl="0">
      <w:start w:val="1"/>
      <w:numFmt w:val="bullet"/>
      <w:lvlText w:val="•"/>
      <w:lvlJc w:val="left"/>
      <w:pPr>
        <w:tabs>
          <w:tab w:val="num" w:pos="284"/>
        </w:tabs>
        <w:ind w:left="284" w:hanging="284"/>
      </w:pPr>
      <w:rPr>
        <w:rFonts w:ascii="Arial" w:hAnsi="Arial" w:hint="default"/>
        <w:color w:val="auto"/>
      </w:rPr>
    </w:lvl>
    <w:lvl w:ilvl="1">
      <w:numFmt w:val="bullet"/>
      <w:lvlText w:val="-"/>
      <w:lvlJc w:val="left"/>
      <w:pPr>
        <w:ind w:left="644" w:hanging="360"/>
      </w:pPr>
      <w:rPr>
        <w:rFonts w:ascii="Aptos" w:eastAsiaTheme="minorHAnsi" w:hAnsi="Aptos"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ACA6A37"/>
    <w:multiLevelType w:val="hybridMultilevel"/>
    <w:tmpl w:val="1488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CE68C9"/>
    <w:multiLevelType w:val="hybridMultilevel"/>
    <w:tmpl w:val="5FB8721E"/>
    <w:lvl w:ilvl="0" w:tplc="0192A9BE">
      <w:numFmt w:val="bullet"/>
      <w:lvlText w:val="•"/>
      <w:lvlJc w:val="left"/>
      <w:pPr>
        <w:ind w:left="720" w:hanging="360"/>
      </w:pPr>
      <w:rPr>
        <w:rFonts w:ascii="Arial" w:eastAsiaTheme="majorEastAsia" w:hAnsi="Arial" w:cs="Arial" w:hint="default"/>
      </w:rPr>
    </w:lvl>
    <w:lvl w:ilvl="1" w:tplc="92F8C92C">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E06FCE"/>
    <w:multiLevelType w:val="multilevel"/>
    <w:tmpl w:val="F728553C"/>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D4D1527"/>
    <w:multiLevelType w:val="hybridMultilevel"/>
    <w:tmpl w:val="2266E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902200"/>
    <w:multiLevelType w:val="hybridMultilevel"/>
    <w:tmpl w:val="4E963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545187"/>
    <w:multiLevelType w:val="hybridMultilevel"/>
    <w:tmpl w:val="BDD4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FE4039"/>
    <w:multiLevelType w:val="hybridMultilevel"/>
    <w:tmpl w:val="71CE5BE4"/>
    <w:lvl w:ilvl="0" w:tplc="D8860E1C">
      <w:numFmt w:val="bullet"/>
      <w:lvlText w:val="-"/>
      <w:lvlJc w:val="left"/>
      <w:pPr>
        <w:ind w:left="927" w:hanging="360"/>
      </w:pPr>
      <w:rPr>
        <w:rFonts w:ascii="Arial" w:eastAsiaTheme="minorHAnsi" w:hAnsi="Arial" w:cs="Aria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6B4B6AD1"/>
    <w:multiLevelType w:val="hybridMultilevel"/>
    <w:tmpl w:val="4772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607D63"/>
    <w:multiLevelType w:val="hybridMultilevel"/>
    <w:tmpl w:val="0782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A65BD9"/>
    <w:multiLevelType w:val="hybridMultilevel"/>
    <w:tmpl w:val="C9683E72"/>
    <w:lvl w:ilvl="0" w:tplc="1562C81E">
      <w:start w:val="1"/>
      <w:numFmt w:val="bullet"/>
      <w:lvlText w:val="•"/>
      <w:lvlJc w:val="left"/>
      <w:pPr>
        <w:tabs>
          <w:tab w:val="num" w:pos="720"/>
        </w:tabs>
        <w:ind w:left="720" w:hanging="360"/>
      </w:pPr>
      <w:rPr>
        <w:rFonts w:ascii="Arial" w:hAnsi="Arial" w:hint="default"/>
      </w:rPr>
    </w:lvl>
    <w:lvl w:ilvl="1" w:tplc="DD1AF242">
      <w:start w:val="1"/>
      <w:numFmt w:val="bullet"/>
      <w:lvlText w:val="•"/>
      <w:lvlJc w:val="left"/>
      <w:pPr>
        <w:tabs>
          <w:tab w:val="num" w:pos="1440"/>
        </w:tabs>
        <w:ind w:left="1440" w:hanging="360"/>
      </w:pPr>
      <w:rPr>
        <w:rFonts w:ascii="Arial" w:hAnsi="Arial" w:hint="default"/>
      </w:rPr>
    </w:lvl>
    <w:lvl w:ilvl="2" w:tplc="6640377A" w:tentative="1">
      <w:start w:val="1"/>
      <w:numFmt w:val="bullet"/>
      <w:lvlText w:val="•"/>
      <w:lvlJc w:val="left"/>
      <w:pPr>
        <w:tabs>
          <w:tab w:val="num" w:pos="2160"/>
        </w:tabs>
        <w:ind w:left="2160" w:hanging="360"/>
      </w:pPr>
      <w:rPr>
        <w:rFonts w:ascii="Arial" w:hAnsi="Arial" w:hint="default"/>
      </w:rPr>
    </w:lvl>
    <w:lvl w:ilvl="3" w:tplc="D436CF0A" w:tentative="1">
      <w:start w:val="1"/>
      <w:numFmt w:val="bullet"/>
      <w:lvlText w:val="•"/>
      <w:lvlJc w:val="left"/>
      <w:pPr>
        <w:tabs>
          <w:tab w:val="num" w:pos="2880"/>
        </w:tabs>
        <w:ind w:left="2880" w:hanging="360"/>
      </w:pPr>
      <w:rPr>
        <w:rFonts w:ascii="Arial" w:hAnsi="Arial" w:hint="default"/>
      </w:rPr>
    </w:lvl>
    <w:lvl w:ilvl="4" w:tplc="658E70F8" w:tentative="1">
      <w:start w:val="1"/>
      <w:numFmt w:val="bullet"/>
      <w:lvlText w:val="•"/>
      <w:lvlJc w:val="left"/>
      <w:pPr>
        <w:tabs>
          <w:tab w:val="num" w:pos="3600"/>
        </w:tabs>
        <w:ind w:left="3600" w:hanging="360"/>
      </w:pPr>
      <w:rPr>
        <w:rFonts w:ascii="Arial" w:hAnsi="Arial" w:hint="default"/>
      </w:rPr>
    </w:lvl>
    <w:lvl w:ilvl="5" w:tplc="719836A0" w:tentative="1">
      <w:start w:val="1"/>
      <w:numFmt w:val="bullet"/>
      <w:lvlText w:val="•"/>
      <w:lvlJc w:val="left"/>
      <w:pPr>
        <w:tabs>
          <w:tab w:val="num" w:pos="4320"/>
        </w:tabs>
        <w:ind w:left="4320" w:hanging="360"/>
      </w:pPr>
      <w:rPr>
        <w:rFonts w:ascii="Arial" w:hAnsi="Arial" w:hint="default"/>
      </w:rPr>
    </w:lvl>
    <w:lvl w:ilvl="6" w:tplc="08586F84" w:tentative="1">
      <w:start w:val="1"/>
      <w:numFmt w:val="bullet"/>
      <w:lvlText w:val="•"/>
      <w:lvlJc w:val="left"/>
      <w:pPr>
        <w:tabs>
          <w:tab w:val="num" w:pos="5040"/>
        </w:tabs>
        <w:ind w:left="5040" w:hanging="360"/>
      </w:pPr>
      <w:rPr>
        <w:rFonts w:ascii="Arial" w:hAnsi="Arial" w:hint="default"/>
      </w:rPr>
    </w:lvl>
    <w:lvl w:ilvl="7" w:tplc="A21699C6" w:tentative="1">
      <w:start w:val="1"/>
      <w:numFmt w:val="bullet"/>
      <w:lvlText w:val="•"/>
      <w:lvlJc w:val="left"/>
      <w:pPr>
        <w:tabs>
          <w:tab w:val="num" w:pos="5760"/>
        </w:tabs>
        <w:ind w:left="5760" w:hanging="360"/>
      </w:pPr>
      <w:rPr>
        <w:rFonts w:ascii="Arial" w:hAnsi="Arial" w:hint="default"/>
      </w:rPr>
    </w:lvl>
    <w:lvl w:ilvl="8" w:tplc="B6765F4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D6856C5"/>
    <w:multiLevelType w:val="hybridMultilevel"/>
    <w:tmpl w:val="2376B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63981827">
    <w:abstractNumId w:val="12"/>
  </w:num>
  <w:num w:numId="2" w16cid:durableId="1741444980">
    <w:abstractNumId w:val="8"/>
  </w:num>
  <w:num w:numId="3" w16cid:durableId="2111049393">
    <w:abstractNumId w:val="19"/>
  </w:num>
  <w:num w:numId="4" w16cid:durableId="224688543">
    <w:abstractNumId w:val="9"/>
  </w:num>
  <w:num w:numId="5" w16cid:durableId="224729004">
    <w:abstractNumId w:val="14"/>
  </w:num>
  <w:num w:numId="6" w16cid:durableId="1561674040">
    <w:abstractNumId w:val="17"/>
  </w:num>
  <w:num w:numId="7" w16cid:durableId="887884288">
    <w:abstractNumId w:val="13"/>
  </w:num>
  <w:num w:numId="8" w16cid:durableId="1075708715">
    <w:abstractNumId w:val="24"/>
  </w:num>
  <w:num w:numId="9" w16cid:durableId="195049480">
    <w:abstractNumId w:val="19"/>
  </w:num>
  <w:num w:numId="10" w16cid:durableId="1215314669">
    <w:abstractNumId w:val="19"/>
  </w:num>
  <w:num w:numId="11" w16cid:durableId="935942059">
    <w:abstractNumId w:val="11"/>
  </w:num>
  <w:num w:numId="12" w16cid:durableId="127168581">
    <w:abstractNumId w:val="1"/>
  </w:num>
  <w:num w:numId="13" w16cid:durableId="1417049061">
    <w:abstractNumId w:val="21"/>
  </w:num>
  <w:num w:numId="14" w16cid:durableId="525484131">
    <w:abstractNumId w:val="26"/>
  </w:num>
  <w:num w:numId="15" w16cid:durableId="1448427088">
    <w:abstractNumId w:val="4"/>
  </w:num>
  <w:num w:numId="16" w16cid:durableId="523907550">
    <w:abstractNumId w:val="25"/>
  </w:num>
  <w:num w:numId="17" w16cid:durableId="586841471">
    <w:abstractNumId w:val="0"/>
  </w:num>
  <w:num w:numId="18" w16cid:durableId="958923966">
    <w:abstractNumId w:val="15"/>
  </w:num>
  <w:num w:numId="19" w16cid:durableId="37826548">
    <w:abstractNumId w:val="23"/>
  </w:num>
  <w:num w:numId="20" w16cid:durableId="657536486">
    <w:abstractNumId w:val="3"/>
  </w:num>
  <w:num w:numId="21" w16cid:durableId="1500073924">
    <w:abstractNumId w:val="27"/>
  </w:num>
  <w:num w:numId="22" w16cid:durableId="60175384">
    <w:abstractNumId w:val="7"/>
  </w:num>
  <w:num w:numId="23" w16cid:durableId="1698922250">
    <w:abstractNumId w:val="18"/>
  </w:num>
  <w:num w:numId="24" w16cid:durableId="1580558926">
    <w:abstractNumId w:val="19"/>
  </w:num>
  <w:num w:numId="25" w16cid:durableId="1124613963">
    <w:abstractNumId w:val="19"/>
  </w:num>
  <w:num w:numId="26" w16cid:durableId="158741328">
    <w:abstractNumId w:val="19"/>
  </w:num>
  <w:num w:numId="27" w16cid:durableId="737634589">
    <w:abstractNumId w:val="20"/>
  </w:num>
  <w:num w:numId="28" w16cid:durableId="945619473">
    <w:abstractNumId w:val="22"/>
  </w:num>
  <w:num w:numId="29" w16cid:durableId="1546066704">
    <w:abstractNumId w:val="2"/>
  </w:num>
  <w:num w:numId="30" w16cid:durableId="2030063239">
    <w:abstractNumId w:val="5"/>
  </w:num>
  <w:num w:numId="31" w16cid:durableId="1167744769">
    <w:abstractNumId w:val="16"/>
  </w:num>
  <w:num w:numId="32" w16cid:durableId="451363950">
    <w:abstractNumId w:val="6"/>
  </w:num>
  <w:num w:numId="33" w16cid:durableId="1583293874">
    <w:abstractNumId w:val="10"/>
  </w:num>
  <w:num w:numId="34" w16cid:durableId="1928416200">
    <w:abstractNumId w:val="19"/>
  </w:num>
  <w:num w:numId="35" w16cid:durableId="11584208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hideSpellingErrors/>
  <w:hideGrammaticalError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CA"/>
    <w:rsid w:val="00001FB5"/>
    <w:rsid w:val="0000691F"/>
    <w:rsid w:val="00010E72"/>
    <w:rsid w:val="00013BAB"/>
    <w:rsid w:val="000148E4"/>
    <w:rsid w:val="00014E68"/>
    <w:rsid w:val="00015AE4"/>
    <w:rsid w:val="000168B9"/>
    <w:rsid w:val="000236E6"/>
    <w:rsid w:val="00026763"/>
    <w:rsid w:val="00034121"/>
    <w:rsid w:val="00035FBB"/>
    <w:rsid w:val="00040452"/>
    <w:rsid w:val="00050107"/>
    <w:rsid w:val="0005326E"/>
    <w:rsid w:val="00054A53"/>
    <w:rsid w:val="000604C9"/>
    <w:rsid w:val="00070A89"/>
    <w:rsid w:val="000717C2"/>
    <w:rsid w:val="00072210"/>
    <w:rsid w:val="00081BAC"/>
    <w:rsid w:val="00082CF0"/>
    <w:rsid w:val="00086D9D"/>
    <w:rsid w:val="00086E42"/>
    <w:rsid w:val="00092E68"/>
    <w:rsid w:val="0009382D"/>
    <w:rsid w:val="00096EF6"/>
    <w:rsid w:val="000A18F9"/>
    <w:rsid w:val="000A44ED"/>
    <w:rsid w:val="000A48E5"/>
    <w:rsid w:val="000B0902"/>
    <w:rsid w:val="000B14EE"/>
    <w:rsid w:val="000B628C"/>
    <w:rsid w:val="000B6C00"/>
    <w:rsid w:val="000C2CF7"/>
    <w:rsid w:val="000C32C7"/>
    <w:rsid w:val="000C7552"/>
    <w:rsid w:val="000D3E86"/>
    <w:rsid w:val="000D7A16"/>
    <w:rsid w:val="000F28B8"/>
    <w:rsid w:val="000F3766"/>
    <w:rsid w:val="000F3B09"/>
    <w:rsid w:val="000F7F55"/>
    <w:rsid w:val="0010153A"/>
    <w:rsid w:val="00102A04"/>
    <w:rsid w:val="0010550B"/>
    <w:rsid w:val="00111F0C"/>
    <w:rsid w:val="00113ECC"/>
    <w:rsid w:val="0012455B"/>
    <w:rsid w:val="001267C3"/>
    <w:rsid w:val="00132A4E"/>
    <w:rsid w:val="00133309"/>
    <w:rsid w:val="00134159"/>
    <w:rsid w:val="001378F9"/>
    <w:rsid w:val="00137C02"/>
    <w:rsid w:val="00145E2D"/>
    <w:rsid w:val="00151535"/>
    <w:rsid w:val="0015620C"/>
    <w:rsid w:val="00160514"/>
    <w:rsid w:val="0016070F"/>
    <w:rsid w:val="001712D8"/>
    <w:rsid w:val="00171C1E"/>
    <w:rsid w:val="00173B07"/>
    <w:rsid w:val="00174CF2"/>
    <w:rsid w:val="001763D4"/>
    <w:rsid w:val="001771B9"/>
    <w:rsid w:val="00186C7A"/>
    <w:rsid w:val="00187056"/>
    <w:rsid w:val="001955C6"/>
    <w:rsid w:val="00196E67"/>
    <w:rsid w:val="001A7046"/>
    <w:rsid w:val="001A715B"/>
    <w:rsid w:val="001B15CE"/>
    <w:rsid w:val="001C1E45"/>
    <w:rsid w:val="001C2659"/>
    <w:rsid w:val="001C3FB3"/>
    <w:rsid w:val="001C53CE"/>
    <w:rsid w:val="001D11FC"/>
    <w:rsid w:val="001D2399"/>
    <w:rsid w:val="001E1CC7"/>
    <w:rsid w:val="001E2779"/>
    <w:rsid w:val="001E3F20"/>
    <w:rsid w:val="001E45A4"/>
    <w:rsid w:val="001E66CE"/>
    <w:rsid w:val="001F3515"/>
    <w:rsid w:val="002048DF"/>
    <w:rsid w:val="002078FC"/>
    <w:rsid w:val="00214270"/>
    <w:rsid w:val="00215F3D"/>
    <w:rsid w:val="00221DC2"/>
    <w:rsid w:val="0022225D"/>
    <w:rsid w:val="00223223"/>
    <w:rsid w:val="00224801"/>
    <w:rsid w:val="002303F3"/>
    <w:rsid w:val="002314B4"/>
    <w:rsid w:val="002321B5"/>
    <w:rsid w:val="002346DB"/>
    <w:rsid w:val="00240D0B"/>
    <w:rsid w:val="00246983"/>
    <w:rsid w:val="00246FAD"/>
    <w:rsid w:val="0024777B"/>
    <w:rsid w:val="00251114"/>
    <w:rsid w:val="0025381C"/>
    <w:rsid w:val="00253C84"/>
    <w:rsid w:val="00254244"/>
    <w:rsid w:val="002573D5"/>
    <w:rsid w:val="00264F17"/>
    <w:rsid w:val="00271775"/>
    <w:rsid w:val="002747FD"/>
    <w:rsid w:val="00292267"/>
    <w:rsid w:val="00292E6D"/>
    <w:rsid w:val="002936F0"/>
    <w:rsid w:val="002A05CE"/>
    <w:rsid w:val="002A41E1"/>
    <w:rsid w:val="002B0724"/>
    <w:rsid w:val="002B0853"/>
    <w:rsid w:val="002B527F"/>
    <w:rsid w:val="002B6574"/>
    <w:rsid w:val="002B7A44"/>
    <w:rsid w:val="002D1D3C"/>
    <w:rsid w:val="002D2343"/>
    <w:rsid w:val="002E40E0"/>
    <w:rsid w:val="002E4B33"/>
    <w:rsid w:val="002E75B9"/>
    <w:rsid w:val="002E7B2F"/>
    <w:rsid w:val="003012C7"/>
    <w:rsid w:val="00302F58"/>
    <w:rsid w:val="00311807"/>
    <w:rsid w:val="003119C4"/>
    <w:rsid w:val="00311BD7"/>
    <w:rsid w:val="003131AB"/>
    <w:rsid w:val="0031355C"/>
    <w:rsid w:val="003217BE"/>
    <w:rsid w:val="00325D43"/>
    <w:rsid w:val="00326D50"/>
    <w:rsid w:val="00333FE6"/>
    <w:rsid w:val="00334E0E"/>
    <w:rsid w:val="00345569"/>
    <w:rsid w:val="003456E1"/>
    <w:rsid w:val="003538CF"/>
    <w:rsid w:val="00354599"/>
    <w:rsid w:val="003560A3"/>
    <w:rsid w:val="00363864"/>
    <w:rsid w:val="00370554"/>
    <w:rsid w:val="00370C09"/>
    <w:rsid w:val="00375B3D"/>
    <w:rsid w:val="0038030A"/>
    <w:rsid w:val="00381D5D"/>
    <w:rsid w:val="00391726"/>
    <w:rsid w:val="00391B1A"/>
    <w:rsid w:val="00392D43"/>
    <w:rsid w:val="0039470D"/>
    <w:rsid w:val="00397A14"/>
    <w:rsid w:val="003A2C0A"/>
    <w:rsid w:val="003A3C40"/>
    <w:rsid w:val="003C15F0"/>
    <w:rsid w:val="003C1F9D"/>
    <w:rsid w:val="003C3B5C"/>
    <w:rsid w:val="003D1CAB"/>
    <w:rsid w:val="003D3B1D"/>
    <w:rsid w:val="003D3CFE"/>
    <w:rsid w:val="003D4AE2"/>
    <w:rsid w:val="003D5DBE"/>
    <w:rsid w:val="003E1D87"/>
    <w:rsid w:val="003F4B33"/>
    <w:rsid w:val="003F7448"/>
    <w:rsid w:val="004011A9"/>
    <w:rsid w:val="00401544"/>
    <w:rsid w:val="00404841"/>
    <w:rsid w:val="00406203"/>
    <w:rsid w:val="00411272"/>
    <w:rsid w:val="004114A2"/>
    <w:rsid w:val="00412059"/>
    <w:rsid w:val="0041209E"/>
    <w:rsid w:val="00415D5F"/>
    <w:rsid w:val="00433AEB"/>
    <w:rsid w:val="004354C4"/>
    <w:rsid w:val="00441E79"/>
    <w:rsid w:val="004430C5"/>
    <w:rsid w:val="004442FC"/>
    <w:rsid w:val="004509C9"/>
    <w:rsid w:val="00456EA2"/>
    <w:rsid w:val="00457822"/>
    <w:rsid w:val="00460872"/>
    <w:rsid w:val="00462A60"/>
    <w:rsid w:val="004717E4"/>
    <w:rsid w:val="004754B9"/>
    <w:rsid w:val="004763F8"/>
    <w:rsid w:val="00483A58"/>
    <w:rsid w:val="00483B9C"/>
    <w:rsid w:val="00494EF0"/>
    <w:rsid w:val="004A1108"/>
    <w:rsid w:val="004A3DFD"/>
    <w:rsid w:val="004C1AFE"/>
    <w:rsid w:val="004C3B98"/>
    <w:rsid w:val="004D7F17"/>
    <w:rsid w:val="004E3EF0"/>
    <w:rsid w:val="004E7F37"/>
    <w:rsid w:val="004F193D"/>
    <w:rsid w:val="004F7F50"/>
    <w:rsid w:val="005011BA"/>
    <w:rsid w:val="00501714"/>
    <w:rsid w:val="00502FC0"/>
    <w:rsid w:val="00511E43"/>
    <w:rsid w:val="00512726"/>
    <w:rsid w:val="00512B77"/>
    <w:rsid w:val="00517BB6"/>
    <w:rsid w:val="005217CF"/>
    <w:rsid w:val="0052476A"/>
    <w:rsid w:val="00533F2E"/>
    <w:rsid w:val="0053597E"/>
    <w:rsid w:val="005424DD"/>
    <w:rsid w:val="00544EFC"/>
    <w:rsid w:val="00546C9B"/>
    <w:rsid w:val="00554B85"/>
    <w:rsid w:val="00555250"/>
    <w:rsid w:val="00560DE8"/>
    <w:rsid w:val="005647A0"/>
    <w:rsid w:val="0057078D"/>
    <w:rsid w:val="00573AFB"/>
    <w:rsid w:val="00580DEF"/>
    <w:rsid w:val="00586554"/>
    <w:rsid w:val="005924C5"/>
    <w:rsid w:val="005932E2"/>
    <w:rsid w:val="00595C7E"/>
    <w:rsid w:val="005A3645"/>
    <w:rsid w:val="005A41B4"/>
    <w:rsid w:val="005A4D3A"/>
    <w:rsid w:val="005B3C50"/>
    <w:rsid w:val="005C2EB1"/>
    <w:rsid w:val="005C37DE"/>
    <w:rsid w:val="005D178D"/>
    <w:rsid w:val="005D27B3"/>
    <w:rsid w:val="005E2151"/>
    <w:rsid w:val="005E2D41"/>
    <w:rsid w:val="005E61F0"/>
    <w:rsid w:val="005F5089"/>
    <w:rsid w:val="005F569F"/>
    <w:rsid w:val="006008A0"/>
    <w:rsid w:val="00600A40"/>
    <w:rsid w:val="00604568"/>
    <w:rsid w:val="00604CC9"/>
    <w:rsid w:val="00605C6B"/>
    <w:rsid w:val="00607C5C"/>
    <w:rsid w:val="00613CA7"/>
    <w:rsid w:val="00615CE3"/>
    <w:rsid w:val="00616EBA"/>
    <w:rsid w:val="0061702E"/>
    <w:rsid w:val="00617248"/>
    <w:rsid w:val="00617604"/>
    <w:rsid w:val="00622F33"/>
    <w:rsid w:val="006277F5"/>
    <w:rsid w:val="00630795"/>
    <w:rsid w:val="00630E03"/>
    <w:rsid w:val="00630EC1"/>
    <w:rsid w:val="006316F2"/>
    <w:rsid w:val="00632C08"/>
    <w:rsid w:val="006339F5"/>
    <w:rsid w:val="00634441"/>
    <w:rsid w:val="006417CC"/>
    <w:rsid w:val="00641E96"/>
    <w:rsid w:val="00653262"/>
    <w:rsid w:val="00660B61"/>
    <w:rsid w:val="006617EA"/>
    <w:rsid w:val="0067073A"/>
    <w:rsid w:val="0067074A"/>
    <w:rsid w:val="00670DB7"/>
    <w:rsid w:val="006722AF"/>
    <w:rsid w:val="00672994"/>
    <w:rsid w:val="00682D8A"/>
    <w:rsid w:val="00691861"/>
    <w:rsid w:val="006A53BA"/>
    <w:rsid w:val="006B100D"/>
    <w:rsid w:val="006B1D74"/>
    <w:rsid w:val="006B4332"/>
    <w:rsid w:val="006B7ABC"/>
    <w:rsid w:val="006D1B54"/>
    <w:rsid w:val="006E27CD"/>
    <w:rsid w:val="006E4C52"/>
    <w:rsid w:val="006F2427"/>
    <w:rsid w:val="006F3E50"/>
    <w:rsid w:val="006F40C1"/>
    <w:rsid w:val="006F42CE"/>
    <w:rsid w:val="006F63D4"/>
    <w:rsid w:val="006F7A86"/>
    <w:rsid w:val="00700B2D"/>
    <w:rsid w:val="00700C30"/>
    <w:rsid w:val="00701F7A"/>
    <w:rsid w:val="00704723"/>
    <w:rsid w:val="0072110F"/>
    <w:rsid w:val="007231BC"/>
    <w:rsid w:val="00723C8F"/>
    <w:rsid w:val="00726AB2"/>
    <w:rsid w:val="00727FC6"/>
    <w:rsid w:val="0073292C"/>
    <w:rsid w:val="00734F9A"/>
    <w:rsid w:val="007358E5"/>
    <w:rsid w:val="00737E3D"/>
    <w:rsid w:val="00737EA2"/>
    <w:rsid w:val="00746037"/>
    <w:rsid w:val="00752C6B"/>
    <w:rsid w:val="00753BED"/>
    <w:rsid w:val="007615B4"/>
    <w:rsid w:val="007616E2"/>
    <w:rsid w:val="00772424"/>
    <w:rsid w:val="007770B2"/>
    <w:rsid w:val="00780126"/>
    <w:rsid w:val="00781776"/>
    <w:rsid w:val="00781FD3"/>
    <w:rsid w:val="00793240"/>
    <w:rsid w:val="00796623"/>
    <w:rsid w:val="007A2377"/>
    <w:rsid w:val="007A3935"/>
    <w:rsid w:val="007B5C8E"/>
    <w:rsid w:val="007C3351"/>
    <w:rsid w:val="007C40EC"/>
    <w:rsid w:val="007C7995"/>
    <w:rsid w:val="007D024C"/>
    <w:rsid w:val="007E167B"/>
    <w:rsid w:val="007E57A7"/>
    <w:rsid w:val="007E7CD4"/>
    <w:rsid w:val="007E7E38"/>
    <w:rsid w:val="007F3216"/>
    <w:rsid w:val="00806C81"/>
    <w:rsid w:val="00813327"/>
    <w:rsid w:val="008139FB"/>
    <w:rsid w:val="008168B3"/>
    <w:rsid w:val="00820321"/>
    <w:rsid w:val="00820F20"/>
    <w:rsid w:val="00821706"/>
    <w:rsid w:val="00825754"/>
    <w:rsid w:val="00826A28"/>
    <w:rsid w:val="008369E0"/>
    <w:rsid w:val="00841930"/>
    <w:rsid w:val="00842D76"/>
    <w:rsid w:val="00844C2D"/>
    <w:rsid w:val="00844CF4"/>
    <w:rsid w:val="00846686"/>
    <w:rsid w:val="008555A0"/>
    <w:rsid w:val="00864F2F"/>
    <w:rsid w:val="00865A33"/>
    <w:rsid w:val="00870EC9"/>
    <w:rsid w:val="008726A7"/>
    <w:rsid w:val="00872FBD"/>
    <w:rsid w:val="00877FCB"/>
    <w:rsid w:val="00882DE4"/>
    <w:rsid w:val="00896156"/>
    <w:rsid w:val="008B09AD"/>
    <w:rsid w:val="008B4EA0"/>
    <w:rsid w:val="008B6301"/>
    <w:rsid w:val="008C39FD"/>
    <w:rsid w:val="008C5E56"/>
    <w:rsid w:val="008D54D6"/>
    <w:rsid w:val="008D7719"/>
    <w:rsid w:val="008E01EA"/>
    <w:rsid w:val="008E2FD2"/>
    <w:rsid w:val="008E3F2F"/>
    <w:rsid w:val="008F0936"/>
    <w:rsid w:val="008F1B87"/>
    <w:rsid w:val="008F29DA"/>
    <w:rsid w:val="008F5BD4"/>
    <w:rsid w:val="0090746A"/>
    <w:rsid w:val="009259F8"/>
    <w:rsid w:val="009278A4"/>
    <w:rsid w:val="009345F1"/>
    <w:rsid w:val="009455DB"/>
    <w:rsid w:val="009546BB"/>
    <w:rsid w:val="009606FE"/>
    <w:rsid w:val="00961072"/>
    <w:rsid w:val="0096452A"/>
    <w:rsid w:val="009645FD"/>
    <w:rsid w:val="00964FB2"/>
    <w:rsid w:val="009662C7"/>
    <w:rsid w:val="00966789"/>
    <w:rsid w:val="009746AE"/>
    <w:rsid w:val="0098463D"/>
    <w:rsid w:val="00987B3E"/>
    <w:rsid w:val="00991B7C"/>
    <w:rsid w:val="009A1CC6"/>
    <w:rsid w:val="009B0548"/>
    <w:rsid w:val="009B10CA"/>
    <w:rsid w:val="009B2C39"/>
    <w:rsid w:val="009B4B68"/>
    <w:rsid w:val="009B7A75"/>
    <w:rsid w:val="009C289B"/>
    <w:rsid w:val="009C3384"/>
    <w:rsid w:val="009C38C5"/>
    <w:rsid w:val="009C54C0"/>
    <w:rsid w:val="009C6893"/>
    <w:rsid w:val="009E158C"/>
    <w:rsid w:val="009E1749"/>
    <w:rsid w:val="009E5EA3"/>
    <w:rsid w:val="009E7080"/>
    <w:rsid w:val="009E750F"/>
    <w:rsid w:val="009F5E28"/>
    <w:rsid w:val="009F70CD"/>
    <w:rsid w:val="00A03CF9"/>
    <w:rsid w:val="00A04D96"/>
    <w:rsid w:val="00A04DEB"/>
    <w:rsid w:val="00A05B24"/>
    <w:rsid w:val="00A0629B"/>
    <w:rsid w:val="00A07122"/>
    <w:rsid w:val="00A10841"/>
    <w:rsid w:val="00A12367"/>
    <w:rsid w:val="00A1653F"/>
    <w:rsid w:val="00A177A6"/>
    <w:rsid w:val="00A21690"/>
    <w:rsid w:val="00A21CB2"/>
    <w:rsid w:val="00A22256"/>
    <w:rsid w:val="00A41FE6"/>
    <w:rsid w:val="00A46033"/>
    <w:rsid w:val="00A5002F"/>
    <w:rsid w:val="00A5626E"/>
    <w:rsid w:val="00A60D2B"/>
    <w:rsid w:val="00A71702"/>
    <w:rsid w:val="00A74D4A"/>
    <w:rsid w:val="00A77896"/>
    <w:rsid w:val="00A8296A"/>
    <w:rsid w:val="00A83C09"/>
    <w:rsid w:val="00A90D1B"/>
    <w:rsid w:val="00A91ABC"/>
    <w:rsid w:val="00A9484A"/>
    <w:rsid w:val="00A9726A"/>
    <w:rsid w:val="00AA537C"/>
    <w:rsid w:val="00AB453E"/>
    <w:rsid w:val="00AC0DF5"/>
    <w:rsid w:val="00AD04BC"/>
    <w:rsid w:val="00AD18DC"/>
    <w:rsid w:val="00AD37C5"/>
    <w:rsid w:val="00AD4A52"/>
    <w:rsid w:val="00AD5166"/>
    <w:rsid w:val="00AE379A"/>
    <w:rsid w:val="00AE3AD8"/>
    <w:rsid w:val="00AE5662"/>
    <w:rsid w:val="00AF09C5"/>
    <w:rsid w:val="00AF1603"/>
    <w:rsid w:val="00AF2C0D"/>
    <w:rsid w:val="00B06C2D"/>
    <w:rsid w:val="00B16C0C"/>
    <w:rsid w:val="00B16E97"/>
    <w:rsid w:val="00B24124"/>
    <w:rsid w:val="00B250FD"/>
    <w:rsid w:val="00B26372"/>
    <w:rsid w:val="00B27BD8"/>
    <w:rsid w:val="00B35814"/>
    <w:rsid w:val="00B443A0"/>
    <w:rsid w:val="00B54F70"/>
    <w:rsid w:val="00B578FA"/>
    <w:rsid w:val="00B61090"/>
    <w:rsid w:val="00B620EA"/>
    <w:rsid w:val="00B62600"/>
    <w:rsid w:val="00B66DB0"/>
    <w:rsid w:val="00B749FD"/>
    <w:rsid w:val="00B76A39"/>
    <w:rsid w:val="00B835BD"/>
    <w:rsid w:val="00B9091B"/>
    <w:rsid w:val="00B91CE3"/>
    <w:rsid w:val="00BA2444"/>
    <w:rsid w:val="00BA50E4"/>
    <w:rsid w:val="00BA55B5"/>
    <w:rsid w:val="00BC093A"/>
    <w:rsid w:val="00BC168A"/>
    <w:rsid w:val="00BC282C"/>
    <w:rsid w:val="00BC4ACC"/>
    <w:rsid w:val="00BC7483"/>
    <w:rsid w:val="00BD1110"/>
    <w:rsid w:val="00BD2B7A"/>
    <w:rsid w:val="00BD670B"/>
    <w:rsid w:val="00BE24A9"/>
    <w:rsid w:val="00BE42C4"/>
    <w:rsid w:val="00BF0913"/>
    <w:rsid w:val="00BF4482"/>
    <w:rsid w:val="00C02C5D"/>
    <w:rsid w:val="00C035E3"/>
    <w:rsid w:val="00C04254"/>
    <w:rsid w:val="00C1436F"/>
    <w:rsid w:val="00C14F87"/>
    <w:rsid w:val="00C15C33"/>
    <w:rsid w:val="00C217A8"/>
    <w:rsid w:val="00C222B8"/>
    <w:rsid w:val="00C22AD7"/>
    <w:rsid w:val="00C247A2"/>
    <w:rsid w:val="00C25C1A"/>
    <w:rsid w:val="00C265C9"/>
    <w:rsid w:val="00C4357C"/>
    <w:rsid w:val="00C4402E"/>
    <w:rsid w:val="00C45B55"/>
    <w:rsid w:val="00C501D0"/>
    <w:rsid w:val="00C508CF"/>
    <w:rsid w:val="00C53E40"/>
    <w:rsid w:val="00C553A7"/>
    <w:rsid w:val="00C67791"/>
    <w:rsid w:val="00C74774"/>
    <w:rsid w:val="00C83D13"/>
    <w:rsid w:val="00C919DB"/>
    <w:rsid w:val="00C94E2A"/>
    <w:rsid w:val="00C95429"/>
    <w:rsid w:val="00C975FF"/>
    <w:rsid w:val="00CA010A"/>
    <w:rsid w:val="00CA2D39"/>
    <w:rsid w:val="00CA352A"/>
    <w:rsid w:val="00CA3E52"/>
    <w:rsid w:val="00CB2CCC"/>
    <w:rsid w:val="00CB544C"/>
    <w:rsid w:val="00CC222A"/>
    <w:rsid w:val="00CC7FC0"/>
    <w:rsid w:val="00CD2621"/>
    <w:rsid w:val="00CD50F8"/>
    <w:rsid w:val="00CD5925"/>
    <w:rsid w:val="00CD5E59"/>
    <w:rsid w:val="00CE208F"/>
    <w:rsid w:val="00CE557A"/>
    <w:rsid w:val="00CF67C9"/>
    <w:rsid w:val="00D01ECA"/>
    <w:rsid w:val="00D01F9C"/>
    <w:rsid w:val="00D028A2"/>
    <w:rsid w:val="00D06DED"/>
    <w:rsid w:val="00D10644"/>
    <w:rsid w:val="00D106A5"/>
    <w:rsid w:val="00D1410C"/>
    <w:rsid w:val="00D14AB4"/>
    <w:rsid w:val="00D15631"/>
    <w:rsid w:val="00D24399"/>
    <w:rsid w:val="00D26331"/>
    <w:rsid w:val="00D329E2"/>
    <w:rsid w:val="00D36876"/>
    <w:rsid w:val="00D416E0"/>
    <w:rsid w:val="00D41FCC"/>
    <w:rsid w:val="00D46E68"/>
    <w:rsid w:val="00D53BB5"/>
    <w:rsid w:val="00D53C3E"/>
    <w:rsid w:val="00D55FB9"/>
    <w:rsid w:val="00D57F79"/>
    <w:rsid w:val="00D616C6"/>
    <w:rsid w:val="00D71AB9"/>
    <w:rsid w:val="00D77DD6"/>
    <w:rsid w:val="00D82C42"/>
    <w:rsid w:val="00D87545"/>
    <w:rsid w:val="00D904EE"/>
    <w:rsid w:val="00D904F0"/>
    <w:rsid w:val="00D91378"/>
    <w:rsid w:val="00D97D0D"/>
    <w:rsid w:val="00DA1B32"/>
    <w:rsid w:val="00DA2177"/>
    <w:rsid w:val="00DA2C34"/>
    <w:rsid w:val="00DA5ECB"/>
    <w:rsid w:val="00DB70EF"/>
    <w:rsid w:val="00DD1408"/>
    <w:rsid w:val="00DD17A1"/>
    <w:rsid w:val="00DD2783"/>
    <w:rsid w:val="00DD356D"/>
    <w:rsid w:val="00DD7A27"/>
    <w:rsid w:val="00DD7E4E"/>
    <w:rsid w:val="00DE75F5"/>
    <w:rsid w:val="00DE7B3E"/>
    <w:rsid w:val="00DF6B79"/>
    <w:rsid w:val="00DF6FD5"/>
    <w:rsid w:val="00DF79DC"/>
    <w:rsid w:val="00DF7BB2"/>
    <w:rsid w:val="00E01B42"/>
    <w:rsid w:val="00E01FAC"/>
    <w:rsid w:val="00E0389A"/>
    <w:rsid w:val="00E16D5A"/>
    <w:rsid w:val="00E23451"/>
    <w:rsid w:val="00E311C0"/>
    <w:rsid w:val="00E34198"/>
    <w:rsid w:val="00E37240"/>
    <w:rsid w:val="00E45250"/>
    <w:rsid w:val="00E471D1"/>
    <w:rsid w:val="00E515F9"/>
    <w:rsid w:val="00E529C2"/>
    <w:rsid w:val="00E579E3"/>
    <w:rsid w:val="00E57FB4"/>
    <w:rsid w:val="00E7526D"/>
    <w:rsid w:val="00E75AF9"/>
    <w:rsid w:val="00E80544"/>
    <w:rsid w:val="00E808D2"/>
    <w:rsid w:val="00E836C1"/>
    <w:rsid w:val="00E84012"/>
    <w:rsid w:val="00E841A5"/>
    <w:rsid w:val="00E84A33"/>
    <w:rsid w:val="00E85A6B"/>
    <w:rsid w:val="00E91875"/>
    <w:rsid w:val="00E972E5"/>
    <w:rsid w:val="00EA0724"/>
    <w:rsid w:val="00EA52FF"/>
    <w:rsid w:val="00EB17F5"/>
    <w:rsid w:val="00EB5840"/>
    <w:rsid w:val="00EB6414"/>
    <w:rsid w:val="00EB7EF3"/>
    <w:rsid w:val="00EC05CF"/>
    <w:rsid w:val="00EC3613"/>
    <w:rsid w:val="00EC3E82"/>
    <w:rsid w:val="00EC526C"/>
    <w:rsid w:val="00ED28EF"/>
    <w:rsid w:val="00ED2D66"/>
    <w:rsid w:val="00ED3544"/>
    <w:rsid w:val="00EE1E78"/>
    <w:rsid w:val="00EE3B50"/>
    <w:rsid w:val="00EF11ED"/>
    <w:rsid w:val="00F17C65"/>
    <w:rsid w:val="00F2037E"/>
    <w:rsid w:val="00F24444"/>
    <w:rsid w:val="00F30C6F"/>
    <w:rsid w:val="00F3100F"/>
    <w:rsid w:val="00F3237E"/>
    <w:rsid w:val="00F362B6"/>
    <w:rsid w:val="00F37CA3"/>
    <w:rsid w:val="00F5341C"/>
    <w:rsid w:val="00F65139"/>
    <w:rsid w:val="00F75725"/>
    <w:rsid w:val="00F809EA"/>
    <w:rsid w:val="00F827A6"/>
    <w:rsid w:val="00F865E6"/>
    <w:rsid w:val="00F8723D"/>
    <w:rsid w:val="00F947B4"/>
    <w:rsid w:val="00FA5A7B"/>
    <w:rsid w:val="00FB1747"/>
    <w:rsid w:val="00FB1BC9"/>
    <w:rsid w:val="00FB330A"/>
    <w:rsid w:val="00FD57E2"/>
    <w:rsid w:val="00FD627D"/>
    <w:rsid w:val="00FE6A9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8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424DD"/>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BoxContactInfowhite">
    <w:name w:val="Box Contact Info (white)"/>
    <w:basedOn w:val="Normal"/>
    <w:uiPriority w:val="1"/>
    <w:rsid w:val="004F193D"/>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paragraph" w:customStyle="1" w:styleId="BoxHeadingwhite">
    <w:name w:val="Box Heading (white)"/>
    <w:link w:val="BoxHeadingwhiteChar"/>
    <w:uiPriority w:val="1"/>
    <w:rsid w:val="00D416E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613CA7"/>
    <w:rPr>
      <w:rFonts w:ascii="Arial" w:eastAsiaTheme="majorEastAsia" w:hAnsi="Arial" w:cstheme="majorBidi"/>
      <w:b/>
      <w:color w:val="FFFFFF" w:themeColor="background1"/>
      <w:spacing w:val="-3"/>
      <w:kern w:val="28"/>
      <w:sz w:val="30"/>
      <w:szCs w:val="52"/>
    </w:rPr>
  </w:style>
  <w:style w:type="character" w:styleId="PlaceholderText">
    <w:name w:val="Placeholder Text"/>
    <w:basedOn w:val="DefaultParagraphFont"/>
    <w:uiPriority w:val="99"/>
    <w:semiHidden/>
    <w:rsid w:val="00A22256"/>
    <w:rPr>
      <w:color w:val="808080"/>
    </w:rPr>
  </w:style>
  <w:style w:type="paragraph" w:customStyle="1" w:styleId="AddressInfowhite">
    <w:name w:val="Address Info (white)"/>
    <w:basedOn w:val="Normal"/>
    <w:rsid w:val="005424DD"/>
    <w:pPr>
      <w:spacing w:before="113" w:after="170" w:line="240" w:lineRule="atLeast"/>
      <w:contextualSpacing/>
    </w:pPr>
    <w:rPr>
      <w:rFonts w:ascii="Arial" w:eastAsiaTheme="majorEastAsia" w:hAnsi="Arial" w:cstheme="majorBidi"/>
      <w:color w:val="FFFFFF" w:themeColor="background1"/>
      <w:spacing w:val="-2"/>
      <w:kern w:val="28"/>
      <w:szCs w:val="52"/>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white">
    <w:name w:val="Box Contact Heading (white)"/>
    <w:basedOn w:val="Heading3"/>
    <w:uiPriority w:val="1"/>
    <w:rsid w:val="00302F58"/>
    <w:rPr>
      <w:color w:val="FFFFFF" w:themeColor="background1"/>
    </w:rPr>
  </w:style>
  <w:style w:type="paragraph" w:customStyle="1" w:styleId="BoxCopywhite">
    <w:name w:val="Box Copy (white)"/>
    <w:basedOn w:val="BodyCopy"/>
    <w:uiPriority w:val="1"/>
    <w:rsid w:val="00302F58"/>
    <w:rPr>
      <w:color w:val="FFFFFF" w:themeColor="background1"/>
    </w:rPr>
  </w:style>
  <w:style w:type="paragraph" w:customStyle="1" w:styleId="BoxHeadingblack">
    <w:name w:val="Box Heading (black)"/>
    <w:basedOn w:val="BoxHeadingwhite"/>
    <w:uiPriority w:val="1"/>
    <w:rsid w:val="00846686"/>
    <w:rPr>
      <w:color w:val="000000" w:themeColor="text1"/>
    </w:rPr>
  </w:style>
  <w:style w:type="paragraph" w:customStyle="1" w:styleId="BoxCopyblack">
    <w:name w:val="Box Copy (black)"/>
    <w:basedOn w:val="BoxCopywhite"/>
    <w:uiPriority w:val="1"/>
    <w:rsid w:val="00846686"/>
    <w:rPr>
      <w:color w:val="000000" w:themeColor="text1"/>
    </w:rPr>
  </w:style>
  <w:style w:type="paragraph" w:customStyle="1" w:styleId="BoxContactHeadingblack">
    <w:name w:val="Box Contact Heading (black)"/>
    <w:basedOn w:val="Heading3"/>
    <w:uiPriority w:val="1"/>
    <w:rsid w:val="00846686"/>
    <w:rPr>
      <w:color w:val="000000" w:themeColor="text1"/>
    </w:rPr>
  </w:style>
  <w:style w:type="paragraph" w:customStyle="1" w:styleId="BoxContactInfoblack">
    <w:name w:val="Box Contact Info (black)"/>
    <w:basedOn w:val="BoxContactInfowhite"/>
    <w:uiPriority w:val="1"/>
    <w:rsid w:val="00846686"/>
    <w:rPr>
      <w:color w:val="000000" w:themeColor="text1"/>
    </w:rPr>
  </w:style>
  <w:style w:type="paragraph" w:customStyle="1" w:styleId="ContactDetailswhite">
    <w:name w:val="Contact Details (white)"/>
    <w:basedOn w:val="Heading3"/>
    <w:rsid w:val="005424DD"/>
    <w:rPr>
      <w:color w:val="FFFFFF" w:themeColor="background1"/>
    </w:rPr>
  </w:style>
  <w:style w:type="paragraph" w:customStyle="1" w:styleId="Headingline1">
    <w:name w:val="Heading (line 1)"/>
    <w:next w:val="Headingline2"/>
    <w:qFormat/>
    <w:rsid w:val="00113ECC"/>
    <w:pPr>
      <w:spacing w:line="520" w:lineRule="exact"/>
    </w:pPr>
    <w:rPr>
      <w:rFonts w:ascii="Univers 45 Light" w:eastAsia="Times New Roman" w:hAnsi="Univers 45 Light"/>
      <w:caps/>
      <w:color w:val="003150" w:themeColor="text2"/>
      <w:sz w:val="48"/>
      <w:szCs w:val="24"/>
    </w:rPr>
  </w:style>
  <w:style w:type="paragraph" w:customStyle="1" w:styleId="Headingline2">
    <w:name w:val="Heading (line 2)"/>
    <w:basedOn w:val="Headingline1"/>
    <w:qFormat/>
    <w:rsid w:val="00113ECC"/>
    <w:pPr>
      <w:spacing w:line="240" w:lineRule="auto"/>
    </w:pPr>
    <w:rPr>
      <w:color w:val="000000" w:themeColor="text1"/>
    </w:rPr>
  </w:style>
  <w:style w:type="paragraph" w:styleId="ListParagraph">
    <w:name w:val="List Paragraph"/>
    <w:basedOn w:val="Normal"/>
    <w:uiPriority w:val="34"/>
    <w:qFormat/>
    <w:rsid w:val="00EE3B50"/>
    <w:pPr>
      <w:ind w:left="720"/>
      <w:contextualSpacing/>
    </w:pPr>
    <w:rPr>
      <w:rFonts w:ascii="Times New Roman" w:eastAsia="Times New Roman" w:hAnsi="Times New Roman"/>
      <w:sz w:val="24"/>
      <w:szCs w:val="24"/>
      <w:lang w:val="en-US"/>
    </w:rPr>
  </w:style>
  <w:style w:type="character" w:styleId="CommentReference">
    <w:name w:val="annotation reference"/>
    <w:basedOn w:val="DefaultParagraphFont"/>
    <w:uiPriority w:val="99"/>
    <w:rsid w:val="008E3F2F"/>
    <w:rPr>
      <w:sz w:val="16"/>
      <w:szCs w:val="16"/>
    </w:rPr>
  </w:style>
  <w:style w:type="paragraph" w:styleId="CommentText">
    <w:name w:val="annotation text"/>
    <w:basedOn w:val="Normal"/>
    <w:link w:val="CommentTextChar"/>
    <w:uiPriority w:val="99"/>
    <w:rsid w:val="008E3F2F"/>
  </w:style>
  <w:style w:type="character" w:customStyle="1" w:styleId="CommentTextChar">
    <w:name w:val="Comment Text Char"/>
    <w:basedOn w:val="DefaultParagraphFont"/>
    <w:link w:val="CommentText"/>
    <w:uiPriority w:val="99"/>
    <w:rsid w:val="008E3F2F"/>
    <w:rPr>
      <w:rFonts w:asciiTheme="minorHAnsi" w:hAnsiTheme="minorHAnsi"/>
    </w:rPr>
  </w:style>
  <w:style w:type="paragraph" w:styleId="CommentSubject">
    <w:name w:val="annotation subject"/>
    <w:basedOn w:val="CommentText"/>
    <w:next w:val="CommentText"/>
    <w:link w:val="CommentSubjectChar"/>
    <w:uiPriority w:val="99"/>
    <w:semiHidden/>
    <w:rsid w:val="008E3F2F"/>
    <w:rPr>
      <w:b/>
      <w:bCs/>
    </w:rPr>
  </w:style>
  <w:style w:type="character" w:customStyle="1" w:styleId="CommentSubjectChar">
    <w:name w:val="Comment Subject Char"/>
    <w:basedOn w:val="CommentTextChar"/>
    <w:link w:val="CommentSubject"/>
    <w:uiPriority w:val="99"/>
    <w:semiHidden/>
    <w:rsid w:val="008E3F2F"/>
    <w:rPr>
      <w:rFonts w:asciiTheme="minorHAnsi" w:hAnsiTheme="minorHAnsi"/>
      <w:b/>
      <w:bCs/>
    </w:rPr>
  </w:style>
  <w:style w:type="character" w:styleId="FollowedHyperlink">
    <w:name w:val="FollowedHyperlink"/>
    <w:basedOn w:val="DefaultParagraphFont"/>
    <w:uiPriority w:val="99"/>
    <w:semiHidden/>
    <w:rsid w:val="00C265C9"/>
    <w:rPr>
      <w:color w:val="A17AAA" w:themeColor="followedHyperlink"/>
      <w:u w:val="single"/>
    </w:rPr>
  </w:style>
  <w:style w:type="paragraph" w:customStyle="1" w:styleId="Default">
    <w:name w:val="Default"/>
    <w:rsid w:val="00A83C0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D2399"/>
    <w:rPr>
      <w:color w:val="605E5C"/>
      <w:shd w:val="clear" w:color="auto" w:fill="E1DFDD"/>
    </w:rPr>
  </w:style>
  <w:style w:type="paragraph" w:styleId="Revision">
    <w:name w:val="Revision"/>
    <w:hidden/>
    <w:uiPriority w:val="99"/>
    <w:semiHidden/>
    <w:rsid w:val="00813327"/>
    <w:rPr>
      <w:rFonts w:asciiTheme="minorHAnsi" w:hAnsiTheme="minorHAnsi"/>
    </w:rPr>
  </w:style>
  <w:style w:type="table" w:customStyle="1" w:styleId="Style2">
    <w:name w:val="Style2"/>
    <w:basedOn w:val="TableNormal"/>
    <w:uiPriority w:val="99"/>
    <w:rsid w:val="00544EFC"/>
    <w:pPr>
      <w:spacing w:before="60" w:after="60"/>
    </w:pPr>
    <w:rPr>
      <w:rFonts w:asciiTheme="minorHAnsi" w:hAnsiTheme="minorHAnsi" w:cstheme="minorBidi"/>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rPr>
        <w:rFonts w:ascii="Arial" w:hAnsi="Arial"/>
        <w:b/>
        <w:color w:val="FFFFFF" w:themeColor="background1"/>
        <w:sz w:val="20"/>
      </w:rPr>
      <w:tblPr/>
      <w:tcPr>
        <w:shd w:val="clear" w:color="auto" w:fill="003150"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46864">
      <w:bodyDiv w:val="1"/>
      <w:marLeft w:val="0"/>
      <w:marRight w:val="0"/>
      <w:marTop w:val="0"/>
      <w:marBottom w:val="0"/>
      <w:divBdr>
        <w:top w:val="none" w:sz="0" w:space="0" w:color="auto"/>
        <w:left w:val="none" w:sz="0" w:space="0" w:color="auto"/>
        <w:bottom w:val="none" w:sz="0" w:space="0" w:color="auto"/>
        <w:right w:val="none" w:sz="0" w:space="0" w:color="auto"/>
      </w:divBdr>
    </w:div>
    <w:div w:id="461770820">
      <w:bodyDiv w:val="1"/>
      <w:marLeft w:val="0"/>
      <w:marRight w:val="0"/>
      <w:marTop w:val="0"/>
      <w:marBottom w:val="0"/>
      <w:divBdr>
        <w:top w:val="none" w:sz="0" w:space="0" w:color="auto"/>
        <w:left w:val="none" w:sz="0" w:space="0" w:color="auto"/>
        <w:bottom w:val="none" w:sz="0" w:space="0" w:color="auto"/>
        <w:right w:val="none" w:sz="0" w:space="0" w:color="auto"/>
      </w:divBdr>
    </w:div>
    <w:div w:id="463935072">
      <w:bodyDiv w:val="1"/>
      <w:marLeft w:val="0"/>
      <w:marRight w:val="0"/>
      <w:marTop w:val="0"/>
      <w:marBottom w:val="0"/>
      <w:divBdr>
        <w:top w:val="none" w:sz="0" w:space="0" w:color="auto"/>
        <w:left w:val="none" w:sz="0" w:space="0" w:color="auto"/>
        <w:bottom w:val="none" w:sz="0" w:space="0" w:color="auto"/>
        <w:right w:val="none" w:sz="0" w:space="0" w:color="auto"/>
      </w:divBdr>
      <w:divsChild>
        <w:div w:id="1385300242">
          <w:marLeft w:val="1166"/>
          <w:marRight w:val="0"/>
          <w:marTop w:val="0"/>
          <w:marBottom w:val="280"/>
          <w:divBdr>
            <w:top w:val="none" w:sz="0" w:space="0" w:color="auto"/>
            <w:left w:val="none" w:sz="0" w:space="0" w:color="auto"/>
            <w:bottom w:val="none" w:sz="0" w:space="0" w:color="auto"/>
            <w:right w:val="none" w:sz="0" w:space="0" w:color="auto"/>
          </w:divBdr>
        </w:div>
      </w:divsChild>
    </w:div>
    <w:div w:id="754516299">
      <w:bodyDiv w:val="1"/>
      <w:marLeft w:val="0"/>
      <w:marRight w:val="0"/>
      <w:marTop w:val="0"/>
      <w:marBottom w:val="0"/>
      <w:divBdr>
        <w:top w:val="none" w:sz="0" w:space="0" w:color="auto"/>
        <w:left w:val="none" w:sz="0" w:space="0" w:color="auto"/>
        <w:bottom w:val="none" w:sz="0" w:space="0" w:color="auto"/>
        <w:right w:val="none" w:sz="0" w:space="0" w:color="auto"/>
      </w:divBdr>
      <w:divsChild>
        <w:div w:id="957296775">
          <w:marLeft w:val="1267"/>
          <w:marRight w:val="0"/>
          <w:marTop w:val="0"/>
          <w:marBottom w:val="0"/>
          <w:divBdr>
            <w:top w:val="none" w:sz="0" w:space="0" w:color="auto"/>
            <w:left w:val="none" w:sz="0" w:space="0" w:color="auto"/>
            <w:bottom w:val="none" w:sz="0" w:space="0" w:color="auto"/>
            <w:right w:val="none" w:sz="0" w:space="0" w:color="auto"/>
          </w:divBdr>
        </w:div>
        <w:div w:id="1414274057">
          <w:marLeft w:val="1267"/>
          <w:marRight w:val="0"/>
          <w:marTop w:val="0"/>
          <w:marBottom w:val="0"/>
          <w:divBdr>
            <w:top w:val="none" w:sz="0" w:space="0" w:color="auto"/>
            <w:left w:val="none" w:sz="0" w:space="0" w:color="auto"/>
            <w:bottom w:val="none" w:sz="0" w:space="0" w:color="auto"/>
            <w:right w:val="none" w:sz="0" w:space="0" w:color="auto"/>
          </w:divBdr>
        </w:div>
        <w:div w:id="1814715349">
          <w:marLeft w:val="1267"/>
          <w:marRight w:val="0"/>
          <w:marTop w:val="0"/>
          <w:marBottom w:val="0"/>
          <w:divBdr>
            <w:top w:val="none" w:sz="0" w:space="0" w:color="auto"/>
            <w:left w:val="none" w:sz="0" w:space="0" w:color="auto"/>
            <w:bottom w:val="none" w:sz="0" w:space="0" w:color="auto"/>
            <w:right w:val="none" w:sz="0" w:space="0" w:color="auto"/>
          </w:divBdr>
        </w:div>
      </w:divsChild>
    </w:div>
    <w:div w:id="1938251264">
      <w:bodyDiv w:val="1"/>
      <w:marLeft w:val="0"/>
      <w:marRight w:val="0"/>
      <w:marTop w:val="0"/>
      <w:marBottom w:val="0"/>
      <w:divBdr>
        <w:top w:val="none" w:sz="0" w:space="0" w:color="auto"/>
        <w:left w:val="none" w:sz="0" w:space="0" w:color="auto"/>
        <w:bottom w:val="none" w:sz="0" w:space="0" w:color="auto"/>
        <w:right w:val="none" w:sz="0" w:space="0" w:color="auto"/>
      </w:divBdr>
      <w:divsChild>
        <w:div w:id="1719548618">
          <w:marLeft w:val="1166"/>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dfat.gov.au/about-us/publications/australia-awards-scholarships-policy-handbook" TargetMode="External"/><Relationship Id="rId3" Type="http://schemas.openxmlformats.org/officeDocument/2006/relationships/customXml" Target="../customXml/item3.xml"/><Relationship Id="rId21" Type="http://schemas.openxmlformats.org/officeDocument/2006/relationships/hyperlink" Target="https://www.dfat.gov.au/about-us/publications/australia-awards-scholarships-policy-handbook"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australiaawardsindonesia.org/id/2026Intak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fat.gov.au/about-us/publications/australia-awards-scholarships-policy-handbook" TargetMode="External"/><Relationship Id="rId20" Type="http://schemas.openxmlformats.org/officeDocument/2006/relationships/hyperlink" Target="https://www.studyaustrali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ustraliaawardsindonesia.org/" TargetMode="External"/><Relationship Id="rId23" Type="http://schemas.openxmlformats.org/officeDocument/2006/relationships/hyperlink" Target="http://www.australiaawardsindonesia.org" TargetMode="External"/><Relationship Id="rId10" Type="http://schemas.openxmlformats.org/officeDocument/2006/relationships/footnotes" Target="footnotes.xml"/><Relationship Id="rId19" Type="http://schemas.openxmlformats.org/officeDocument/2006/relationships/hyperlink" Target="https://www.dfat.gov.au/people-to-people/australia-awards/australia-awards-scholarship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longtermawards@australiaawardsindones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7FC44D1A0AD44CA301B778D02EA564" ma:contentTypeVersion="16" ma:contentTypeDescription="Create a new document." ma:contentTypeScope="" ma:versionID="47a4f5c5734a6901d3e98a20f4f7a8a3">
  <xsd:schema xmlns:xsd="http://www.w3.org/2001/XMLSchema" xmlns:xs="http://www.w3.org/2001/XMLSchema" xmlns:p="http://schemas.microsoft.com/office/2006/metadata/properties" xmlns:ns2="15888672-72d3-4d16-ae61-2ccbf9dc8972" xmlns:ns3="89281de0-5868-40a4-aaa5-64ccdd5ef88b" targetNamespace="http://schemas.microsoft.com/office/2006/metadata/properties" ma:root="true" ma:fieldsID="8ad8280e17ce5cf8fbdf297f838d9cbe" ns2:_="" ns3:_="">
    <xsd:import namespace="15888672-72d3-4d16-ae61-2ccbf9dc8972"/>
    <xsd:import namespace="89281de0-5868-40a4-aaa5-64ccdd5ef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88672-72d3-4d16-ae61-2ccbf9dc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281de0-5868-40a4-aaa5-64ccdd5ef8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4ff4e78-c00c-47dd-810e-2355355c9007}" ma:internalName="TaxCatchAll" ma:showField="CatchAllData" ma:web="89281de0-5868-40a4-aaa5-64ccdd5ef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888672-72d3-4d16-ae61-2ccbf9dc8972">
      <Terms xmlns="http://schemas.microsoft.com/office/infopath/2007/PartnerControls"/>
    </lcf76f155ced4ddcb4097134ff3c332f>
    <TaxCatchAll xmlns="89281de0-5868-40a4-aaa5-64ccdd5ef88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201885-2B84-415E-A746-DFBDB106E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88672-72d3-4d16-ae61-2ccbf9dc8972"/>
    <ds:schemaRef ds:uri="89281de0-5868-40a4-aaa5-64ccdd5ef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FEAB5E-1EEB-4EEB-BC1C-EC91B53089E9}">
  <ds:schemaRefs>
    <ds:schemaRef ds:uri="http://schemas.microsoft.com/office/2006/metadata/properties"/>
    <ds:schemaRef ds:uri="http://schemas.microsoft.com/office/infopath/2007/PartnerControls"/>
    <ds:schemaRef ds:uri="15888672-72d3-4d16-ae61-2ccbf9dc8972"/>
    <ds:schemaRef ds:uri="89281de0-5868-40a4-aaa5-64ccdd5ef88b"/>
  </ds:schemaRefs>
</ds:datastoreItem>
</file>

<file path=customXml/itemProps4.xml><?xml version="1.0" encoding="utf-8"?>
<ds:datastoreItem xmlns:ds="http://schemas.openxmlformats.org/officeDocument/2006/customXml" ds:itemID="{A55D870A-C7DB-4F67-8721-24005957ADF4}">
  <ds:schemaRefs>
    <ds:schemaRef ds:uri="http://schemas.microsoft.com/sharepoint/v3/contenttype/forms"/>
  </ds:schemaRefs>
</ds:datastoreItem>
</file>

<file path=customXml/itemProps5.xml><?xml version="1.0" encoding="utf-8"?>
<ds:datastoreItem xmlns:ds="http://schemas.openxmlformats.org/officeDocument/2006/customXml" ds:itemID="{0AC53898-6765-4368-8084-7D4455D6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1367</Words>
  <Characters>8179</Characters>
  <Application>Microsoft Office Word</Application>
  <DocSecurity>0</DocSecurity>
  <Lines>198</Lines>
  <Paragraphs>156</Paragraphs>
  <ScaleCrop>false</ScaleCrop>
  <HeadingPairs>
    <vt:vector size="2" baseType="variant">
      <vt:variant>
        <vt:lpstr>Title</vt:lpstr>
      </vt:variant>
      <vt:variant>
        <vt:i4>1</vt:i4>
      </vt:variant>
    </vt:vector>
  </HeadingPairs>
  <TitlesOfParts>
    <vt:vector size="1" baseType="lpstr">
      <vt:lpstr>Australia Awards scholarships in Africa</vt:lpstr>
    </vt:vector>
  </TitlesOfParts>
  <LinksUpToDate>false</LinksUpToDate>
  <CharactersWithSpaces>9438</CharactersWithSpaces>
  <SharedDoc>false</SharedDoc>
  <HLinks>
    <vt:vector size="54" baseType="variant">
      <vt:variant>
        <vt:i4>5111876</vt:i4>
      </vt:variant>
      <vt:variant>
        <vt:i4>24</vt:i4>
      </vt:variant>
      <vt:variant>
        <vt:i4>0</vt:i4>
      </vt:variant>
      <vt:variant>
        <vt:i4>5</vt:i4>
      </vt:variant>
      <vt:variant>
        <vt:lpwstr>http://www.australiaawardsindonesia.org/</vt:lpwstr>
      </vt:variant>
      <vt:variant>
        <vt:lpwstr/>
      </vt:variant>
      <vt:variant>
        <vt:i4>5636214</vt:i4>
      </vt:variant>
      <vt:variant>
        <vt:i4>21</vt:i4>
      </vt:variant>
      <vt:variant>
        <vt:i4>0</vt:i4>
      </vt:variant>
      <vt:variant>
        <vt:i4>5</vt:i4>
      </vt:variant>
      <vt:variant>
        <vt:lpwstr>mailto:longtermawards@australiaawardsindonesia.org</vt:lpwstr>
      </vt:variant>
      <vt:variant>
        <vt:lpwstr/>
      </vt:variant>
      <vt:variant>
        <vt:i4>6815861</vt:i4>
      </vt:variant>
      <vt:variant>
        <vt:i4>18</vt:i4>
      </vt:variant>
      <vt:variant>
        <vt:i4>0</vt:i4>
      </vt:variant>
      <vt:variant>
        <vt:i4>5</vt:i4>
      </vt:variant>
      <vt:variant>
        <vt:lpwstr>https://www.dfat.gov.au/about-us/publications/australia-awards-scholarships-policy-handbook</vt:lpwstr>
      </vt:variant>
      <vt:variant>
        <vt:lpwstr/>
      </vt:variant>
      <vt:variant>
        <vt:i4>6946860</vt:i4>
      </vt:variant>
      <vt:variant>
        <vt:i4>15</vt:i4>
      </vt:variant>
      <vt:variant>
        <vt:i4>0</vt:i4>
      </vt:variant>
      <vt:variant>
        <vt:i4>5</vt:i4>
      </vt:variant>
      <vt:variant>
        <vt:lpwstr>https://www.studyaustralia.gov.au/</vt:lpwstr>
      </vt:variant>
      <vt:variant>
        <vt:lpwstr/>
      </vt:variant>
      <vt:variant>
        <vt:i4>3473459</vt:i4>
      </vt:variant>
      <vt:variant>
        <vt:i4>12</vt:i4>
      </vt:variant>
      <vt:variant>
        <vt:i4>0</vt:i4>
      </vt:variant>
      <vt:variant>
        <vt:i4>5</vt:i4>
      </vt:variant>
      <vt:variant>
        <vt:lpwstr>https://www.dfat.gov.au/people-to-people/australia-awards/australia-awards-scholarships</vt:lpwstr>
      </vt:variant>
      <vt:variant>
        <vt:lpwstr/>
      </vt:variant>
      <vt:variant>
        <vt:i4>6815861</vt:i4>
      </vt:variant>
      <vt:variant>
        <vt:i4>9</vt:i4>
      </vt:variant>
      <vt:variant>
        <vt:i4>0</vt:i4>
      </vt:variant>
      <vt:variant>
        <vt:i4>5</vt:i4>
      </vt:variant>
      <vt:variant>
        <vt:lpwstr>https://www.dfat.gov.au/about-us/publications/australia-awards-scholarships-policy-handbook</vt:lpwstr>
      </vt:variant>
      <vt:variant>
        <vt:lpwstr/>
      </vt:variant>
      <vt:variant>
        <vt:i4>7733303</vt:i4>
      </vt:variant>
      <vt:variant>
        <vt:i4>6</vt:i4>
      </vt:variant>
      <vt:variant>
        <vt:i4>0</vt:i4>
      </vt:variant>
      <vt:variant>
        <vt:i4>5</vt:i4>
      </vt:variant>
      <vt:variant>
        <vt:lpwstr>https://www.australiaawardsindonesia.org/id/2026Intake</vt:lpwstr>
      </vt:variant>
      <vt:variant>
        <vt:lpwstr/>
      </vt:variant>
      <vt:variant>
        <vt:i4>6815861</vt:i4>
      </vt:variant>
      <vt:variant>
        <vt:i4>3</vt:i4>
      </vt:variant>
      <vt:variant>
        <vt:i4>0</vt:i4>
      </vt:variant>
      <vt:variant>
        <vt:i4>5</vt:i4>
      </vt:variant>
      <vt:variant>
        <vt:lpwstr>https://www.dfat.gov.au/about-us/publications/australia-awards-scholarships-policy-handbook</vt:lpwstr>
      </vt:variant>
      <vt:variant>
        <vt:lpwstr/>
      </vt:variant>
      <vt:variant>
        <vt:i4>6029322</vt:i4>
      </vt:variant>
      <vt:variant>
        <vt:i4>0</vt:i4>
      </vt:variant>
      <vt:variant>
        <vt:i4>0</vt:i4>
      </vt:variant>
      <vt:variant>
        <vt:i4>5</vt:i4>
      </vt:variant>
      <vt:variant>
        <vt:lpwstr>https://www.australiaawardsindonesia.org/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scholarships in Indonesia</dc:title>
  <dc:subject/>
  <dc:creator/>
  <cp:keywords>[SEC=OFFICIAL]</cp:keywords>
  <dc:description/>
  <cp:lastModifiedBy/>
  <cp:revision>1</cp:revision>
  <dcterms:created xsi:type="dcterms:W3CDTF">2025-01-03T23:00:00Z</dcterms:created>
  <dcterms:modified xsi:type="dcterms:W3CDTF">2025-01-22T22:54:00Z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95FCA2289F634C57968C07618AB7A1F3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2023-01-31T00:59:12Z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4C31D886B4ED9C17C64B281986636503</vt:lpwstr>
  </property>
  <property fmtid="{D5CDD505-2E9C-101B-9397-08002B2CF9AE}" pid="20" name="PM_Hash_Salt">
    <vt:lpwstr>0F7E9205EA5D3AD831FEEB91A67B44A0</vt:lpwstr>
  </property>
  <property fmtid="{D5CDD505-2E9C-101B-9397-08002B2CF9AE}" pid="21" name="PM_Hash_SHA1">
    <vt:lpwstr>5FE4CAE1387F98C04E6E92A6216128BE16B0316D</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HMAC">
    <vt:lpwstr>v=2022.1;a=SHA256;h=C4D2F9F94F90F60700DC6DAAFE00104A789DE8F1A6D19A484BDD7AE414C3E7D3</vt:lpwstr>
  </property>
  <property fmtid="{D5CDD505-2E9C-101B-9397-08002B2CF9AE}" pid="29" name="ContentTypeId">
    <vt:lpwstr>0x010100847FC44D1A0AD44CA301B778D02EA564</vt:lpwstr>
  </property>
  <property fmtid="{D5CDD505-2E9C-101B-9397-08002B2CF9AE}" pid="30" name="MediaServiceImageTags">
    <vt:lpwstr/>
  </property>
</Properties>
</file>