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0266D" w14:textId="30C7E300" w:rsidR="00ED5255" w:rsidRPr="007451B9" w:rsidRDefault="00C56290" w:rsidP="00A02111">
      <w:pPr>
        <w:pStyle w:val="Heading1"/>
        <w:spacing w:after="300"/>
        <w:rPr>
          <w:color w:val="auto"/>
        </w:rPr>
      </w:pPr>
      <w:bookmarkStart w:id="0" w:name="_Toc475348267"/>
      <w:bookmarkStart w:id="1" w:name="_Toc373853205"/>
      <w:bookmarkStart w:id="2" w:name="_GoBack"/>
      <w:bookmarkEnd w:id="2"/>
      <w:r>
        <w:rPr>
          <w:color w:val="auto"/>
        </w:rPr>
        <w:t>Australia awards in-country scholarships review and</w:t>
      </w:r>
      <w:r w:rsidR="00912F0A">
        <w:rPr>
          <w:color w:val="auto"/>
        </w:rPr>
        <w:t xml:space="preserve"> </w:t>
      </w:r>
      <w:r w:rsidR="00E928D7" w:rsidRPr="007451B9">
        <w:rPr>
          <w:color w:val="auto"/>
        </w:rPr>
        <w:t xml:space="preserve">Management Response </w:t>
      </w:r>
      <w:bookmarkEnd w:id="0"/>
    </w:p>
    <w:p w14:paraId="609A3C02" w14:textId="12B1F640" w:rsidR="00C10415" w:rsidRPr="002B1079" w:rsidRDefault="0031432C" w:rsidP="00A02111">
      <w:pPr>
        <w:pStyle w:val="Heading3"/>
      </w:pPr>
      <w:r>
        <w:t>Summary of management r</w:t>
      </w:r>
      <w:r w:rsidR="00C10415" w:rsidRPr="002B1079">
        <w:t xml:space="preserve">esponse </w:t>
      </w:r>
    </w:p>
    <w:p w14:paraId="0A5830CB" w14:textId="32C01188" w:rsidR="00F75272" w:rsidRDefault="00F75272" w:rsidP="00C56290">
      <w:pPr>
        <w:pStyle w:val="BodyText"/>
        <w:rPr>
          <w:lang w:val="en-AU"/>
        </w:rPr>
      </w:pPr>
      <w:r>
        <w:t>The Australian Government has outlined a strategic direction for a high quality in-country scholarship program that provides human resources to drive economic growth and development.</w:t>
      </w:r>
      <w:r w:rsidRPr="00C56290">
        <w:rPr>
          <w:lang w:val="en-AU"/>
        </w:rPr>
        <w:t xml:space="preserve"> </w:t>
      </w:r>
      <w:r w:rsidR="008F4798">
        <w:t xml:space="preserve">Australia Awards PNG supports Papua New Guinean’s to undertake long and short-term scholarships in Australia to build advanced professional and technical capacities, and long-term scholarships at partners institutions in PNG to build capacities and skills in critical demand (in-country scholarships). </w:t>
      </w:r>
    </w:p>
    <w:p w14:paraId="71F0D818" w14:textId="3FAB88F8" w:rsidR="00C56290" w:rsidRDefault="00C56290" w:rsidP="00C56290">
      <w:pPr>
        <w:pStyle w:val="BodyText"/>
      </w:pPr>
      <w:r>
        <w:rPr>
          <w:lang w:val="en-AU"/>
        </w:rPr>
        <w:t xml:space="preserve">The Scholarship Review </w:t>
      </w:r>
      <w:r w:rsidR="00F75272">
        <w:rPr>
          <w:lang w:val="en-AU"/>
        </w:rPr>
        <w:t xml:space="preserve">of the in-country scholarship program </w:t>
      </w:r>
      <w:r>
        <w:rPr>
          <w:lang w:val="en-AU"/>
        </w:rPr>
        <w:t xml:space="preserve">found areas of benefit and a number of areas for improvement. Review recommendations </w:t>
      </w:r>
      <w:r w:rsidR="00F75272">
        <w:rPr>
          <w:lang w:val="en-AU"/>
        </w:rPr>
        <w:t xml:space="preserve">included reducing </w:t>
      </w:r>
      <w:r>
        <w:rPr>
          <w:lang w:val="en-AU"/>
        </w:rPr>
        <w:t>the number of partner tertiary education institutions and work</w:t>
      </w:r>
      <w:r w:rsidR="00F75272">
        <w:rPr>
          <w:lang w:val="en-AU"/>
        </w:rPr>
        <w:t>ing</w:t>
      </w:r>
      <w:r>
        <w:rPr>
          <w:lang w:val="en-AU"/>
        </w:rPr>
        <w:t xml:space="preserve"> with remaining institutions intensively, </w:t>
      </w:r>
      <w:r w:rsidR="00F75272">
        <w:rPr>
          <w:lang w:val="en-AU"/>
        </w:rPr>
        <w:t>introducing</w:t>
      </w:r>
      <w:r>
        <w:rPr>
          <w:lang w:val="en-AU"/>
        </w:rPr>
        <w:t xml:space="preserve"> new training sectors and focus</w:t>
      </w:r>
      <w:r w:rsidR="00F75272">
        <w:rPr>
          <w:lang w:val="en-AU"/>
        </w:rPr>
        <w:t>sing</w:t>
      </w:r>
      <w:r>
        <w:rPr>
          <w:lang w:val="en-AU"/>
        </w:rPr>
        <w:t xml:space="preserve"> on the entire student experience including graduate outcomes.  </w:t>
      </w:r>
      <w:r>
        <w:t xml:space="preserve">Review recommendations have provided the foundations of a </w:t>
      </w:r>
      <w:r w:rsidRPr="00C56290">
        <w:t xml:space="preserve">work plan to </w:t>
      </w:r>
      <w:r>
        <w:t xml:space="preserve">phase in a </w:t>
      </w:r>
      <w:r w:rsidRPr="00C56290">
        <w:t>newly shaped in-country program</w:t>
      </w:r>
      <w:r>
        <w:t xml:space="preserve"> from 2018</w:t>
      </w:r>
      <w:r w:rsidRPr="00C56290">
        <w:t xml:space="preserve">. </w:t>
      </w:r>
    </w:p>
    <w:p w14:paraId="4D3FCC0E" w14:textId="1747DDDE" w:rsidR="00C56290" w:rsidRDefault="00C56290" w:rsidP="00C56290">
      <w:pPr>
        <w:pStyle w:val="BodyText"/>
      </w:pPr>
      <w:r>
        <w:t xml:space="preserve">While </w:t>
      </w:r>
      <w:r w:rsidR="00F75272">
        <w:t xml:space="preserve">Port Moresby </w:t>
      </w:r>
      <w:r w:rsidRPr="00C56290">
        <w:t>Post agree</w:t>
      </w:r>
      <w:r>
        <w:t>s</w:t>
      </w:r>
      <w:r w:rsidRPr="00C56290">
        <w:t xml:space="preserve"> with the majority of recommendations</w:t>
      </w:r>
      <w:r>
        <w:t xml:space="preserve">, factoring in </w:t>
      </w:r>
      <w:r w:rsidRPr="00C56290">
        <w:t>some nuancing to guide implementation</w:t>
      </w:r>
      <w:r>
        <w:t xml:space="preserve">, we </w:t>
      </w:r>
      <w:r w:rsidR="00F75272">
        <w:t xml:space="preserve">are aware that </w:t>
      </w:r>
      <w:r>
        <w:t>t</w:t>
      </w:r>
      <w:r w:rsidRPr="00C56290">
        <w:t xml:space="preserve">he first recommendation </w:t>
      </w:r>
      <w:r>
        <w:t xml:space="preserve">may have unforeseen </w:t>
      </w:r>
      <w:r w:rsidRPr="00C56290">
        <w:t>legal, contracting and administrative implications</w:t>
      </w:r>
      <w:r>
        <w:t xml:space="preserve">. We have </w:t>
      </w:r>
      <w:r w:rsidRPr="00C56290">
        <w:t xml:space="preserve">tasked the </w:t>
      </w:r>
      <w:r>
        <w:t xml:space="preserve">Australia Awards PNG </w:t>
      </w:r>
      <w:r w:rsidRPr="00C56290">
        <w:t xml:space="preserve">Facility to undertake a comprehensive review of </w:t>
      </w:r>
      <w:r>
        <w:t xml:space="preserve">how the Australian Government contracts the In-Country Scholarships. Results of this review will inform </w:t>
      </w:r>
      <w:r w:rsidR="00F75272">
        <w:t>the</w:t>
      </w:r>
      <w:r>
        <w:t xml:space="preserve"> future approach to memorandum of understanding and other agreement documents. </w:t>
      </w:r>
    </w:p>
    <w:p w14:paraId="5F00AA30" w14:textId="52B271EB" w:rsidR="00C10415" w:rsidRPr="002B1079" w:rsidRDefault="0031432C" w:rsidP="00A02111">
      <w:pPr>
        <w:pStyle w:val="Heading3"/>
      </w:pPr>
      <w:r>
        <w:t>Individual m</w:t>
      </w:r>
      <w:r w:rsidR="00C10415" w:rsidRPr="002B1079">
        <w:t xml:space="preserve">anagement response to the recommendations </w:t>
      </w:r>
    </w:p>
    <w:tbl>
      <w:tblPr>
        <w:tblStyle w:val="DFATTable1"/>
        <w:tblW w:w="99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835"/>
        <w:gridCol w:w="1560"/>
        <w:gridCol w:w="2534"/>
        <w:gridCol w:w="1765"/>
        <w:gridCol w:w="1298"/>
      </w:tblGrid>
      <w:tr w:rsidR="00C10415" w14:paraId="464F0A9D" w14:textId="77777777" w:rsidTr="00D70E7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5" w:type="dxa"/>
            <w:hideMark/>
          </w:tcPr>
          <w:p w14:paraId="378DEF72" w14:textId="77777777" w:rsidR="00C10415" w:rsidRPr="008A0512" w:rsidRDefault="00C10415" w:rsidP="008A0512">
            <w:pPr>
              <w:pStyle w:val="TableHeaderRow"/>
            </w:pPr>
            <w:r w:rsidRPr="008A0512">
              <w:t>Recommendation</w:t>
            </w:r>
          </w:p>
        </w:tc>
        <w:tc>
          <w:tcPr>
            <w:tcW w:w="1560" w:type="dxa"/>
            <w:hideMark/>
          </w:tcPr>
          <w:p w14:paraId="5B27B37E" w14:textId="043D9612" w:rsidR="00C10415" w:rsidRPr="008A0512" w:rsidRDefault="00C10415" w:rsidP="00912F0A">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p>
        </w:tc>
        <w:tc>
          <w:tcPr>
            <w:tcW w:w="2534" w:type="dxa"/>
            <w:hideMark/>
          </w:tcPr>
          <w:p w14:paraId="1D1DC2C4" w14:textId="77777777" w:rsidR="00C10415" w:rsidRPr="008A0512"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1765" w:type="dxa"/>
            <w:hideMark/>
          </w:tcPr>
          <w:p w14:paraId="19C59273" w14:textId="77777777" w:rsidR="00C10415" w:rsidRPr="008A0512"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1298" w:type="dxa"/>
            <w:hideMark/>
          </w:tcPr>
          <w:p w14:paraId="71CC5112" w14:textId="02F1C665" w:rsidR="00C10415" w:rsidRPr="008F4A4D" w:rsidRDefault="00C10415" w:rsidP="00912F0A">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A0512">
              <w:t>Timeframe</w:t>
            </w:r>
          </w:p>
        </w:tc>
      </w:tr>
      <w:tr w:rsidR="00C10415" w14:paraId="72A8E88F" w14:textId="77777777" w:rsidTr="00912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hideMark/>
          </w:tcPr>
          <w:p w14:paraId="685ECA02" w14:textId="77777777" w:rsidR="00456819" w:rsidRPr="008A0512" w:rsidRDefault="00456819" w:rsidP="00456819">
            <w:pPr>
              <w:pStyle w:val="Heading3"/>
              <w:outlineLvl w:val="2"/>
              <w:rPr>
                <w:sz w:val="24"/>
                <w:szCs w:val="24"/>
              </w:rPr>
            </w:pPr>
            <w:r w:rsidRPr="008A0512">
              <w:rPr>
                <w:sz w:val="24"/>
                <w:szCs w:val="24"/>
              </w:rPr>
              <w:t>Recommendation 1</w:t>
            </w:r>
          </w:p>
          <w:p w14:paraId="17789F32" w14:textId="77777777" w:rsidR="00456819" w:rsidRPr="009A3AB0" w:rsidRDefault="00456819" w:rsidP="00456819">
            <w:pPr>
              <w:rPr>
                <w:rFonts w:cs="Arial"/>
                <w:b/>
              </w:rPr>
            </w:pPr>
            <w:r w:rsidRPr="009A3AB0">
              <w:rPr>
                <w:rFonts w:cs="Arial"/>
              </w:rPr>
              <w:t>That Tertiary Education Provider Memorand</w:t>
            </w:r>
            <w:r>
              <w:rPr>
                <w:rFonts w:cs="Arial"/>
              </w:rPr>
              <w:t>um of Understanding</w:t>
            </w:r>
            <w:r w:rsidRPr="009A3AB0">
              <w:rPr>
                <w:rFonts w:cs="Arial"/>
              </w:rPr>
              <w:t xml:space="preserve"> (or equivalent agreements) be undertaken with the Australian High Commission (AHC) rather than the AAPNG Facility.</w:t>
            </w:r>
          </w:p>
          <w:p w14:paraId="0F842C0E" w14:textId="77777777" w:rsidR="00C10415" w:rsidRPr="008A0512" w:rsidRDefault="00C10415" w:rsidP="005D6697">
            <w:pPr>
              <w:rPr>
                <w:rFonts w:ascii="Franklin Gothic Book" w:hAnsi="Franklin Gothic Book"/>
                <w:color w:val="000000" w:themeColor="text1"/>
                <w:sz w:val="24"/>
                <w:szCs w:val="24"/>
              </w:rPr>
            </w:pPr>
          </w:p>
        </w:tc>
        <w:tc>
          <w:tcPr>
            <w:tcW w:w="1560" w:type="dxa"/>
            <w:shd w:val="clear" w:color="auto" w:fill="FFC000"/>
            <w:hideMark/>
          </w:tcPr>
          <w:p w14:paraId="5C9AD466" w14:textId="77777777" w:rsidR="00C10415" w:rsidRPr="008A0512" w:rsidRDefault="00C10415" w:rsidP="005D6697">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A0512">
              <w:rPr>
                <w:sz w:val="24"/>
                <w:szCs w:val="24"/>
              </w:rPr>
              <w:t xml:space="preserve">Agree in part </w:t>
            </w:r>
          </w:p>
        </w:tc>
        <w:tc>
          <w:tcPr>
            <w:tcW w:w="2534" w:type="dxa"/>
          </w:tcPr>
          <w:p w14:paraId="3AD3398D" w14:textId="398CF7A5" w:rsidR="00C10415" w:rsidRPr="008A0512" w:rsidRDefault="00F75272" w:rsidP="008B1882">
            <w:pPr>
              <w:pStyle w:val="BodyText"/>
              <w:cnfStyle w:val="000000100000" w:firstRow="0" w:lastRow="0" w:firstColumn="0" w:lastColumn="0" w:oddVBand="0" w:evenVBand="0" w:oddHBand="1" w:evenHBand="0" w:firstRowFirstColumn="0" w:firstRowLastColumn="0" w:lastRowFirstColumn="0" w:lastRowLastColumn="0"/>
              <w:rPr>
                <w:sz w:val="24"/>
                <w:szCs w:val="24"/>
              </w:rPr>
            </w:pPr>
            <w:r>
              <w:t>R</w:t>
            </w:r>
            <w:r w:rsidRPr="00C56290">
              <w:t xml:space="preserve">ecommendation </w:t>
            </w:r>
            <w:r w:rsidR="008B1882">
              <w:t xml:space="preserve">has </w:t>
            </w:r>
            <w:r w:rsidRPr="00C56290">
              <w:t>legal, contracting and administrative implications</w:t>
            </w:r>
            <w:r w:rsidR="008B1882">
              <w:t xml:space="preserve"> that need to be explored further</w:t>
            </w:r>
            <w:r w:rsidR="00C6401B">
              <w:t>.</w:t>
            </w:r>
          </w:p>
        </w:tc>
        <w:tc>
          <w:tcPr>
            <w:tcW w:w="1765" w:type="dxa"/>
          </w:tcPr>
          <w:p w14:paraId="5453B0A9" w14:textId="1B13DE50" w:rsidR="00C10415" w:rsidRPr="008A0512" w:rsidRDefault="00456819" w:rsidP="008B1882">
            <w:pPr>
              <w:cnfStyle w:val="000000100000" w:firstRow="0" w:lastRow="0" w:firstColumn="0" w:lastColumn="0" w:oddVBand="0" w:evenVBand="0" w:oddHBand="1" w:evenHBand="0" w:firstRowFirstColumn="0" w:firstRowLastColumn="0" w:lastRowFirstColumn="0" w:lastRowLastColumn="0"/>
              <w:rPr>
                <w:sz w:val="24"/>
                <w:szCs w:val="24"/>
              </w:rPr>
            </w:pPr>
            <w:r w:rsidRPr="009A3AB0">
              <w:rPr>
                <w:rFonts w:cs="Arial"/>
              </w:rPr>
              <w:t xml:space="preserve">AAPNG Facility </w:t>
            </w:r>
            <w:r>
              <w:rPr>
                <w:rFonts w:cs="Arial"/>
              </w:rPr>
              <w:t xml:space="preserve">tasked </w:t>
            </w:r>
            <w:r w:rsidRPr="009A3AB0">
              <w:rPr>
                <w:rFonts w:cs="Arial"/>
              </w:rPr>
              <w:t xml:space="preserve">to undertake </w:t>
            </w:r>
            <w:r>
              <w:rPr>
                <w:rFonts w:cs="Arial"/>
              </w:rPr>
              <w:t xml:space="preserve">a </w:t>
            </w:r>
            <w:r w:rsidRPr="009A3AB0">
              <w:t xml:space="preserve">comprehensive review of contracting </w:t>
            </w:r>
            <w:r>
              <w:t>to identify contracting issues for AHC review</w:t>
            </w:r>
            <w:r w:rsidR="00C6401B">
              <w:t>.</w:t>
            </w:r>
          </w:p>
        </w:tc>
        <w:tc>
          <w:tcPr>
            <w:tcW w:w="1298" w:type="dxa"/>
          </w:tcPr>
          <w:p w14:paraId="29AD2674" w14:textId="64AC1EC1" w:rsidR="00C10415" w:rsidRPr="00C6401B" w:rsidRDefault="00F75272" w:rsidP="00F75272">
            <w:pPr>
              <w:pStyle w:val="BodyText"/>
              <w:cnfStyle w:val="000000100000" w:firstRow="0" w:lastRow="0" w:firstColumn="0" w:lastColumn="0" w:oddVBand="0" w:evenVBand="0" w:oddHBand="1" w:evenHBand="0" w:firstRowFirstColumn="0" w:firstRowLastColumn="0" w:lastRowFirstColumn="0" w:lastRowLastColumn="0"/>
            </w:pPr>
            <w:r w:rsidRPr="00C6401B">
              <w:t>Review completed by December 2017</w:t>
            </w:r>
          </w:p>
        </w:tc>
      </w:tr>
    </w:tbl>
    <w:p w14:paraId="5713304A" w14:textId="77777777" w:rsidR="00C10415" w:rsidRDefault="00C10415" w:rsidP="00C10415">
      <w:pPr>
        <w:pStyle w:val="BodyText"/>
        <w:rPr>
          <w:rFonts w:ascii="Franklin Gothic Book" w:hAnsi="Franklin Gothic Book"/>
          <w:color w:val="000000" w:themeColor="text1"/>
          <w:sz w:val="21"/>
        </w:rPr>
      </w:pPr>
    </w:p>
    <w:tbl>
      <w:tblPr>
        <w:tblStyle w:val="DFATTable1"/>
        <w:tblW w:w="9990"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534"/>
        <w:gridCol w:w="1294"/>
        <w:gridCol w:w="2268"/>
        <w:gridCol w:w="2023"/>
        <w:gridCol w:w="1871"/>
      </w:tblGrid>
      <w:tr w:rsidR="00C10415" w14:paraId="7028FD97" w14:textId="77777777" w:rsidTr="008A318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34" w:type="dxa"/>
            <w:hideMark/>
          </w:tcPr>
          <w:p w14:paraId="1630799A" w14:textId="77777777" w:rsidR="00C10415" w:rsidRDefault="00C10415" w:rsidP="008A0512">
            <w:pPr>
              <w:pStyle w:val="TableHeaderRow"/>
            </w:pPr>
            <w:r>
              <w:lastRenderedPageBreak/>
              <w:t>Recommendation</w:t>
            </w:r>
          </w:p>
        </w:tc>
        <w:tc>
          <w:tcPr>
            <w:tcW w:w="1294" w:type="dxa"/>
            <w:hideMark/>
          </w:tcPr>
          <w:p w14:paraId="5CB5BFF1" w14:textId="6A8BAAFD" w:rsidR="00C10415" w:rsidRDefault="00C10415" w:rsidP="00912F0A">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2268" w:type="dxa"/>
            <w:hideMark/>
          </w:tcPr>
          <w:p w14:paraId="439166D4" w14:textId="77777777" w:rsidR="00C10415"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2023" w:type="dxa"/>
            <w:hideMark/>
          </w:tcPr>
          <w:p w14:paraId="3C22AA88" w14:textId="77777777" w:rsidR="00C10415"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871" w:type="dxa"/>
            <w:hideMark/>
          </w:tcPr>
          <w:p w14:paraId="0A8A2137" w14:textId="5E271C29" w:rsidR="00C10415" w:rsidRPr="00912F0A" w:rsidRDefault="00C10415" w:rsidP="00912F0A">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456819" w14:paraId="676121D6" w14:textId="77777777" w:rsidTr="008A3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hideMark/>
          </w:tcPr>
          <w:p w14:paraId="342DE332" w14:textId="77777777" w:rsidR="00456819" w:rsidRPr="008F4A4D" w:rsidRDefault="00456819" w:rsidP="00456819">
            <w:pPr>
              <w:pStyle w:val="Heading3"/>
              <w:outlineLvl w:val="2"/>
              <w:rPr>
                <w:sz w:val="24"/>
                <w:szCs w:val="24"/>
              </w:rPr>
            </w:pPr>
            <w:r w:rsidRPr="008F4A4D">
              <w:rPr>
                <w:sz w:val="24"/>
                <w:szCs w:val="24"/>
              </w:rPr>
              <w:t>Recommendation 2</w:t>
            </w:r>
          </w:p>
          <w:p w14:paraId="53DEB5A6" w14:textId="69FDA002" w:rsidR="00456819" w:rsidRPr="008F4A4D" w:rsidRDefault="00456819" w:rsidP="009308B7">
            <w:pPr>
              <w:rPr>
                <w:rFonts w:asciiTheme="majorHAnsi" w:hAnsiTheme="majorHAnsi"/>
                <w:i/>
                <w:sz w:val="24"/>
                <w:szCs w:val="24"/>
              </w:rPr>
            </w:pPr>
            <w:r w:rsidRPr="009A3AB0">
              <w:rPr>
                <w:rFonts w:cs="Arial"/>
              </w:rPr>
              <w:t>That the current level of stipend paid to awardees be reviewed to ensure consistency across courses and T</w:t>
            </w:r>
            <w:r>
              <w:rPr>
                <w:rFonts w:cs="Arial"/>
              </w:rPr>
              <w:t>ertiary Education Providers (T</w:t>
            </w:r>
            <w:r w:rsidRPr="009A3AB0">
              <w:rPr>
                <w:rFonts w:cs="Arial"/>
              </w:rPr>
              <w:t>EPs</w:t>
            </w:r>
            <w:r>
              <w:rPr>
                <w:rFonts w:cs="Arial"/>
              </w:rPr>
              <w:t>)</w:t>
            </w:r>
            <w:r w:rsidRPr="009A3AB0">
              <w:rPr>
                <w:rFonts w:cs="Arial"/>
              </w:rPr>
              <w:t xml:space="preserve"> and comparability with the experience and expectations of non-</w:t>
            </w:r>
            <w:r>
              <w:rPr>
                <w:rFonts w:cs="Arial"/>
              </w:rPr>
              <w:t>In</w:t>
            </w:r>
            <w:r w:rsidR="00912F0A">
              <w:rPr>
                <w:rFonts w:cs="Arial"/>
              </w:rPr>
              <w:t xml:space="preserve"> </w:t>
            </w:r>
            <w:r>
              <w:rPr>
                <w:rFonts w:cs="Arial"/>
              </w:rPr>
              <w:t xml:space="preserve">country Scholarship (ICS) </w:t>
            </w:r>
            <w:r w:rsidRPr="009A3AB0">
              <w:rPr>
                <w:rFonts w:cs="Arial"/>
              </w:rPr>
              <w:t xml:space="preserve"> holders.</w:t>
            </w:r>
          </w:p>
        </w:tc>
        <w:tc>
          <w:tcPr>
            <w:tcW w:w="1294" w:type="dxa"/>
            <w:shd w:val="clear" w:color="auto" w:fill="92D050"/>
            <w:hideMark/>
          </w:tcPr>
          <w:p w14:paraId="21EB94EC" w14:textId="156FD9CE" w:rsidR="00456819" w:rsidRPr="008F4A4D" w:rsidRDefault="00456819" w:rsidP="00456819">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w:t>
            </w:r>
          </w:p>
        </w:tc>
        <w:tc>
          <w:tcPr>
            <w:tcW w:w="2268" w:type="dxa"/>
          </w:tcPr>
          <w:p w14:paraId="65BCDFA0" w14:textId="77777777" w:rsidR="00456819" w:rsidRPr="008F4A4D" w:rsidRDefault="00456819"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023" w:type="dxa"/>
          </w:tcPr>
          <w:p w14:paraId="19DBD851" w14:textId="6E32E789" w:rsidR="00456819" w:rsidRPr="008F4A4D" w:rsidRDefault="00456819" w:rsidP="008B188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t xml:space="preserve">AAPNG Facility tasked </w:t>
            </w:r>
            <w:r w:rsidR="008B1882">
              <w:t xml:space="preserve">through this management response </w:t>
            </w:r>
            <w:r>
              <w:t xml:space="preserve">to </w:t>
            </w:r>
            <w:r w:rsidRPr="009A3AB0">
              <w:t xml:space="preserve">review </w:t>
            </w:r>
            <w:r>
              <w:t xml:space="preserve">the </w:t>
            </w:r>
            <w:r w:rsidRPr="009A3AB0">
              <w:t xml:space="preserve">current level of stipends and other entitlements </w:t>
            </w:r>
            <w:r>
              <w:t>for discussion with AHC</w:t>
            </w:r>
            <w:r w:rsidR="00547289">
              <w:t>.</w:t>
            </w:r>
          </w:p>
        </w:tc>
        <w:tc>
          <w:tcPr>
            <w:tcW w:w="1871" w:type="dxa"/>
          </w:tcPr>
          <w:p w14:paraId="22065114" w14:textId="53B83D7E" w:rsidR="00456819" w:rsidRPr="008F4A4D" w:rsidRDefault="008B1882" w:rsidP="008B188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t>F</w:t>
            </w:r>
            <w:r w:rsidR="00912F0A">
              <w:t xml:space="preserve">or completion </w:t>
            </w:r>
            <w:r>
              <w:t>by October 2017</w:t>
            </w:r>
          </w:p>
        </w:tc>
      </w:tr>
    </w:tbl>
    <w:p w14:paraId="1865B93B" w14:textId="70F384C5" w:rsidR="00C10415" w:rsidRDefault="00C10415" w:rsidP="00C10415">
      <w:pPr>
        <w:pStyle w:val="BodyText"/>
        <w:rPr>
          <w:rFonts w:ascii="Franklin Gothic Book" w:hAnsi="Franklin Gothic Book"/>
          <w:color w:val="000000" w:themeColor="text1"/>
          <w:sz w:val="21"/>
        </w:rPr>
      </w:pPr>
    </w:p>
    <w:tbl>
      <w:tblPr>
        <w:tblStyle w:val="DFATTable1"/>
        <w:tblW w:w="5222"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388"/>
        <w:gridCol w:w="1343"/>
        <w:gridCol w:w="2573"/>
        <w:gridCol w:w="1584"/>
        <w:gridCol w:w="2178"/>
      </w:tblGrid>
      <w:tr w:rsidR="00AE4E36" w14:paraId="53CDAEF4" w14:textId="77777777" w:rsidTr="008A318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10" w:type="pct"/>
            <w:hideMark/>
          </w:tcPr>
          <w:p w14:paraId="291CA30C" w14:textId="77777777" w:rsidR="00AE4E36" w:rsidRDefault="00AE4E36" w:rsidP="00AE4E36">
            <w:pPr>
              <w:pStyle w:val="TableHeaderRow"/>
            </w:pPr>
            <w:r>
              <w:t>Recommendation</w:t>
            </w:r>
          </w:p>
        </w:tc>
        <w:tc>
          <w:tcPr>
            <w:tcW w:w="691" w:type="pct"/>
            <w:hideMark/>
          </w:tcPr>
          <w:p w14:paraId="4AA7CAFE" w14:textId="62EC5F69" w:rsidR="00AE4E36" w:rsidRDefault="00AE4E36" w:rsidP="00912F0A">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1302" w:type="pct"/>
            <w:hideMark/>
          </w:tcPr>
          <w:p w14:paraId="22233EA1"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691" w:type="pct"/>
            <w:hideMark/>
          </w:tcPr>
          <w:p w14:paraId="3D265D7C"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105" w:type="pct"/>
            <w:hideMark/>
          </w:tcPr>
          <w:p w14:paraId="03DD4454" w14:textId="77777777" w:rsidR="00AE4E36" w:rsidRPr="005D67B8"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5A92FBAB" w14:textId="37C17E65" w:rsidR="00AE4E36" w:rsidRPr="008F4A4D" w:rsidRDefault="00AE4E36" w:rsidP="00AE4E36">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456819" w14:paraId="751F6752" w14:textId="77777777" w:rsidTr="008A3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pct"/>
            <w:hideMark/>
          </w:tcPr>
          <w:p w14:paraId="44F2AF34" w14:textId="77777777" w:rsidR="00456819" w:rsidRPr="008F4A4D" w:rsidRDefault="00456819" w:rsidP="00456819">
            <w:pPr>
              <w:pStyle w:val="Heading3"/>
              <w:outlineLvl w:val="2"/>
              <w:rPr>
                <w:sz w:val="24"/>
                <w:szCs w:val="24"/>
              </w:rPr>
            </w:pPr>
            <w:r>
              <w:rPr>
                <w:sz w:val="24"/>
                <w:szCs w:val="24"/>
              </w:rPr>
              <w:t>Recommendation 3</w:t>
            </w:r>
          </w:p>
          <w:p w14:paraId="4B96EB46" w14:textId="0D69D3FF" w:rsidR="00456819" w:rsidRPr="008F4A4D" w:rsidRDefault="00456819" w:rsidP="009308B7">
            <w:pPr>
              <w:rPr>
                <w:rFonts w:asciiTheme="majorHAnsi" w:hAnsiTheme="majorHAnsi"/>
                <w:i/>
                <w:sz w:val="24"/>
                <w:szCs w:val="24"/>
              </w:rPr>
            </w:pPr>
            <w:r w:rsidRPr="009A3AB0">
              <w:rPr>
                <w:rFonts w:cs="Arial"/>
              </w:rPr>
              <w:t>That future scholarships be targeted at a smaller number of awardees in a fewer number TEPs in each workforce area, while pursuing opportunities to extend to other workforce areas.</w:t>
            </w:r>
          </w:p>
        </w:tc>
        <w:tc>
          <w:tcPr>
            <w:tcW w:w="691" w:type="pct"/>
            <w:shd w:val="clear" w:color="auto" w:fill="92D050"/>
            <w:hideMark/>
          </w:tcPr>
          <w:p w14:paraId="77CCC8A0" w14:textId="3E6F905B" w:rsidR="00456819" w:rsidRPr="008F4A4D" w:rsidRDefault="00456819" w:rsidP="00456819">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w:t>
            </w:r>
          </w:p>
        </w:tc>
        <w:tc>
          <w:tcPr>
            <w:tcW w:w="1302" w:type="pct"/>
          </w:tcPr>
          <w:p w14:paraId="0639870F" w14:textId="61134D2D" w:rsidR="00456819" w:rsidRPr="008F4A4D" w:rsidRDefault="00456819" w:rsidP="009308B7">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A3AB0">
              <w:rPr>
                <w:rFonts w:cs="Arial"/>
              </w:rPr>
              <w:t xml:space="preserve">Agree </w:t>
            </w:r>
            <w:r>
              <w:rPr>
                <w:rFonts w:cs="Arial"/>
              </w:rPr>
              <w:t xml:space="preserve">to the </w:t>
            </w:r>
            <w:r w:rsidRPr="009A3AB0">
              <w:rPr>
                <w:rFonts w:cs="Arial"/>
              </w:rPr>
              <w:t xml:space="preserve">principle </w:t>
            </w:r>
            <w:r>
              <w:rPr>
                <w:rFonts w:cs="Arial"/>
              </w:rPr>
              <w:t xml:space="preserve">of </w:t>
            </w:r>
            <w:r w:rsidRPr="009A3AB0">
              <w:rPr>
                <w:rFonts w:cs="Arial"/>
              </w:rPr>
              <w:t xml:space="preserve">providing scholarships at well performing institutions and other </w:t>
            </w:r>
            <w:r>
              <w:rPr>
                <w:rFonts w:cs="Arial"/>
              </w:rPr>
              <w:t>workforce areas that support Australia</w:t>
            </w:r>
            <w:r w:rsidRPr="009A3AB0">
              <w:rPr>
                <w:rFonts w:cs="Arial"/>
              </w:rPr>
              <w:t xml:space="preserve"> and PNG strategic interests and investments.</w:t>
            </w:r>
          </w:p>
        </w:tc>
        <w:tc>
          <w:tcPr>
            <w:tcW w:w="691" w:type="pct"/>
          </w:tcPr>
          <w:p w14:paraId="67FEF156" w14:textId="623FC941" w:rsidR="00456819" w:rsidRPr="00714D04" w:rsidRDefault="00714D04" w:rsidP="00403DDB">
            <w:pPr>
              <w:pStyle w:val="BodyText"/>
              <w:cnfStyle w:val="000000100000" w:firstRow="0" w:lastRow="0" w:firstColumn="0" w:lastColumn="0" w:oddVBand="0" w:evenVBand="0" w:oddHBand="1" w:evenHBand="0" w:firstRowFirstColumn="0" w:firstRowLastColumn="0" w:lastRowFirstColumn="0" w:lastRowLastColumn="0"/>
              <w:rPr>
                <w:sz w:val="24"/>
                <w:szCs w:val="24"/>
              </w:rPr>
            </w:pPr>
            <w:r w:rsidRPr="00714D04">
              <w:rPr>
                <w:sz w:val="24"/>
                <w:szCs w:val="24"/>
              </w:rPr>
              <w:t>Appropriate partnership arrangements</w:t>
            </w:r>
            <w:r w:rsidR="008B1882" w:rsidRPr="00714D04">
              <w:rPr>
                <w:sz w:val="24"/>
                <w:szCs w:val="24"/>
              </w:rPr>
              <w:t xml:space="preserve"> for the 2018 intake</w:t>
            </w:r>
            <w:r w:rsidR="00547289">
              <w:rPr>
                <w:sz w:val="24"/>
                <w:szCs w:val="24"/>
              </w:rPr>
              <w:t>.</w:t>
            </w:r>
          </w:p>
        </w:tc>
        <w:tc>
          <w:tcPr>
            <w:tcW w:w="1105" w:type="pct"/>
          </w:tcPr>
          <w:p w14:paraId="3A7D547F" w14:textId="7D9164DA" w:rsidR="00456819" w:rsidRPr="008F4A4D" w:rsidRDefault="008B1882" w:rsidP="00403DD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t xml:space="preserve">Partners identified by </w:t>
            </w:r>
            <w:r w:rsidR="00403DDB">
              <w:t>Novem</w:t>
            </w:r>
            <w:r>
              <w:t>ber 2017</w:t>
            </w:r>
          </w:p>
        </w:tc>
      </w:tr>
    </w:tbl>
    <w:p w14:paraId="11B99373" w14:textId="6BE05124" w:rsidR="00AE4E36" w:rsidRDefault="00AE4E36" w:rsidP="00C10415">
      <w:pPr>
        <w:pStyle w:val="BodyText"/>
        <w:rPr>
          <w:rFonts w:ascii="Franklin Gothic Book" w:hAnsi="Franklin Gothic Book"/>
          <w:color w:val="000000" w:themeColor="text1"/>
          <w:sz w:val="21"/>
        </w:rPr>
      </w:pPr>
    </w:p>
    <w:tbl>
      <w:tblPr>
        <w:tblStyle w:val="DFATTable1"/>
        <w:tblW w:w="9990"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534"/>
        <w:gridCol w:w="1435"/>
        <w:gridCol w:w="2127"/>
        <w:gridCol w:w="2023"/>
        <w:gridCol w:w="1871"/>
      </w:tblGrid>
      <w:tr w:rsidR="00AE4E36" w14:paraId="49AC1EB7" w14:textId="77777777" w:rsidTr="008A3185">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534" w:type="dxa"/>
            <w:hideMark/>
          </w:tcPr>
          <w:p w14:paraId="7FD964D9" w14:textId="77777777" w:rsidR="00AE4E36" w:rsidRDefault="00AE4E36" w:rsidP="00AE4E36">
            <w:pPr>
              <w:pStyle w:val="TableHeaderRow"/>
            </w:pPr>
            <w:r>
              <w:lastRenderedPageBreak/>
              <w:t>Recommendation</w:t>
            </w:r>
          </w:p>
        </w:tc>
        <w:tc>
          <w:tcPr>
            <w:tcW w:w="1435" w:type="dxa"/>
            <w:hideMark/>
          </w:tcPr>
          <w:p w14:paraId="51FECE52" w14:textId="43D26EF3" w:rsidR="00AE4E36" w:rsidRDefault="00AE4E36" w:rsidP="00E400C3">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2127" w:type="dxa"/>
            <w:hideMark/>
          </w:tcPr>
          <w:p w14:paraId="373DF270"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2023" w:type="dxa"/>
            <w:hideMark/>
          </w:tcPr>
          <w:p w14:paraId="5E8A7393"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871" w:type="dxa"/>
            <w:hideMark/>
          </w:tcPr>
          <w:p w14:paraId="0080B3C9" w14:textId="77777777" w:rsidR="00AE4E36" w:rsidRPr="005D67B8"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647DD047" w14:textId="69FE9C10" w:rsidR="00AE4E36" w:rsidRPr="008F4A4D" w:rsidRDefault="00AE4E36" w:rsidP="00AE4E36">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AE4E36" w14:paraId="36E0D289" w14:textId="77777777" w:rsidTr="008A3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hideMark/>
          </w:tcPr>
          <w:p w14:paraId="05EA072B" w14:textId="77777777" w:rsidR="00456819" w:rsidRPr="008F4A4D" w:rsidRDefault="00456819" w:rsidP="00456819">
            <w:pPr>
              <w:pStyle w:val="Heading3"/>
              <w:outlineLvl w:val="2"/>
              <w:rPr>
                <w:sz w:val="24"/>
                <w:szCs w:val="24"/>
              </w:rPr>
            </w:pPr>
            <w:r>
              <w:rPr>
                <w:sz w:val="24"/>
                <w:szCs w:val="24"/>
              </w:rPr>
              <w:t>Recommendation 4</w:t>
            </w:r>
          </w:p>
          <w:p w14:paraId="4247F65B" w14:textId="71FB0016" w:rsidR="00AE4E36" w:rsidRPr="008F4A4D" w:rsidRDefault="00456819" w:rsidP="009308B7">
            <w:pPr>
              <w:rPr>
                <w:rFonts w:asciiTheme="majorHAnsi" w:hAnsiTheme="majorHAnsi"/>
                <w:i/>
                <w:sz w:val="24"/>
                <w:szCs w:val="24"/>
              </w:rPr>
            </w:pPr>
            <w:r w:rsidRPr="009A3AB0">
              <w:rPr>
                <w:rFonts w:cs="Arial"/>
              </w:rPr>
              <w:t xml:space="preserve">That a closer relationship be developed between the ICS </w:t>
            </w:r>
            <w:r>
              <w:rPr>
                <w:rFonts w:cs="Arial"/>
              </w:rPr>
              <w:t>p</w:t>
            </w:r>
            <w:r w:rsidRPr="009A3AB0">
              <w:rPr>
                <w:rFonts w:cs="Arial"/>
              </w:rPr>
              <w:t>rogram and existing PNG quality assurance and accreditation frameworks and their administering bodies to align TEP selection and monitoring with external quality assurance assessment</w:t>
            </w:r>
            <w:r w:rsidR="00C6401B">
              <w:rPr>
                <w:rFonts w:cs="Arial"/>
              </w:rPr>
              <w:t>.</w:t>
            </w:r>
          </w:p>
        </w:tc>
        <w:tc>
          <w:tcPr>
            <w:tcW w:w="1435" w:type="dxa"/>
            <w:shd w:val="clear" w:color="auto" w:fill="92D050"/>
            <w:hideMark/>
          </w:tcPr>
          <w:p w14:paraId="5DC2C76A" w14:textId="77777777" w:rsidR="00AE4E36" w:rsidRPr="008F4A4D" w:rsidRDefault="00AE4E36" w:rsidP="00AE4E36">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w:t>
            </w:r>
          </w:p>
        </w:tc>
        <w:tc>
          <w:tcPr>
            <w:tcW w:w="2127" w:type="dxa"/>
          </w:tcPr>
          <w:p w14:paraId="14691CDB" w14:textId="77777777" w:rsidR="00AE4E36" w:rsidRPr="008F4A4D" w:rsidRDefault="00AE4E36" w:rsidP="00AE4E3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023" w:type="dxa"/>
          </w:tcPr>
          <w:p w14:paraId="480A7A8D" w14:textId="77777777" w:rsidR="001156F1" w:rsidRDefault="001156F1" w:rsidP="00456819">
            <w:pPr>
              <w:cnfStyle w:val="000000100000" w:firstRow="0" w:lastRow="0" w:firstColumn="0" w:lastColumn="0" w:oddVBand="0" w:evenVBand="0" w:oddHBand="1" w:evenHBand="0" w:firstRowFirstColumn="0" w:firstRowLastColumn="0" w:lastRowFirstColumn="0" w:lastRowLastColumn="0"/>
            </w:pPr>
          </w:p>
          <w:p w14:paraId="16150605" w14:textId="703C716A" w:rsidR="00456819" w:rsidRDefault="00456819" w:rsidP="00456819">
            <w:pPr>
              <w:cnfStyle w:val="000000100000" w:firstRow="0" w:lastRow="0" w:firstColumn="0" w:lastColumn="0" w:oddVBand="0" w:evenVBand="0" w:oddHBand="1" w:evenHBand="0" w:firstRowFirstColumn="0" w:firstRowLastColumn="0" w:lastRowFirstColumn="0" w:lastRowLastColumn="0"/>
              <w:rPr>
                <w:rFonts w:cs="Arial"/>
              </w:rPr>
            </w:pPr>
            <w:r>
              <w:t>AAPNG Facility</w:t>
            </w:r>
            <w:r w:rsidRPr="009A3AB0">
              <w:rPr>
                <w:rFonts w:cs="Arial"/>
              </w:rPr>
              <w:t xml:space="preserve"> </w:t>
            </w:r>
            <w:r w:rsidR="006421CF">
              <w:rPr>
                <w:rFonts w:cs="Arial"/>
              </w:rPr>
              <w:t>will continue to work with PNG Government counterparts to align Australia Awards assessments with improved accreditation framewo</w:t>
            </w:r>
            <w:r w:rsidR="00496CC8">
              <w:rPr>
                <w:rFonts w:cs="Arial"/>
              </w:rPr>
              <w:t>rks</w:t>
            </w:r>
            <w:r w:rsidR="00C6401B">
              <w:rPr>
                <w:rFonts w:cs="Arial"/>
              </w:rPr>
              <w:t>.</w:t>
            </w:r>
          </w:p>
          <w:p w14:paraId="1F84ADE4" w14:textId="77777777" w:rsidR="00AE4E36" w:rsidRPr="008F4A4D" w:rsidRDefault="00AE4E36" w:rsidP="00AE4E3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871" w:type="dxa"/>
          </w:tcPr>
          <w:p w14:paraId="71EF8E05" w14:textId="77777777" w:rsidR="00AE4E36" w:rsidRDefault="00AE4E36" w:rsidP="00AE4E3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14:paraId="400FBD60" w14:textId="1272E898" w:rsidR="008B1882" w:rsidRPr="00C6401B" w:rsidRDefault="008B1882" w:rsidP="00AE4E3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6401B">
              <w:rPr>
                <w:rFonts w:asciiTheme="majorHAnsi" w:hAnsiTheme="majorHAnsi"/>
              </w:rPr>
              <w:t>Report by March 2018</w:t>
            </w:r>
          </w:p>
        </w:tc>
      </w:tr>
      <w:bookmarkEnd w:id="1"/>
    </w:tbl>
    <w:p w14:paraId="6CD5609B" w14:textId="49928E25" w:rsidR="00C10415" w:rsidRDefault="00C10415" w:rsidP="00C10415">
      <w:pPr>
        <w:rPr>
          <w:lang w:val="en-AU"/>
        </w:rPr>
      </w:pPr>
    </w:p>
    <w:tbl>
      <w:tblPr>
        <w:tblStyle w:val="DFATTable1"/>
        <w:tblW w:w="9990"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534"/>
        <w:gridCol w:w="1435"/>
        <w:gridCol w:w="2127"/>
        <w:gridCol w:w="2023"/>
        <w:gridCol w:w="1871"/>
      </w:tblGrid>
      <w:tr w:rsidR="00AE4E36" w14:paraId="6767A31D" w14:textId="77777777" w:rsidTr="008A3185">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534" w:type="dxa"/>
            <w:hideMark/>
          </w:tcPr>
          <w:p w14:paraId="259DE278" w14:textId="77777777" w:rsidR="00AE4E36" w:rsidRDefault="00AE4E36" w:rsidP="00AE4E36">
            <w:pPr>
              <w:pStyle w:val="TableHeaderRow"/>
            </w:pPr>
            <w:r>
              <w:t>Recommendation</w:t>
            </w:r>
          </w:p>
        </w:tc>
        <w:tc>
          <w:tcPr>
            <w:tcW w:w="1435" w:type="dxa"/>
            <w:hideMark/>
          </w:tcPr>
          <w:p w14:paraId="3505E58B" w14:textId="032F371D" w:rsidR="00AE4E36" w:rsidRDefault="00AE4E36" w:rsidP="00E400C3">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2127" w:type="dxa"/>
            <w:hideMark/>
          </w:tcPr>
          <w:p w14:paraId="3E43D811"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2023" w:type="dxa"/>
            <w:hideMark/>
          </w:tcPr>
          <w:p w14:paraId="4BC4E475"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871" w:type="dxa"/>
            <w:hideMark/>
          </w:tcPr>
          <w:p w14:paraId="5B7D4600" w14:textId="77777777" w:rsidR="00AE4E36" w:rsidRPr="005D67B8"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6FF3649C" w14:textId="29062E18" w:rsidR="00AE4E36" w:rsidRPr="008F4A4D" w:rsidRDefault="00AE4E36" w:rsidP="00AE4E36">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456819" w14:paraId="1EE98D51" w14:textId="77777777" w:rsidTr="008A3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hideMark/>
          </w:tcPr>
          <w:p w14:paraId="4F73E08C" w14:textId="77777777" w:rsidR="00456819" w:rsidRPr="008F4A4D" w:rsidRDefault="00456819" w:rsidP="00456819">
            <w:pPr>
              <w:pStyle w:val="Heading3"/>
              <w:outlineLvl w:val="2"/>
              <w:rPr>
                <w:sz w:val="24"/>
                <w:szCs w:val="24"/>
              </w:rPr>
            </w:pPr>
            <w:r>
              <w:rPr>
                <w:sz w:val="24"/>
                <w:szCs w:val="24"/>
              </w:rPr>
              <w:t>Recommendation 5</w:t>
            </w:r>
          </w:p>
          <w:p w14:paraId="52C0A867" w14:textId="170BE5E7" w:rsidR="00456819" w:rsidRPr="008A3185" w:rsidRDefault="00456819" w:rsidP="008A3185">
            <w:pPr>
              <w:rPr>
                <w:rFonts w:cs="Arial"/>
              </w:rPr>
            </w:pPr>
            <w:r w:rsidRPr="009A3AB0">
              <w:rPr>
                <w:rFonts w:cs="Arial"/>
              </w:rPr>
              <w:t>That the approach to TEP monitoring be reframed to focus on assessing progress in capacity development, measured against ag</w:t>
            </w:r>
            <w:r w:rsidR="00403DDB">
              <w:rPr>
                <w:rFonts w:cs="Arial"/>
              </w:rPr>
              <w:t>reed priorities for improvement</w:t>
            </w:r>
            <w:r w:rsidR="00C6401B">
              <w:rPr>
                <w:rFonts w:cs="Arial"/>
              </w:rPr>
              <w:t>.</w:t>
            </w:r>
          </w:p>
        </w:tc>
        <w:tc>
          <w:tcPr>
            <w:tcW w:w="1435" w:type="dxa"/>
            <w:shd w:val="clear" w:color="auto" w:fill="92D050"/>
            <w:hideMark/>
          </w:tcPr>
          <w:p w14:paraId="440957B3" w14:textId="0423F87C" w:rsidR="00456819" w:rsidRPr="008F4A4D" w:rsidRDefault="00456819" w:rsidP="00456819">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w:t>
            </w:r>
          </w:p>
        </w:tc>
        <w:tc>
          <w:tcPr>
            <w:tcW w:w="2127" w:type="dxa"/>
          </w:tcPr>
          <w:p w14:paraId="35765787" w14:textId="77777777" w:rsidR="00456819" w:rsidRPr="008F4A4D" w:rsidRDefault="00456819"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023" w:type="dxa"/>
          </w:tcPr>
          <w:p w14:paraId="1808A64B" w14:textId="118DBB88" w:rsidR="00456819" w:rsidRPr="008F4A4D" w:rsidRDefault="00456819" w:rsidP="009308B7">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A3AB0">
              <w:rPr>
                <w:rFonts w:cs="Arial"/>
              </w:rPr>
              <w:t>AAPNG tasked to undertake an assessment of the relevant national accreditation and quality standards frameworks and integrate into the monitorin</w:t>
            </w:r>
            <w:r w:rsidR="008B1882">
              <w:rPr>
                <w:rFonts w:cs="Arial"/>
              </w:rPr>
              <w:t>g and assessment of the program</w:t>
            </w:r>
            <w:r w:rsidR="00C6401B">
              <w:rPr>
                <w:rFonts w:cs="Arial"/>
              </w:rPr>
              <w:t>.</w:t>
            </w:r>
            <w:r w:rsidRPr="009A3AB0">
              <w:rPr>
                <w:rFonts w:cs="Arial"/>
              </w:rPr>
              <w:t xml:space="preserve"> </w:t>
            </w:r>
          </w:p>
        </w:tc>
        <w:tc>
          <w:tcPr>
            <w:tcW w:w="1871" w:type="dxa"/>
          </w:tcPr>
          <w:p w14:paraId="1EE05354" w14:textId="24CEEB16" w:rsidR="00456819" w:rsidRPr="00C6401B" w:rsidRDefault="00403DDB"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6401B">
              <w:rPr>
                <w:rFonts w:asciiTheme="majorHAnsi" w:hAnsiTheme="majorHAnsi"/>
              </w:rPr>
              <w:t>Report by March 2018</w:t>
            </w:r>
          </w:p>
        </w:tc>
      </w:tr>
    </w:tbl>
    <w:p w14:paraId="16640027" w14:textId="77777777" w:rsidR="00AE4E36" w:rsidRDefault="00AE4E36" w:rsidP="00C10415">
      <w:pPr>
        <w:rPr>
          <w:lang w:val="en-AU"/>
        </w:rPr>
      </w:pPr>
    </w:p>
    <w:tbl>
      <w:tblPr>
        <w:tblStyle w:val="DFATTable1"/>
        <w:tblW w:w="9990"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532"/>
        <w:gridCol w:w="1436"/>
        <w:gridCol w:w="1299"/>
        <w:gridCol w:w="2852"/>
        <w:gridCol w:w="1871"/>
      </w:tblGrid>
      <w:tr w:rsidR="00AE4E36" w14:paraId="5D9B9C76" w14:textId="77777777" w:rsidTr="00403DDB">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533" w:type="dxa"/>
            <w:hideMark/>
          </w:tcPr>
          <w:p w14:paraId="400957DF" w14:textId="77777777" w:rsidR="00AE4E36" w:rsidRDefault="00AE4E36" w:rsidP="00AE4E36">
            <w:pPr>
              <w:pStyle w:val="TableHeaderRow"/>
            </w:pPr>
            <w:r>
              <w:lastRenderedPageBreak/>
              <w:t>Recommendation</w:t>
            </w:r>
          </w:p>
        </w:tc>
        <w:tc>
          <w:tcPr>
            <w:tcW w:w="1436" w:type="dxa"/>
            <w:hideMark/>
          </w:tcPr>
          <w:p w14:paraId="417CDF40" w14:textId="05FB4227" w:rsidR="00AE4E36" w:rsidRDefault="00E400C3"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p>
        </w:tc>
        <w:tc>
          <w:tcPr>
            <w:tcW w:w="1297" w:type="dxa"/>
            <w:hideMark/>
          </w:tcPr>
          <w:p w14:paraId="6E8D80E6"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2853" w:type="dxa"/>
            <w:hideMark/>
          </w:tcPr>
          <w:p w14:paraId="4596F1EA"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871" w:type="dxa"/>
            <w:hideMark/>
          </w:tcPr>
          <w:p w14:paraId="7893EA97" w14:textId="71ADD5B7" w:rsidR="00AE4E36" w:rsidRPr="00E400C3"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tc>
      </w:tr>
      <w:tr w:rsidR="00456819" w14:paraId="2B377D8F" w14:textId="77777777" w:rsidTr="00403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dxa"/>
            <w:hideMark/>
          </w:tcPr>
          <w:p w14:paraId="22CC1A1D" w14:textId="77777777" w:rsidR="00456819" w:rsidRPr="008F4A4D" w:rsidRDefault="00456819" w:rsidP="00456819">
            <w:pPr>
              <w:pStyle w:val="Heading3"/>
              <w:outlineLvl w:val="2"/>
              <w:rPr>
                <w:sz w:val="24"/>
                <w:szCs w:val="24"/>
              </w:rPr>
            </w:pPr>
            <w:r>
              <w:rPr>
                <w:sz w:val="24"/>
                <w:szCs w:val="24"/>
              </w:rPr>
              <w:t>Recommendation 6</w:t>
            </w:r>
          </w:p>
          <w:p w14:paraId="47692025" w14:textId="7F27C50B" w:rsidR="00456819" w:rsidRPr="008A3185" w:rsidRDefault="00456819" w:rsidP="008A3185">
            <w:pPr>
              <w:rPr>
                <w:rFonts w:cs="Arial"/>
              </w:rPr>
            </w:pPr>
            <w:r w:rsidRPr="009A3AB0">
              <w:rPr>
                <w:rFonts w:cs="Arial"/>
              </w:rPr>
              <w:t>That the AHC and the AAPNG Facility, TEPs and relevant registration bodies continue to work together to streamline and support the registration process as a</w:t>
            </w:r>
            <w:r>
              <w:rPr>
                <w:rFonts w:cs="Arial"/>
              </w:rPr>
              <w:t xml:space="preserve"> </w:t>
            </w:r>
            <w:r w:rsidRPr="009A3AB0">
              <w:rPr>
                <w:rFonts w:cs="Arial"/>
              </w:rPr>
              <w:t xml:space="preserve">part of future </w:t>
            </w:r>
            <w:r w:rsidR="00403DDB">
              <w:rPr>
                <w:rFonts w:cs="Arial"/>
              </w:rPr>
              <w:t>student completion requirements</w:t>
            </w:r>
            <w:r w:rsidR="0085662B">
              <w:rPr>
                <w:rFonts w:cs="Arial"/>
              </w:rPr>
              <w:t>.</w:t>
            </w:r>
          </w:p>
        </w:tc>
        <w:tc>
          <w:tcPr>
            <w:tcW w:w="1436" w:type="dxa"/>
            <w:shd w:val="clear" w:color="auto" w:fill="92D050"/>
            <w:hideMark/>
          </w:tcPr>
          <w:p w14:paraId="2702FAF1" w14:textId="2D438B6B" w:rsidR="00456819" w:rsidRPr="008F4A4D" w:rsidRDefault="00456819" w:rsidP="00456819">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w:t>
            </w:r>
          </w:p>
        </w:tc>
        <w:tc>
          <w:tcPr>
            <w:tcW w:w="1297" w:type="dxa"/>
          </w:tcPr>
          <w:p w14:paraId="3861BEAD" w14:textId="77777777" w:rsidR="00456819" w:rsidRPr="008F4A4D" w:rsidRDefault="00456819"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853" w:type="dxa"/>
          </w:tcPr>
          <w:p w14:paraId="18DCC57F" w14:textId="6BBD63F4" w:rsidR="00456819" w:rsidRPr="008F4A4D" w:rsidRDefault="00456819" w:rsidP="009308B7">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A3AB0">
              <w:rPr>
                <w:rFonts w:cs="Arial"/>
              </w:rPr>
              <w:t xml:space="preserve">AAPNG </w:t>
            </w:r>
            <w:r>
              <w:rPr>
                <w:rFonts w:cs="Arial"/>
              </w:rPr>
              <w:t>Facility tasked to work</w:t>
            </w:r>
            <w:r w:rsidRPr="009A3AB0">
              <w:rPr>
                <w:rFonts w:cs="Arial"/>
              </w:rPr>
              <w:t xml:space="preserve"> with registration bodies to ensure students </w:t>
            </w:r>
            <w:r>
              <w:rPr>
                <w:rFonts w:cs="Arial"/>
              </w:rPr>
              <w:t>undertake accreditation</w:t>
            </w:r>
            <w:r w:rsidRPr="009A3AB0">
              <w:rPr>
                <w:rFonts w:cs="Arial"/>
              </w:rPr>
              <w:t xml:space="preserve"> on completion of their studies and mov</w:t>
            </w:r>
            <w:r>
              <w:rPr>
                <w:rFonts w:cs="Arial"/>
              </w:rPr>
              <w:t>e</w:t>
            </w:r>
            <w:r w:rsidRPr="009A3AB0">
              <w:rPr>
                <w:rFonts w:cs="Arial"/>
              </w:rPr>
              <w:t xml:space="preserve"> into gainful employment. AAPNG tasked to amend </w:t>
            </w:r>
            <w:r>
              <w:rPr>
                <w:rFonts w:cs="Arial"/>
              </w:rPr>
              <w:t xml:space="preserve">the monitoring and evaluation </w:t>
            </w:r>
            <w:r w:rsidRPr="009A3AB0">
              <w:rPr>
                <w:rFonts w:cs="Arial"/>
              </w:rPr>
              <w:t>framework indicators so the prog</w:t>
            </w:r>
            <w:r w:rsidR="00403DDB">
              <w:rPr>
                <w:rFonts w:cs="Arial"/>
              </w:rPr>
              <w:t>ram is accountable in this area</w:t>
            </w:r>
            <w:r w:rsidR="00547289">
              <w:rPr>
                <w:rFonts w:cs="Arial"/>
              </w:rPr>
              <w:t>.</w:t>
            </w:r>
          </w:p>
        </w:tc>
        <w:tc>
          <w:tcPr>
            <w:tcW w:w="1871" w:type="dxa"/>
          </w:tcPr>
          <w:p w14:paraId="68915A06" w14:textId="6DC618E8" w:rsidR="00456819" w:rsidRPr="00C6401B" w:rsidRDefault="00403DDB"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6401B">
              <w:rPr>
                <w:rFonts w:asciiTheme="majorHAnsi" w:hAnsiTheme="majorHAnsi"/>
              </w:rPr>
              <w:t>Report by March 2018</w:t>
            </w:r>
          </w:p>
        </w:tc>
      </w:tr>
    </w:tbl>
    <w:p w14:paraId="7FA16CF6" w14:textId="22D10A10" w:rsidR="00AE4E36" w:rsidRDefault="00AE4E36" w:rsidP="00C10415">
      <w:pPr>
        <w:rPr>
          <w:lang w:val="en-AU"/>
        </w:rPr>
      </w:pPr>
    </w:p>
    <w:tbl>
      <w:tblPr>
        <w:tblStyle w:val="DFATTable1"/>
        <w:tblW w:w="9990"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534"/>
        <w:gridCol w:w="1435"/>
        <w:gridCol w:w="2738"/>
        <w:gridCol w:w="1412"/>
        <w:gridCol w:w="1871"/>
      </w:tblGrid>
      <w:tr w:rsidR="00AE4E36" w14:paraId="5060864F" w14:textId="77777777" w:rsidTr="008A3185">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534" w:type="dxa"/>
            <w:hideMark/>
          </w:tcPr>
          <w:p w14:paraId="311B6298" w14:textId="77777777" w:rsidR="00AE4E36" w:rsidRDefault="00AE4E36" w:rsidP="00AE4E36">
            <w:pPr>
              <w:pStyle w:val="TableHeaderRow"/>
            </w:pPr>
            <w:r>
              <w:t>Recommendation</w:t>
            </w:r>
          </w:p>
        </w:tc>
        <w:tc>
          <w:tcPr>
            <w:tcW w:w="1435" w:type="dxa"/>
            <w:hideMark/>
          </w:tcPr>
          <w:p w14:paraId="02A21CA4" w14:textId="7E6994C4" w:rsidR="00AE4E36" w:rsidRDefault="00AE4E36" w:rsidP="00E400C3">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2738" w:type="dxa"/>
            <w:hideMark/>
          </w:tcPr>
          <w:p w14:paraId="203174A1"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1412" w:type="dxa"/>
            <w:hideMark/>
          </w:tcPr>
          <w:p w14:paraId="24540F0C"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871" w:type="dxa"/>
            <w:hideMark/>
          </w:tcPr>
          <w:p w14:paraId="47D1FF93" w14:textId="77777777" w:rsidR="00AE4E36" w:rsidRPr="005D67B8"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5E46776D" w14:textId="67DBDD20" w:rsidR="00AE4E36" w:rsidRPr="008F4A4D" w:rsidRDefault="00AE4E36" w:rsidP="00AE4E36">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456819" w14:paraId="6F31FC22" w14:textId="77777777" w:rsidTr="008A3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hideMark/>
          </w:tcPr>
          <w:p w14:paraId="37181745" w14:textId="77777777" w:rsidR="00456819" w:rsidRPr="008F4A4D" w:rsidRDefault="00456819" w:rsidP="00456819">
            <w:pPr>
              <w:pStyle w:val="Heading3"/>
              <w:outlineLvl w:val="2"/>
              <w:rPr>
                <w:sz w:val="24"/>
                <w:szCs w:val="24"/>
              </w:rPr>
            </w:pPr>
            <w:r>
              <w:rPr>
                <w:sz w:val="24"/>
                <w:szCs w:val="24"/>
              </w:rPr>
              <w:t>Recommendation 7</w:t>
            </w:r>
          </w:p>
          <w:p w14:paraId="77FEAE23" w14:textId="1F471626" w:rsidR="00456819" w:rsidRPr="008F4A4D" w:rsidRDefault="00456819" w:rsidP="009308B7">
            <w:pPr>
              <w:rPr>
                <w:rFonts w:asciiTheme="majorHAnsi" w:hAnsiTheme="majorHAnsi"/>
                <w:i/>
                <w:sz w:val="24"/>
                <w:szCs w:val="24"/>
              </w:rPr>
            </w:pPr>
            <w:r w:rsidRPr="009A3AB0">
              <w:rPr>
                <w:rFonts w:cs="Arial"/>
              </w:rPr>
              <w:t>That the AHC and the AAPNG Facility increase the linkages between ICS scholarship opportunities and potential workforce planning agencies to strengthen the coordination of workforce needs with workplace vacancies, including developing a greater understanding of the challenges and context of the environment in which students will eventually work and whether additional initiatives should also be considere</w:t>
            </w:r>
            <w:r w:rsidR="00403DDB">
              <w:rPr>
                <w:rFonts w:cs="Arial"/>
              </w:rPr>
              <w:t>d</w:t>
            </w:r>
            <w:r w:rsidR="0085662B">
              <w:rPr>
                <w:rFonts w:cs="Arial"/>
              </w:rPr>
              <w:t>.</w:t>
            </w:r>
          </w:p>
        </w:tc>
        <w:tc>
          <w:tcPr>
            <w:tcW w:w="1435" w:type="dxa"/>
            <w:shd w:val="clear" w:color="auto" w:fill="92D050"/>
            <w:hideMark/>
          </w:tcPr>
          <w:p w14:paraId="006B5B39" w14:textId="0C5D7196" w:rsidR="00456819" w:rsidRPr="008F4A4D" w:rsidRDefault="00456819" w:rsidP="00456819">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w:t>
            </w:r>
          </w:p>
        </w:tc>
        <w:tc>
          <w:tcPr>
            <w:tcW w:w="2738" w:type="dxa"/>
          </w:tcPr>
          <w:p w14:paraId="31973967" w14:textId="77DB4408" w:rsidR="00456819" w:rsidRPr="008F4A4D" w:rsidRDefault="00456819"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A3AB0">
              <w:rPr>
                <w:rFonts w:cs="Arial"/>
              </w:rPr>
              <w:t>Agree that workforce planning is a critical area of support for awardees completion</w:t>
            </w:r>
            <w:r>
              <w:rPr>
                <w:rFonts w:cs="Arial"/>
              </w:rPr>
              <w:t>. T</w:t>
            </w:r>
            <w:r w:rsidRPr="009A3AB0">
              <w:rPr>
                <w:rFonts w:cs="Arial"/>
              </w:rPr>
              <w:t>he Australia</w:t>
            </w:r>
            <w:r>
              <w:rPr>
                <w:rFonts w:cs="Arial"/>
              </w:rPr>
              <w:t>-</w:t>
            </w:r>
            <w:r w:rsidRPr="009A3AB0">
              <w:rPr>
                <w:rFonts w:cs="Arial"/>
              </w:rPr>
              <w:t xml:space="preserve">PNG Partnership for Development and labour analysis </w:t>
            </w:r>
            <w:r>
              <w:rPr>
                <w:rFonts w:cs="Arial"/>
              </w:rPr>
              <w:t xml:space="preserve">will set sector </w:t>
            </w:r>
            <w:r w:rsidRPr="009A3AB0">
              <w:rPr>
                <w:rFonts w:cs="Arial"/>
              </w:rPr>
              <w:t xml:space="preserve">priorities </w:t>
            </w:r>
            <w:r>
              <w:rPr>
                <w:rFonts w:cs="Arial"/>
              </w:rPr>
              <w:t xml:space="preserve">for the program. </w:t>
            </w:r>
          </w:p>
        </w:tc>
        <w:tc>
          <w:tcPr>
            <w:tcW w:w="1412" w:type="dxa"/>
          </w:tcPr>
          <w:p w14:paraId="1181F7E4" w14:textId="6F875F3D" w:rsidR="00456819" w:rsidRPr="008F4A4D" w:rsidRDefault="00456819"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cs="Arial"/>
              </w:rPr>
              <w:t xml:space="preserve">The AAPNG Facility is tasked to apply </w:t>
            </w:r>
            <w:r w:rsidRPr="009A3AB0">
              <w:rPr>
                <w:rFonts w:cs="Arial"/>
              </w:rPr>
              <w:t>successful reintegration strategies to the program to ensure awardees are going into their fields of study on completion of award</w:t>
            </w:r>
            <w:r w:rsidR="00547289">
              <w:rPr>
                <w:rFonts w:cs="Arial"/>
              </w:rPr>
              <w:t>.</w:t>
            </w:r>
          </w:p>
        </w:tc>
        <w:tc>
          <w:tcPr>
            <w:tcW w:w="1871" w:type="dxa"/>
          </w:tcPr>
          <w:p w14:paraId="420FB225" w14:textId="21BE7FB6" w:rsidR="00456819" w:rsidRPr="00C6401B" w:rsidRDefault="00403DDB"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6401B">
              <w:rPr>
                <w:rFonts w:asciiTheme="majorHAnsi" w:hAnsiTheme="majorHAnsi"/>
              </w:rPr>
              <w:t>Report on proposed approach by March 2018</w:t>
            </w:r>
          </w:p>
        </w:tc>
      </w:tr>
    </w:tbl>
    <w:p w14:paraId="487BC0F2" w14:textId="65A350DA" w:rsidR="00AE4E36" w:rsidRDefault="00AE4E36" w:rsidP="00C10415">
      <w:pPr>
        <w:rPr>
          <w:lang w:val="en-AU"/>
        </w:rPr>
      </w:pPr>
    </w:p>
    <w:tbl>
      <w:tblPr>
        <w:tblStyle w:val="DFATTable1"/>
        <w:tblW w:w="9990"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403"/>
        <w:gridCol w:w="1566"/>
        <w:gridCol w:w="1720"/>
        <w:gridCol w:w="2561"/>
        <w:gridCol w:w="1740"/>
      </w:tblGrid>
      <w:tr w:rsidR="00403DDB" w14:paraId="0072386C" w14:textId="77777777" w:rsidTr="008A3185">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403" w:type="dxa"/>
            <w:hideMark/>
          </w:tcPr>
          <w:p w14:paraId="2FE7917B" w14:textId="77777777" w:rsidR="00AE4E36" w:rsidRDefault="00AE4E36" w:rsidP="00AE4E36">
            <w:pPr>
              <w:pStyle w:val="TableHeaderRow"/>
            </w:pPr>
            <w:r>
              <w:lastRenderedPageBreak/>
              <w:t>Recommendation</w:t>
            </w:r>
          </w:p>
        </w:tc>
        <w:tc>
          <w:tcPr>
            <w:tcW w:w="1566" w:type="dxa"/>
            <w:hideMark/>
          </w:tcPr>
          <w:p w14:paraId="61C4FAD7" w14:textId="39EF6969" w:rsidR="00AE4E36" w:rsidRDefault="00AE4E36" w:rsidP="00E400C3">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1720" w:type="dxa"/>
            <w:hideMark/>
          </w:tcPr>
          <w:p w14:paraId="5CD7FE2B"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2561" w:type="dxa"/>
            <w:hideMark/>
          </w:tcPr>
          <w:p w14:paraId="653E9F52"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740" w:type="dxa"/>
            <w:hideMark/>
          </w:tcPr>
          <w:p w14:paraId="2E72F59D" w14:textId="77777777" w:rsidR="00AE4E36" w:rsidRPr="005D67B8"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0B45664C" w14:textId="6F0F2815" w:rsidR="00AE4E36" w:rsidRPr="008F4A4D" w:rsidRDefault="00AE4E36" w:rsidP="00AE4E36">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403DDB" w14:paraId="2638D39C" w14:textId="77777777" w:rsidTr="008A3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hideMark/>
          </w:tcPr>
          <w:p w14:paraId="31C4FAE7" w14:textId="77777777" w:rsidR="00456819" w:rsidRPr="008F4A4D" w:rsidRDefault="00456819" w:rsidP="00456819">
            <w:pPr>
              <w:pStyle w:val="Heading3"/>
              <w:outlineLvl w:val="2"/>
              <w:rPr>
                <w:sz w:val="24"/>
                <w:szCs w:val="24"/>
              </w:rPr>
            </w:pPr>
            <w:r>
              <w:rPr>
                <w:sz w:val="24"/>
                <w:szCs w:val="24"/>
              </w:rPr>
              <w:t>Recommendation 8</w:t>
            </w:r>
          </w:p>
          <w:p w14:paraId="3135A0F1" w14:textId="1CF1E0AE" w:rsidR="00456819" w:rsidRPr="008F4A4D" w:rsidRDefault="00456819" w:rsidP="00403DDB">
            <w:pPr>
              <w:pStyle w:val="BodyText"/>
              <w:rPr>
                <w:rFonts w:asciiTheme="majorHAnsi" w:hAnsiTheme="majorHAnsi"/>
                <w:i/>
                <w:sz w:val="24"/>
                <w:szCs w:val="24"/>
              </w:rPr>
            </w:pPr>
            <w:r w:rsidRPr="009A3AB0">
              <w:rPr>
                <w:rFonts w:cs="Arial"/>
              </w:rPr>
              <w:t xml:space="preserve">That a standard </w:t>
            </w:r>
            <w:r>
              <w:rPr>
                <w:rFonts w:cs="Arial"/>
              </w:rPr>
              <w:t xml:space="preserve">private sector </w:t>
            </w:r>
            <w:r w:rsidRPr="009A3AB0">
              <w:rPr>
                <w:rFonts w:cs="Arial"/>
              </w:rPr>
              <w:t xml:space="preserve">partnership framework be developed that provides clear opportunities and benefits for potential partners </w:t>
            </w:r>
            <w:r>
              <w:rPr>
                <w:rFonts w:cs="Arial"/>
              </w:rPr>
              <w:t xml:space="preserve">and </w:t>
            </w:r>
            <w:r w:rsidRPr="009A3AB0">
              <w:rPr>
                <w:rFonts w:cs="Arial"/>
              </w:rPr>
              <w:t>in accordance with the overarching strategic frame</w:t>
            </w:r>
            <w:r w:rsidR="00403DDB">
              <w:rPr>
                <w:rFonts w:cs="Arial"/>
              </w:rPr>
              <w:t>work of the ICS p</w:t>
            </w:r>
            <w:r w:rsidRPr="009A3AB0">
              <w:rPr>
                <w:rFonts w:cs="Arial"/>
              </w:rPr>
              <w:t>rogram</w:t>
            </w:r>
            <w:r w:rsidR="00C6401B">
              <w:rPr>
                <w:rFonts w:cs="Arial"/>
              </w:rPr>
              <w:t>.</w:t>
            </w:r>
          </w:p>
        </w:tc>
        <w:tc>
          <w:tcPr>
            <w:tcW w:w="1566" w:type="dxa"/>
            <w:shd w:val="clear" w:color="auto" w:fill="92D050"/>
            <w:hideMark/>
          </w:tcPr>
          <w:p w14:paraId="716C04CE" w14:textId="579AB9B6" w:rsidR="00456819" w:rsidRPr="008F4A4D" w:rsidRDefault="00456819" w:rsidP="00456819">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w:t>
            </w:r>
          </w:p>
        </w:tc>
        <w:tc>
          <w:tcPr>
            <w:tcW w:w="1720" w:type="dxa"/>
          </w:tcPr>
          <w:p w14:paraId="58014912" w14:textId="77777777" w:rsidR="00456819" w:rsidRPr="008F4A4D" w:rsidRDefault="00456819"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561" w:type="dxa"/>
          </w:tcPr>
          <w:p w14:paraId="65D34D16" w14:textId="11C664D1" w:rsidR="00456819" w:rsidRPr="009A3AB0" w:rsidRDefault="00456819" w:rsidP="00456819">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Task the </w:t>
            </w:r>
            <w:r w:rsidRPr="009A3AB0">
              <w:rPr>
                <w:rFonts w:cs="Arial"/>
              </w:rPr>
              <w:t>AAPNG Facility to develop this framework</w:t>
            </w:r>
            <w:r>
              <w:rPr>
                <w:rFonts w:cs="Arial"/>
              </w:rPr>
              <w:t xml:space="preserve"> </w:t>
            </w:r>
            <w:r w:rsidR="00403DDB">
              <w:rPr>
                <w:rFonts w:cs="Arial"/>
              </w:rPr>
              <w:t xml:space="preserve">outlining opportunities and </w:t>
            </w:r>
            <w:r>
              <w:rPr>
                <w:rFonts w:cs="Arial"/>
              </w:rPr>
              <w:t>parameters for engagements</w:t>
            </w:r>
            <w:r w:rsidR="00C6401B">
              <w:rPr>
                <w:rFonts w:cs="Arial"/>
              </w:rPr>
              <w:t>.</w:t>
            </w:r>
          </w:p>
          <w:p w14:paraId="445D29A8" w14:textId="77777777" w:rsidR="00456819" w:rsidRPr="008F4A4D" w:rsidRDefault="00456819"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740" w:type="dxa"/>
          </w:tcPr>
          <w:p w14:paraId="4513DE02" w14:textId="559C07AB" w:rsidR="00456819" w:rsidRPr="00C6401B" w:rsidRDefault="00403DDB"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6401B">
              <w:rPr>
                <w:rFonts w:asciiTheme="majorHAnsi" w:hAnsiTheme="majorHAnsi"/>
              </w:rPr>
              <w:t>Final framework by December 2017</w:t>
            </w:r>
          </w:p>
        </w:tc>
      </w:tr>
    </w:tbl>
    <w:p w14:paraId="4561B3AE" w14:textId="40CB19CE" w:rsidR="00AE4E36" w:rsidRDefault="00AE4E36" w:rsidP="00C10415">
      <w:pPr>
        <w:rPr>
          <w:lang w:val="en-AU"/>
        </w:rPr>
      </w:pPr>
    </w:p>
    <w:tbl>
      <w:tblPr>
        <w:tblStyle w:val="DFATTable1"/>
        <w:tblW w:w="9990"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534"/>
        <w:gridCol w:w="1435"/>
        <w:gridCol w:w="2127"/>
        <w:gridCol w:w="2409"/>
        <w:gridCol w:w="1485"/>
      </w:tblGrid>
      <w:tr w:rsidR="00AE4E36" w14:paraId="20838522" w14:textId="77777777" w:rsidTr="008A318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34" w:type="dxa"/>
            <w:hideMark/>
          </w:tcPr>
          <w:p w14:paraId="7EA5CF64" w14:textId="77777777" w:rsidR="00AE4E36" w:rsidRDefault="00AE4E36" w:rsidP="00AE4E36">
            <w:pPr>
              <w:pStyle w:val="TableHeaderRow"/>
            </w:pPr>
            <w:r>
              <w:t>Recommendation</w:t>
            </w:r>
          </w:p>
        </w:tc>
        <w:tc>
          <w:tcPr>
            <w:tcW w:w="1435" w:type="dxa"/>
            <w:hideMark/>
          </w:tcPr>
          <w:p w14:paraId="3A1218D4" w14:textId="13345652" w:rsidR="00AE4E36" w:rsidRDefault="00AE4E36" w:rsidP="00E400C3">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2127" w:type="dxa"/>
            <w:hideMark/>
          </w:tcPr>
          <w:p w14:paraId="634F4D43"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2409" w:type="dxa"/>
            <w:hideMark/>
          </w:tcPr>
          <w:p w14:paraId="7453F1C8" w14:textId="77777777" w:rsidR="00AE4E36"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485" w:type="dxa"/>
            <w:hideMark/>
          </w:tcPr>
          <w:p w14:paraId="536F7BD1" w14:textId="77777777" w:rsidR="00AE4E36" w:rsidRPr="005D67B8" w:rsidRDefault="00AE4E36" w:rsidP="00AE4E36">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76EDEBFF" w14:textId="431904B8" w:rsidR="00AE4E36" w:rsidRPr="008F4A4D" w:rsidRDefault="00AE4E36" w:rsidP="00AE4E36">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456819" w14:paraId="16A59806" w14:textId="77777777" w:rsidTr="008A3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hideMark/>
          </w:tcPr>
          <w:p w14:paraId="1789FC12" w14:textId="77777777" w:rsidR="00456819" w:rsidRPr="008F4A4D" w:rsidRDefault="00456819" w:rsidP="00456819">
            <w:pPr>
              <w:pStyle w:val="Heading3"/>
              <w:outlineLvl w:val="2"/>
              <w:rPr>
                <w:sz w:val="24"/>
                <w:szCs w:val="24"/>
              </w:rPr>
            </w:pPr>
            <w:r>
              <w:rPr>
                <w:sz w:val="24"/>
                <w:szCs w:val="24"/>
              </w:rPr>
              <w:t>Recommendation 9</w:t>
            </w:r>
          </w:p>
          <w:p w14:paraId="71D7B010" w14:textId="68B0A9BB" w:rsidR="00456819" w:rsidRPr="008A3185" w:rsidRDefault="00456819" w:rsidP="008A3185">
            <w:pPr>
              <w:rPr>
                <w:rFonts w:cs="Arial"/>
                <w:b/>
              </w:rPr>
            </w:pPr>
            <w:r w:rsidRPr="009A3AB0">
              <w:rPr>
                <w:rFonts w:cs="Arial"/>
              </w:rPr>
              <w:t xml:space="preserve">That the redevelopment of the ICS Program be staged over a </w:t>
            </w:r>
            <w:r w:rsidR="00403DDB">
              <w:rPr>
                <w:rFonts w:cs="Arial"/>
              </w:rPr>
              <w:t>two</w:t>
            </w:r>
            <w:r>
              <w:rPr>
                <w:rFonts w:cs="Arial"/>
              </w:rPr>
              <w:t xml:space="preserve"> to </w:t>
            </w:r>
            <w:r w:rsidR="00403DDB">
              <w:rPr>
                <w:rFonts w:cs="Arial"/>
              </w:rPr>
              <w:t>three</w:t>
            </w:r>
            <w:r w:rsidR="00A7720D">
              <w:rPr>
                <w:rFonts w:cs="Arial"/>
              </w:rPr>
              <w:t xml:space="preserve"> year period, including exploring</w:t>
            </w:r>
            <w:r w:rsidRPr="009A3AB0">
              <w:rPr>
                <w:rFonts w:cs="Arial"/>
              </w:rPr>
              <w:t xml:space="preserve"> of new approaches including pathways scholarships and TEP centres of excellence.</w:t>
            </w:r>
          </w:p>
        </w:tc>
        <w:tc>
          <w:tcPr>
            <w:tcW w:w="1435" w:type="dxa"/>
            <w:shd w:val="clear" w:color="auto" w:fill="92D050"/>
            <w:hideMark/>
          </w:tcPr>
          <w:p w14:paraId="7A8A43BB" w14:textId="72EE0021" w:rsidR="00456819" w:rsidRPr="008F4A4D" w:rsidRDefault="00456819" w:rsidP="00456819">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w:t>
            </w:r>
          </w:p>
        </w:tc>
        <w:tc>
          <w:tcPr>
            <w:tcW w:w="2127" w:type="dxa"/>
          </w:tcPr>
          <w:p w14:paraId="255548C2" w14:textId="77777777" w:rsidR="00456819" w:rsidRPr="008F4A4D" w:rsidRDefault="00456819"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409" w:type="dxa"/>
          </w:tcPr>
          <w:p w14:paraId="53D4FCA3" w14:textId="04CA8108" w:rsidR="00456819" w:rsidRPr="008F4A4D" w:rsidRDefault="00456819" w:rsidP="00403DDB">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cs="Arial"/>
              </w:rPr>
              <w:t xml:space="preserve">An independent </w:t>
            </w:r>
            <w:r w:rsidRPr="009A3AB0">
              <w:rPr>
                <w:rFonts w:cs="Arial"/>
              </w:rPr>
              <w:t xml:space="preserve">mid-term evaluation </w:t>
            </w:r>
            <w:r>
              <w:rPr>
                <w:rFonts w:cs="Arial"/>
              </w:rPr>
              <w:t xml:space="preserve">will take place </w:t>
            </w:r>
            <w:r w:rsidRPr="009A3AB0">
              <w:rPr>
                <w:rFonts w:cs="Arial"/>
              </w:rPr>
              <w:t xml:space="preserve">to measure effectiveness of </w:t>
            </w:r>
            <w:r>
              <w:rPr>
                <w:rFonts w:cs="Arial"/>
              </w:rPr>
              <w:t xml:space="preserve">the </w:t>
            </w:r>
            <w:r w:rsidRPr="009A3AB0">
              <w:rPr>
                <w:rFonts w:cs="Arial"/>
              </w:rPr>
              <w:t>new program against program objectives</w:t>
            </w:r>
            <w:r w:rsidR="00C6401B">
              <w:rPr>
                <w:rFonts w:cs="Arial"/>
              </w:rPr>
              <w:t>.</w:t>
            </w:r>
          </w:p>
        </w:tc>
        <w:tc>
          <w:tcPr>
            <w:tcW w:w="1485" w:type="dxa"/>
          </w:tcPr>
          <w:p w14:paraId="2CECE1F7" w14:textId="7FDFD8DA" w:rsidR="00456819" w:rsidRPr="00C6401B" w:rsidRDefault="00403DDB" w:rsidP="0045681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6401B">
              <w:rPr>
                <w:rFonts w:asciiTheme="majorHAnsi" w:hAnsiTheme="majorHAnsi"/>
              </w:rPr>
              <w:t>Late 2019</w:t>
            </w:r>
          </w:p>
        </w:tc>
      </w:tr>
    </w:tbl>
    <w:p w14:paraId="7DEAC416" w14:textId="08859A25" w:rsidR="00AE4E36" w:rsidRDefault="00AE4E36" w:rsidP="0004319A">
      <w:pPr>
        <w:suppressAutoHyphens w:val="0"/>
        <w:spacing w:before="0" w:after="120" w:line="440" w:lineRule="atLeast"/>
        <w:rPr>
          <w:lang w:val="en-AU"/>
        </w:rPr>
      </w:pPr>
    </w:p>
    <w:tbl>
      <w:tblPr>
        <w:tblStyle w:val="DFATTable1"/>
        <w:tblpPr w:leftFromText="180" w:rightFromText="180" w:vertAnchor="page" w:horzAnchor="margin" w:tblpY="151"/>
        <w:tblW w:w="9990" w:type="dxa"/>
        <w:tblLayout w:type="fixed"/>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474"/>
        <w:gridCol w:w="1212"/>
        <w:gridCol w:w="2977"/>
        <w:gridCol w:w="1984"/>
        <w:gridCol w:w="1343"/>
      </w:tblGrid>
      <w:tr w:rsidR="00AE4E36" w14:paraId="2B3101C0" w14:textId="77777777" w:rsidTr="00AE746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74" w:type="dxa"/>
            <w:hideMark/>
          </w:tcPr>
          <w:p w14:paraId="00D2B5FB" w14:textId="2E7AE051" w:rsidR="00AE4E36" w:rsidRDefault="0004319A" w:rsidP="00EC2B03">
            <w:pPr>
              <w:pStyle w:val="TableHeaderRow"/>
            </w:pPr>
            <w:r>
              <w:lastRenderedPageBreak/>
              <w:br w:type="page"/>
            </w:r>
            <w:r w:rsidR="00AE4E36">
              <w:t>Recommendation</w:t>
            </w:r>
          </w:p>
        </w:tc>
        <w:tc>
          <w:tcPr>
            <w:tcW w:w="1212" w:type="dxa"/>
            <w:hideMark/>
          </w:tcPr>
          <w:p w14:paraId="2E9C1D80" w14:textId="5D46C9CC" w:rsidR="00AE4E36" w:rsidRDefault="00AE4E36" w:rsidP="00EC2B03">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2977" w:type="dxa"/>
            <w:hideMark/>
          </w:tcPr>
          <w:p w14:paraId="36247DA3" w14:textId="77777777" w:rsidR="00AE4E36" w:rsidRDefault="00AE4E36" w:rsidP="00EC2B03">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1984" w:type="dxa"/>
            <w:hideMark/>
          </w:tcPr>
          <w:p w14:paraId="30F495CB" w14:textId="77777777" w:rsidR="00AE4E36" w:rsidRDefault="00AE4E36" w:rsidP="00EC2B03">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343" w:type="dxa"/>
            <w:hideMark/>
          </w:tcPr>
          <w:p w14:paraId="10F89321" w14:textId="61D20D83" w:rsidR="00AE4E36" w:rsidRPr="008F4A4D" w:rsidRDefault="00AE4E36" w:rsidP="00EC2B03">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5D67B8">
              <w:t>Timeframe</w:t>
            </w:r>
          </w:p>
        </w:tc>
      </w:tr>
      <w:tr w:rsidR="00456819" w14:paraId="6B4C1CA9" w14:textId="77777777" w:rsidTr="00AE7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hideMark/>
          </w:tcPr>
          <w:p w14:paraId="3E3BEC01" w14:textId="7D97ED3E" w:rsidR="00456819" w:rsidRPr="008F4A4D" w:rsidRDefault="00D70E73" w:rsidP="00EC2B03">
            <w:pPr>
              <w:pStyle w:val="Heading3"/>
              <w:outlineLvl w:val="2"/>
              <w:rPr>
                <w:sz w:val="24"/>
                <w:szCs w:val="24"/>
              </w:rPr>
            </w:pPr>
            <w:r>
              <w:rPr>
                <w:sz w:val="24"/>
                <w:szCs w:val="24"/>
              </w:rPr>
              <w:t>R</w:t>
            </w:r>
            <w:r w:rsidR="00456819">
              <w:rPr>
                <w:sz w:val="24"/>
                <w:szCs w:val="24"/>
              </w:rPr>
              <w:t>ecommendation 10</w:t>
            </w:r>
          </w:p>
          <w:p w14:paraId="1BD9B40A" w14:textId="77777777" w:rsidR="00456819" w:rsidRPr="009A3AB0" w:rsidRDefault="00456819" w:rsidP="00EC2B03">
            <w:pPr>
              <w:rPr>
                <w:rFonts w:cs="Arial"/>
              </w:rPr>
            </w:pPr>
            <w:r w:rsidRPr="009A3AB0">
              <w:rPr>
                <w:rFonts w:cs="Arial"/>
              </w:rPr>
              <w:t>That the future design of the ICS Program be based on:</w:t>
            </w:r>
          </w:p>
          <w:p w14:paraId="09DC96AA" w14:textId="32470C12" w:rsidR="00456819" w:rsidRPr="009A3AB0" w:rsidRDefault="00456819" w:rsidP="00EC2B03">
            <w:pPr>
              <w:rPr>
                <w:rFonts w:cs="Arial"/>
              </w:rPr>
            </w:pPr>
            <w:r w:rsidRPr="009A3AB0">
              <w:rPr>
                <w:rFonts w:cs="Arial"/>
              </w:rPr>
              <w:t>•</w:t>
            </w:r>
            <w:r w:rsidR="00403DDB">
              <w:rPr>
                <w:rFonts w:cs="Arial"/>
              </w:rPr>
              <w:t xml:space="preserve"> </w:t>
            </w:r>
            <w:r w:rsidRPr="009A3AB0">
              <w:rPr>
                <w:rFonts w:cs="Arial"/>
              </w:rPr>
              <w:t>Improved targeting of scholarships (including pathways scholarships) and TEPs (including centres of excellence)</w:t>
            </w:r>
            <w:r w:rsidR="00C6401B">
              <w:rPr>
                <w:rFonts w:cs="Arial"/>
              </w:rPr>
              <w:t>.</w:t>
            </w:r>
          </w:p>
          <w:p w14:paraId="6E8C9F9E" w14:textId="3B32E4B1" w:rsidR="00456819" w:rsidRPr="009A3AB0" w:rsidRDefault="00456819" w:rsidP="00EC2B03">
            <w:pPr>
              <w:rPr>
                <w:rFonts w:cs="Arial"/>
              </w:rPr>
            </w:pPr>
            <w:r w:rsidRPr="009A3AB0">
              <w:rPr>
                <w:rFonts w:cs="Arial"/>
              </w:rPr>
              <w:t>•</w:t>
            </w:r>
            <w:r w:rsidR="00403DDB">
              <w:rPr>
                <w:rFonts w:cs="Arial"/>
              </w:rPr>
              <w:t xml:space="preserve"> </w:t>
            </w:r>
            <w:r w:rsidRPr="009A3AB0">
              <w:rPr>
                <w:rFonts w:cs="Arial"/>
              </w:rPr>
              <w:t>A clear decision framework for identifying priority workforce areas</w:t>
            </w:r>
            <w:r w:rsidR="00C6401B">
              <w:rPr>
                <w:rFonts w:cs="Arial"/>
              </w:rPr>
              <w:t>.</w:t>
            </w:r>
          </w:p>
          <w:p w14:paraId="23D46284" w14:textId="5A47DB65" w:rsidR="00456819" w:rsidRPr="009A3AB0" w:rsidRDefault="00456819" w:rsidP="00EC2B03">
            <w:pPr>
              <w:rPr>
                <w:rFonts w:cs="Arial"/>
              </w:rPr>
            </w:pPr>
            <w:r w:rsidRPr="009A3AB0">
              <w:rPr>
                <w:rFonts w:cs="Arial"/>
              </w:rPr>
              <w:t>•</w:t>
            </w:r>
            <w:r w:rsidR="00403DDB">
              <w:rPr>
                <w:rFonts w:cs="Arial"/>
              </w:rPr>
              <w:t xml:space="preserve"> </w:t>
            </w:r>
            <w:r w:rsidRPr="009A3AB0">
              <w:rPr>
                <w:rFonts w:cs="Arial"/>
              </w:rPr>
              <w:t>A clear decision framework for selecting TEPs</w:t>
            </w:r>
            <w:r w:rsidR="00C6401B">
              <w:rPr>
                <w:rFonts w:cs="Arial"/>
              </w:rPr>
              <w:t>.</w:t>
            </w:r>
          </w:p>
          <w:p w14:paraId="25D42E02" w14:textId="021C77FE" w:rsidR="00456819" w:rsidRDefault="00456819" w:rsidP="00EC2B03">
            <w:pPr>
              <w:rPr>
                <w:rFonts w:cs="Arial"/>
              </w:rPr>
            </w:pPr>
            <w:r w:rsidRPr="009A3AB0">
              <w:rPr>
                <w:rFonts w:cs="Arial"/>
              </w:rPr>
              <w:t>•</w:t>
            </w:r>
            <w:r w:rsidR="00403DDB">
              <w:rPr>
                <w:rFonts w:cs="Arial"/>
              </w:rPr>
              <w:t xml:space="preserve"> </w:t>
            </w:r>
            <w:r w:rsidRPr="009A3AB0">
              <w:rPr>
                <w:rFonts w:cs="Arial"/>
              </w:rPr>
              <w:t>TEP capacity development support grants based on development priorities identified through baseline and monitoring capacity assessments</w:t>
            </w:r>
            <w:r w:rsidR="00C6401B">
              <w:rPr>
                <w:rFonts w:cs="Arial"/>
              </w:rPr>
              <w:t>.</w:t>
            </w:r>
          </w:p>
          <w:p w14:paraId="57F5C436" w14:textId="02D18038" w:rsidR="00456819" w:rsidRDefault="00456819" w:rsidP="00EC2B03">
            <w:pPr>
              <w:rPr>
                <w:rFonts w:cs="Arial"/>
              </w:rPr>
            </w:pPr>
            <w:r w:rsidRPr="009A3AB0">
              <w:rPr>
                <w:rFonts w:cs="Arial"/>
              </w:rPr>
              <w:t>•</w:t>
            </w:r>
            <w:r w:rsidR="00403DDB">
              <w:rPr>
                <w:rFonts w:cs="Arial"/>
              </w:rPr>
              <w:t xml:space="preserve"> </w:t>
            </w:r>
            <w:r w:rsidRPr="009A3AB0">
              <w:rPr>
                <w:rFonts w:cs="Arial"/>
              </w:rPr>
              <w:t>Greater integration of ICS program activities throughout the scholarship lifecycle and across AAPNG programs and the ODA investment</w:t>
            </w:r>
            <w:r w:rsidR="00C6401B">
              <w:rPr>
                <w:rFonts w:cs="Arial"/>
              </w:rPr>
              <w:t>.</w:t>
            </w:r>
          </w:p>
          <w:p w14:paraId="7BFF0AF0" w14:textId="156B15DC" w:rsidR="00456819" w:rsidRPr="00403DDB" w:rsidRDefault="00456819" w:rsidP="00403DDB">
            <w:pPr>
              <w:rPr>
                <w:rFonts w:cs="Arial"/>
              </w:rPr>
            </w:pPr>
            <w:r w:rsidRPr="009A3AB0">
              <w:rPr>
                <w:rFonts w:cs="Arial"/>
              </w:rPr>
              <w:t>•Enhancement of the application process to includes applicant involvement and earlier selection of successful applicants.</w:t>
            </w:r>
          </w:p>
        </w:tc>
        <w:tc>
          <w:tcPr>
            <w:tcW w:w="1212" w:type="dxa"/>
            <w:shd w:val="clear" w:color="auto" w:fill="92D050"/>
            <w:hideMark/>
          </w:tcPr>
          <w:p w14:paraId="0253A4EF" w14:textId="09ED0089" w:rsidR="00456819" w:rsidRPr="008F4A4D" w:rsidRDefault="00456819" w:rsidP="00EC2B03">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w:t>
            </w:r>
          </w:p>
        </w:tc>
        <w:tc>
          <w:tcPr>
            <w:tcW w:w="2977" w:type="dxa"/>
          </w:tcPr>
          <w:p w14:paraId="3AE067E6" w14:textId="77777777" w:rsidR="00B45D2F" w:rsidRDefault="00B45D2F" w:rsidP="00EC2B03">
            <w:pPr>
              <w:cnfStyle w:val="000000100000" w:firstRow="0" w:lastRow="0" w:firstColumn="0" w:lastColumn="0" w:oddVBand="0" w:evenVBand="0" w:oddHBand="1" w:evenHBand="0" w:firstRowFirstColumn="0" w:firstRowLastColumn="0" w:lastRowFirstColumn="0" w:lastRowLastColumn="0"/>
              <w:rPr>
                <w:rFonts w:cs="Arial"/>
              </w:rPr>
            </w:pPr>
          </w:p>
          <w:p w14:paraId="2B5D6934" w14:textId="1626393E" w:rsidR="00403DDB" w:rsidRDefault="00AE746A" w:rsidP="00EC2B03">
            <w:pPr>
              <w:cnfStyle w:val="000000100000" w:firstRow="0" w:lastRow="0" w:firstColumn="0" w:lastColumn="0" w:oddVBand="0" w:evenVBand="0" w:oddHBand="1" w:evenHBand="0" w:firstRowFirstColumn="0" w:firstRowLastColumn="0" w:lastRowFirstColumn="0" w:lastRowLastColumn="0"/>
              <w:rPr>
                <w:rFonts w:cs="Arial"/>
              </w:rPr>
            </w:pPr>
            <w:r>
              <w:rPr>
                <w:rFonts w:cs="Arial"/>
              </w:rPr>
              <w:t>A</w:t>
            </w:r>
            <w:r w:rsidR="00456819" w:rsidRPr="009A3AB0">
              <w:rPr>
                <w:rFonts w:cs="Arial"/>
              </w:rPr>
              <w:t>gree to enhancing selection of scholarships and tertiary providers based on merit, performance and Australia and PNG strategic interests and investments</w:t>
            </w:r>
            <w:r w:rsidR="00456819">
              <w:rPr>
                <w:rFonts w:cs="Arial"/>
              </w:rPr>
              <w:t xml:space="preserve"> as guided by the AHC</w:t>
            </w:r>
            <w:r w:rsidR="00456819" w:rsidRPr="009A3AB0">
              <w:rPr>
                <w:rFonts w:cs="Arial"/>
              </w:rPr>
              <w:t xml:space="preserve">. </w:t>
            </w:r>
          </w:p>
          <w:p w14:paraId="2BAEB2A7" w14:textId="43339947" w:rsidR="00456819" w:rsidRPr="009A3AB0" w:rsidRDefault="00456819" w:rsidP="00EC2B03">
            <w:pPr>
              <w:cnfStyle w:val="000000100000" w:firstRow="0" w:lastRow="0" w:firstColumn="0" w:lastColumn="0" w:oddVBand="0" w:evenVBand="0" w:oddHBand="1" w:evenHBand="0" w:firstRowFirstColumn="0" w:firstRowLastColumn="0" w:lastRowFirstColumn="0" w:lastRowLastColumn="0"/>
              <w:rPr>
                <w:rFonts w:cs="Arial"/>
              </w:rPr>
            </w:pPr>
            <w:r>
              <w:rPr>
                <w:rFonts w:cs="Arial"/>
              </w:rPr>
              <w:t>T</w:t>
            </w:r>
            <w:r w:rsidRPr="009A3AB0">
              <w:rPr>
                <w:rFonts w:cs="Arial"/>
              </w:rPr>
              <w:t>he Australia</w:t>
            </w:r>
            <w:r>
              <w:rPr>
                <w:rFonts w:cs="Arial"/>
              </w:rPr>
              <w:t>-</w:t>
            </w:r>
            <w:r w:rsidRPr="009A3AB0">
              <w:rPr>
                <w:rFonts w:cs="Arial"/>
              </w:rPr>
              <w:t xml:space="preserve">PNG Partnership for Development and labour analysis </w:t>
            </w:r>
            <w:r>
              <w:rPr>
                <w:rFonts w:cs="Arial"/>
              </w:rPr>
              <w:t xml:space="preserve">will continue to set the work program and sector </w:t>
            </w:r>
            <w:r w:rsidRPr="009A3AB0">
              <w:rPr>
                <w:rFonts w:cs="Arial"/>
              </w:rPr>
              <w:t xml:space="preserve">priorities </w:t>
            </w:r>
            <w:r>
              <w:rPr>
                <w:rFonts w:cs="Arial"/>
              </w:rPr>
              <w:t>for the program.</w:t>
            </w:r>
          </w:p>
          <w:p w14:paraId="02D6E4BD" w14:textId="05497C3F" w:rsidR="00B45D2F" w:rsidRDefault="00456819" w:rsidP="00EC2B03">
            <w:pPr>
              <w:cnfStyle w:val="000000100000" w:firstRow="0" w:lastRow="0" w:firstColumn="0" w:lastColumn="0" w:oddVBand="0" w:evenVBand="0" w:oddHBand="1" w:evenHBand="0" w:firstRowFirstColumn="0" w:firstRowLastColumn="0" w:lastRowFirstColumn="0" w:lastRowLastColumn="0"/>
              <w:rPr>
                <w:rFonts w:cs="Arial"/>
              </w:rPr>
            </w:pPr>
            <w:r w:rsidRPr="009A3AB0">
              <w:rPr>
                <w:rFonts w:cs="Arial"/>
              </w:rPr>
              <w:t>Agree to enhanced capacity development initiatives in the program</w:t>
            </w:r>
            <w:r w:rsidR="00C6401B">
              <w:rPr>
                <w:rFonts w:cs="Arial"/>
              </w:rPr>
              <w:t>.</w:t>
            </w:r>
          </w:p>
          <w:p w14:paraId="5DEB0F28" w14:textId="4BB29299" w:rsidR="00456819" w:rsidRPr="008F4A4D" w:rsidRDefault="00456819" w:rsidP="00403DDB">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A3AB0">
              <w:rPr>
                <w:rFonts w:cs="Arial"/>
              </w:rPr>
              <w:t xml:space="preserve">Agree to enhancement of program cycle, processes and integration of support throughout the cycle of the program. </w:t>
            </w:r>
          </w:p>
        </w:tc>
        <w:tc>
          <w:tcPr>
            <w:tcW w:w="1984" w:type="dxa"/>
          </w:tcPr>
          <w:p w14:paraId="72F61907" w14:textId="77777777" w:rsidR="00B45D2F" w:rsidRDefault="00B45D2F" w:rsidP="00EC2B03">
            <w:pPr>
              <w:cnfStyle w:val="000000100000" w:firstRow="0" w:lastRow="0" w:firstColumn="0" w:lastColumn="0" w:oddVBand="0" w:evenVBand="0" w:oddHBand="1" w:evenHBand="0" w:firstRowFirstColumn="0" w:firstRowLastColumn="0" w:lastRowFirstColumn="0" w:lastRowLastColumn="0"/>
              <w:rPr>
                <w:rFonts w:cs="Arial"/>
              </w:rPr>
            </w:pPr>
          </w:p>
          <w:p w14:paraId="2168D5FD" w14:textId="329E7AA3" w:rsidR="00B45D2F" w:rsidRDefault="00403DDB" w:rsidP="00AE746A">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Task the </w:t>
            </w:r>
            <w:r w:rsidRPr="009A3AB0">
              <w:rPr>
                <w:rFonts w:cs="Arial"/>
              </w:rPr>
              <w:t xml:space="preserve">AAPNG </w:t>
            </w:r>
            <w:r>
              <w:rPr>
                <w:rFonts w:cs="Arial"/>
              </w:rPr>
              <w:t xml:space="preserve">Facility to </w:t>
            </w:r>
            <w:r w:rsidRPr="009A3AB0">
              <w:rPr>
                <w:rFonts w:cs="Arial"/>
              </w:rPr>
              <w:t xml:space="preserve">undertake baseline </w:t>
            </w:r>
            <w:r w:rsidR="00AE746A">
              <w:rPr>
                <w:rFonts w:cs="Arial"/>
              </w:rPr>
              <w:t xml:space="preserve">assessment, and to </w:t>
            </w:r>
            <w:r>
              <w:rPr>
                <w:rFonts w:cs="Arial"/>
              </w:rPr>
              <w:t>develop</w:t>
            </w:r>
            <w:r w:rsidRPr="009A3AB0">
              <w:rPr>
                <w:rFonts w:cs="Arial"/>
              </w:rPr>
              <w:t xml:space="preserve"> </w:t>
            </w:r>
            <w:r>
              <w:rPr>
                <w:rFonts w:cs="Arial"/>
              </w:rPr>
              <w:t xml:space="preserve">an </w:t>
            </w:r>
            <w:r w:rsidRPr="009A3AB0">
              <w:rPr>
                <w:rFonts w:cs="Arial"/>
              </w:rPr>
              <w:t xml:space="preserve">enhanced selection, on-award, reintegration and Alumni manual to </w:t>
            </w:r>
            <w:r>
              <w:rPr>
                <w:rFonts w:cs="Arial"/>
              </w:rPr>
              <w:t xml:space="preserve">guide 2018 </w:t>
            </w:r>
            <w:r w:rsidRPr="009A3AB0">
              <w:rPr>
                <w:rFonts w:cs="Arial"/>
              </w:rPr>
              <w:t>implement</w:t>
            </w:r>
            <w:r>
              <w:rPr>
                <w:rFonts w:cs="Arial"/>
              </w:rPr>
              <w:t>ation</w:t>
            </w:r>
            <w:r w:rsidRPr="009A3AB0">
              <w:rPr>
                <w:rFonts w:cs="Arial"/>
              </w:rPr>
              <w:t>.</w:t>
            </w:r>
          </w:p>
          <w:p w14:paraId="5B963450" w14:textId="77777777" w:rsidR="00B45D2F" w:rsidRDefault="00B45D2F" w:rsidP="00EC2B03">
            <w:pPr>
              <w:cnfStyle w:val="000000100000" w:firstRow="0" w:lastRow="0" w:firstColumn="0" w:lastColumn="0" w:oddVBand="0" w:evenVBand="0" w:oddHBand="1" w:evenHBand="0" w:firstRowFirstColumn="0" w:firstRowLastColumn="0" w:lastRowFirstColumn="0" w:lastRowLastColumn="0"/>
              <w:rPr>
                <w:rFonts w:cs="Arial"/>
              </w:rPr>
            </w:pPr>
          </w:p>
          <w:p w14:paraId="68800D37" w14:textId="77777777" w:rsidR="00B45D2F" w:rsidRDefault="00B45D2F" w:rsidP="00EC2B03">
            <w:pPr>
              <w:cnfStyle w:val="000000100000" w:firstRow="0" w:lastRow="0" w:firstColumn="0" w:lastColumn="0" w:oddVBand="0" w:evenVBand="0" w:oddHBand="1" w:evenHBand="0" w:firstRowFirstColumn="0" w:firstRowLastColumn="0" w:lastRowFirstColumn="0" w:lastRowLastColumn="0"/>
              <w:rPr>
                <w:rFonts w:cs="Arial"/>
              </w:rPr>
            </w:pPr>
          </w:p>
          <w:p w14:paraId="3027FCF6" w14:textId="77777777" w:rsidR="00B45D2F" w:rsidRDefault="00B45D2F" w:rsidP="00EC2B03">
            <w:pPr>
              <w:cnfStyle w:val="000000100000" w:firstRow="0" w:lastRow="0" w:firstColumn="0" w:lastColumn="0" w:oddVBand="0" w:evenVBand="0" w:oddHBand="1" w:evenHBand="0" w:firstRowFirstColumn="0" w:firstRowLastColumn="0" w:lastRowFirstColumn="0" w:lastRowLastColumn="0"/>
              <w:rPr>
                <w:rFonts w:cs="Arial"/>
              </w:rPr>
            </w:pPr>
          </w:p>
          <w:p w14:paraId="7370ABE3" w14:textId="77777777" w:rsidR="00B45D2F" w:rsidRDefault="00B45D2F" w:rsidP="00EC2B03">
            <w:pPr>
              <w:cnfStyle w:val="000000100000" w:firstRow="0" w:lastRow="0" w:firstColumn="0" w:lastColumn="0" w:oddVBand="0" w:evenVBand="0" w:oddHBand="1" w:evenHBand="0" w:firstRowFirstColumn="0" w:firstRowLastColumn="0" w:lastRowFirstColumn="0" w:lastRowLastColumn="0"/>
              <w:rPr>
                <w:rFonts w:cs="Arial"/>
              </w:rPr>
            </w:pPr>
          </w:p>
          <w:p w14:paraId="5BE45245" w14:textId="77777777" w:rsidR="00B45D2F" w:rsidRDefault="00B45D2F" w:rsidP="00EC2B03">
            <w:pPr>
              <w:cnfStyle w:val="000000100000" w:firstRow="0" w:lastRow="0" w:firstColumn="0" w:lastColumn="0" w:oddVBand="0" w:evenVBand="0" w:oddHBand="1" w:evenHBand="0" w:firstRowFirstColumn="0" w:firstRowLastColumn="0" w:lastRowFirstColumn="0" w:lastRowLastColumn="0"/>
              <w:rPr>
                <w:rFonts w:cs="Arial"/>
              </w:rPr>
            </w:pPr>
          </w:p>
          <w:p w14:paraId="1DB1636D" w14:textId="70725FB0" w:rsidR="00456819" w:rsidRPr="008F4A4D" w:rsidRDefault="00456819" w:rsidP="00EC2B0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343" w:type="dxa"/>
          </w:tcPr>
          <w:p w14:paraId="39401AAC" w14:textId="77777777" w:rsidR="00456819" w:rsidRPr="008F4A4D" w:rsidRDefault="00456819" w:rsidP="00EC2B03">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bl>
    <w:p w14:paraId="1F4FEDA6" w14:textId="77777777" w:rsidR="00AE4E36" w:rsidRPr="00C10415" w:rsidRDefault="00AE4E36" w:rsidP="00C10415">
      <w:pPr>
        <w:rPr>
          <w:lang w:val="en-AU"/>
        </w:rPr>
      </w:pPr>
    </w:p>
    <w:sectPr w:rsidR="00AE4E36" w:rsidRPr="00C10415" w:rsidSect="00EC2B0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B0E63" w14:textId="77777777" w:rsidR="00403DDB" w:rsidRDefault="00403DDB" w:rsidP="003A5358">
      <w:r>
        <w:separator/>
      </w:r>
    </w:p>
  </w:endnote>
  <w:endnote w:type="continuationSeparator" w:id="0">
    <w:p w14:paraId="317ED4A6" w14:textId="77777777" w:rsidR="00403DDB" w:rsidRDefault="00403DDB"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279A" w14:textId="77777777" w:rsidR="00A460A7" w:rsidRDefault="00A46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5DC0" w14:textId="77777777" w:rsidR="00403DDB" w:rsidRDefault="00403DDB" w:rsidP="00057479">
    <w:pPr>
      <w:pStyle w:val="Classification"/>
    </w:pPr>
    <w:r>
      <w:rPr>
        <w:noProof/>
        <w:lang w:val="en-AU" w:eastAsia="en-AU"/>
      </w:rPr>
      <w:drawing>
        <wp:anchor distT="0" distB="0" distL="114300" distR="114300" simplePos="0" relativeHeight="251657216" behindDoc="1" locked="0" layoutInCell="1" allowOverlap="1" wp14:anchorId="232EE034" wp14:editId="585BDE84">
          <wp:simplePos x="0" y="0"/>
          <wp:positionH relativeFrom="page">
            <wp:posOffset>723900</wp:posOffset>
          </wp:positionH>
          <wp:positionV relativeFrom="page">
            <wp:posOffset>10156190</wp:posOffset>
          </wp:positionV>
          <wp:extent cx="6119495" cy="382270"/>
          <wp:effectExtent l="0" t="0" r="0" b="0"/>
          <wp:wrapNone/>
          <wp:docPr id="66" name="Picture 6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14:paraId="482C4D04" w14:textId="1CE44073" w:rsidR="00403DDB" w:rsidRDefault="00403DDB"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A460A7">
      <w:rPr>
        <w:rStyle w:val="PageNumber"/>
        <w:noProof/>
      </w:rPr>
      <w:t>4</w:t>
    </w:r>
    <w:r w:rsidRPr="00B92E1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DB2F" w14:textId="375A67D5" w:rsidR="00403DDB" w:rsidRDefault="00403DDB" w:rsidP="003A5358">
    <w:pPr>
      <w:pStyle w:val="Footer"/>
    </w:pPr>
    <w:r>
      <w:rPr>
        <w:noProof/>
        <w:lang w:val="en-AU" w:eastAsia="en-AU"/>
      </w:rPr>
      <w:drawing>
        <wp:anchor distT="0" distB="0" distL="114300" distR="114300" simplePos="0" relativeHeight="251663360" behindDoc="1" locked="0" layoutInCell="1" allowOverlap="1" wp14:anchorId="0BC4A3D8" wp14:editId="11CE5A2E">
          <wp:simplePos x="0" y="0"/>
          <wp:positionH relativeFrom="page">
            <wp:posOffset>723900</wp:posOffset>
          </wp:positionH>
          <wp:positionV relativeFrom="page">
            <wp:posOffset>10149840</wp:posOffset>
          </wp:positionV>
          <wp:extent cx="6119495" cy="382270"/>
          <wp:effectExtent l="0" t="0" r="0" b="0"/>
          <wp:wrapNone/>
          <wp:docPr id="68" name="Picture 6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A460A7">
      <w:rPr>
        <w:rStyle w:val="PageNumber"/>
        <w:noProof/>
      </w:rPr>
      <w:t>1</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E0E" w14:textId="77777777" w:rsidR="00403DDB" w:rsidRPr="008C5A0E" w:rsidRDefault="00403DDB" w:rsidP="003A5358">
      <w:pPr>
        <w:pStyle w:val="FootnoteSeparator"/>
      </w:pPr>
    </w:p>
  </w:footnote>
  <w:footnote w:type="continuationSeparator" w:id="0">
    <w:p w14:paraId="161ED927" w14:textId="77777777" w:rsidR="00403DDB" w:rsidRDefault="00403DDB"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8B55" w14:textId="77777777" w:rsidR="00A460A7" w:rsidRDefault="00A46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867F" w14:textId="77777777" w:rsidR="00403DDB" w:rsidRPr="00806503" w:rsidRDefault="00403DDB" w:rsidP="00057479">
    <w:pPr>
      <w:pStyle w:val="Classification"/>
    </w:pPr>
    <w:r>
      <w:rPr>
        <w:noProof/>
        <w:lang w:val="en-AU" w:eastAsia="en-AU"/>
      </w:rPr>
      <w:drawing>
        <wp:anchor distT="0" distB="0" distL="114300" distR="114300" simplePos="0" relativeHeight="251662336" behindDoc="1" locked="0" layoutInCell="1" allowOverlap="1" wp14:anchorId="44FDA7BE" wp14:editId="4E5BE980">
          <wp:simplePos x="0" y="0"/>
          <wp:positionH relativeFrom="page">
            <wp:posOffset>723900</wp:posOffset>
          </wp:positionH>
          <wp:positionV relativeFrom="page">
            <wp:posOffset>180975</wp:posOffset>
          </wp:positionV>
          <wp:extent cx="6116448" cy="504825"/>
          <wp:effectExtent l="0" t="0" r="0" b="0"/>
          <wp:wrapNone/>
          <wp:docPr id="65" name="Picture 6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121280" cy="5052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EEAB" w14:textId="77777777" w:rsidR="00403DDB" w:rsidRDefault="00403DDB" w:rsidP="003A5358">
    <w:pPr>
      <w:pStyle w:val="Header"/>
    </w:pPr>
    <w:r>
      <w:rPr>
        <w:noProof/>
        <w:lang w:val="en-AU" w:eastAsia="en-AU"/>
      </w:rPr>
      <w:drawing>
        <wp:anchor distT="0" distB="0" distL="114300" distR="114300" simplePos="0" relativeHeight="251666432" behindDoc="1" locked="0" layoutInCell="1" allowOverlap="1" wp14:anchorId="57744D8F" wp14:editId="0C6F08C4">
          <wp:simplePos x="0" y="0"/>
          <wp:positionH relativeFrom="page">
            <wp:posOffset>180975</wp:posOffset>
          </wp:positionH>
          <wp:positionV relativeFrom="page">
            <wp:posOffset>180975</wp:posOffset>
          </wp:positionV>
          <wp:extent cx="7198601" cy="866775"/>
          <wp:effectExtent l="0" t="0" r="2540" b="0"/>
          <wp:wrapNone/>
          <wp:docPr id="67" name="Picture 6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PT-Aqua-H1-1stPageHeader.png"/>
                  <pic:cNvPicPr/>
                </pic:nvPicPr>
                <pic:blipFill>
                  <a:blip r:embed="rId1">
                    <a:extLst>
                      <a:ext uri="{28A0092B-C50C-407E-A947-70E740481C1C}">
                        <a14:useLocalDpi xmlns:a14="http://schemas.microsoft.com/office/drawing/2010/main" val="0"/>
                      </a:ext>
                    </a:extLst>
                  </a:blip>
                  <a:stretch>
                    <a:fillRect/>
                  </a:stretch>
                </pic:blipFill>
                <pic:spPr>
                  <a:xfrm>
                    <a:off x="0" y="0"/>
                    <a:ext cx="7208194" cy="867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5"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6"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D56043A"/>
    <w:multiLevelType w:val="multilevel"/>
    <w:tmpl w:val="69AEB596"/>
    <w:numStyleLink w:val="BulletsList"/>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E3A0F87"/>
    <w:multiLevelType w:val="multilevel"/>
    <w:tmpl w:val="7B2833DE"/>
    <w:lvl w:ilvl="0">
      <w:start w:val="2"/>
      <w:numFmt w:val="decimal"/>
      <w:pStyle w:val="AfterFirstPara"/>
      <w:lvlText w:val="%1."/>
      <w:lvlJc w:val="left"/>
      <w:pPr>
        <w:tabs>
          <w:tab w:val="num" w:pos="567"/>
        </w:tabs>
        <w:ind w:left="0" w:firstLine="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0E2ABC"/>
    <w:multiLevelType w:val="multilevel"/>
    <w:tmpl w:val="3BBAD900"/>
    <w:numStyleLink w:val="HeadingsList"/>
  </w:abstractNum>
  <w:abstractNum w:abstractNumId="14"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1"/>
  </w:num>
  <w:num w:numId="3">
    <w:abstractNumId w:val="6"/>
  </w:num>
  <w:num w:numId="4">
    <w:abstractNumId w:val="7"/>
  </w:num>
  <w:num w:numId="5">
    <w:abstractNumId w:val="10"/>
  </w:num>
  <w:num w:numId="6">
    <w:abstractNumId w:val="1"/>
  </w:num>
  <w:num w:numId="7">
    <w:abstractNumId w:val="3"/>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F6"/>
    <w:rsid w:val="00013F0E"/>
    <w:rsid w:val="0001666A"/>
    <w:rsid w:val="0001758F"/>
    <w:rsid w:val="0002080A"/>
    <w:rsid w:val="0002336C"/>
    <w:rsid w:val="00025D1E"/>
    <w:rsid w:val="00027287"/>
    <w:rsid w:val="0002782F"/>
    <w:rsid w:val="000356C3"/>
    <w:rsid w:val="000372E5"/>
    <w:rsid w:val="00040A8B"/>
    <w:rsid w:val="0004319A"/>
    <w:rsid w:val="00047307"/>
    <w:rsid w:val="000524C5"/>
    <w:rsid w:val="00054E4D"/>
    <w:rsid w:val="00057479"/>
    <w:rsid w:val="00060073"/>
    <w:rsid w:val="00061316"/>
    <w:rsid w:val="00064004"/>
    <w:rsid w:val="00067916"/>
    <w:rsid w:val="000972FD"/>
    <w:rsid w:val="000A7FA1"/>
    <w:rsid w:val="000B3155"/>
    <w:rsid w:val="000B321A"/>
    <w:rsid w:val="000B5035"/>
    <w:rsid w:val="000C3638"/>
    <w:rsid w:val="000C7D10"/>
    <w:rsid w:val="000D53CF"/>
    <w:rsid w:val="000E79F6"/>
    <w:rsid w:val="000F12F0"/>
    <w:rsid w:val="000F2A97"/>
    <w:rsid w:val="00101A68"/>
    <w:rsid w:val="00105094"/>
    <w:rsid w:val="001055F8"/>
    <w:rsid w:val="0011276D"/>
    <w:rsid w:val="001156F1"/>
    <w:rsid w:val="001250CF"/>
    <w:rsid w:val="00125E4E"/>
    <w:rsid w:val="0013615E"/>
    <w:rsid w:val="00141E3E"/>
    <w:rsid w:val="00146016"/>
    <w:rsid w:val="0015356B"/>
    <w:rsid w:val="001541EA"/>
    <w:rsid w:val="00156A3D"/>
    <w:rsid w:val="00157C34"/>
    <w:rsid w:val="00157CF5"/>
    <w:rsid w:val="00165400"/>
    <w:rsid w:val="00176E78"/>
    <w:rsid w:val="00177828"/>
    <w:rsid w:val="00180A5F"/>
    <w:rsid w:val="00196DE3"/>
    <w:rsid w:val="001A79DE"/>
    <w:rsid w:val="001C013B"/>
    <w:rsid w:val="001C26D1"/>
    <w:rsid w:val="001C2CE5"/>
    <w:rsid w:val="001C5C4C"/>
    <w:rsid w:val="001C7935"/>
    <w:rsid w:val="001D36D7"/>
    <w:rsid w:val="001D4767"/>
    <w:rsid w:val="001D663E"/>
    <w:rsid w:val="001E0D37"/>
    <w:rsid w:val="001E1DC0"/>
    <w:rsid w:val="00203BF7"/>
    <w:rsid w:val="00211D58"/>
    <w:rsid w:val="0022167B"/>
    <w:rsid w:val="0022186C"/>
    <w:rsid w:val="0023481D"/>
    <w:rsid w:val="00234A59"/>
    <w:rsid w:val="00235580"/>
    <w:rsid w:val="00240892"/>
    <w:rsid w:val="0024653B"/>
    <w:rsid w:val="00253405"/>
    <w:rsid w:val="002573DB"/>
    <w:rsid w:val="00260099"/>
    <w:rsid w:val="002607B0"/>
    <w:rsid w:val="00271503"/>
    <w:rsid w:val="00272B56"/>
    <w:rsid w:val="00276B76"/>
    <w:rsid w:val="00283EFE"/>
    <w:rsid w:val="00285C95"/>
    <w:rsid w:val="0028602A"/>
    <w:rsid w:val="00286EDD"/>
    <w:rsid w:val="002921CE"/>
    <w:rsid w:val="0029542A"/>
    <w:rsid w:val="002B1079"/>
    <w:rsid w:val="002B22C4"/>
    <w:rsid w:val="002C0C6F"/>
    <w:rsid w:val="002C1EB6"/>
    <w:rsid w:val="002D3C54"/>
    <w:rsid w:val="002D43C3"/>
    <w:rsid w:val="002D484F"/>
    <w:rsid w:val="002D5825"/>
    <w:rsid w:val="002F1BDC"/>
    <w:rsid w:val="002F782D"/>
    <w:rsid w:val="003002C0"/>
    <w:rsid w:val="00301144"/>
    <w:rsid w:val="00302E4B"/>
    <w:rsid w:val="0031097F"/>
    <w:rsid w:val="0031432C"/>
    <w:rsid w:val="003148B7"/>
    <w:rsid w:val="003158C3"/>
    <w:rsid w:val="00317188"/>
    <w:rsid w:val="003274CD"/>
    <w:rsid w:val="00332FA2"/>
    <w:rsid w:val="00333501"/>
    <w:rsid w:val="00337B31"/>
    <w:rsid w:val="00337D35"/>
    <w:rsid w:val="00343E2A"/>
    <w:rsid w:val="003457C4"/>
    <w:rsid w:val="003508A8"/>
    <w:rsid w:val="0035119D"/>
    <w:rsid w:val="0035513B"/>
    <w:rsid w:val="00355610"/>
    <w:rsid w:val="003567C7"/>
    <w:rsid w:val="00363B3C"/>
    <w:rsid w:val="003653B1"/>
    <w:rsid w:val="00367856"/>
    <w:rsid w:val="00376B70"/>
    <w:rsid w:val="0038203A"/>
    <w:rsid w:val="00383B26"/>
    <w:rsid w:val="00392BFF"/>
    <w:rsid w:val="003A5358"/>
    <w:rsid w:val="003A5CD1"/>
    <w:rsid w:val="003B4F12"/>
    <w:rsid w:val="003B7805"/>
    <w:rsid w:val="003D4F79"/>
    <w:rsid w:val="003D7D08"/>
    <w:rsid w:val="003D7F56"/>
    <w:rsid w:val="003E038E"/>
    <w:rsid w:val="003E0442"/>
    <w:rsid w:val="003E32FA"/>
    <w:rsid w:val="003F163B"/>
    <w:rsid w:val="003F2F48"/>
    <w:rsid w:val="003F3DE0"/>
    <w:rsid w:val="003F525E"/>
    <w:rsid w:val="00403DDB"/>
    <w:rsid w:val="0041430C"/>
    <w:rsid w:val="004144E9"/>
    <w:rsid w:val="004203A3"/>
    <w:rsid w:val="0042098F"/>
    <w:rsid w:val="004215E7"/>
    <w:rsid w:val="004230ED"/>
    <w:rsid w:val="00423F31"/>
    <w:rsid w:val="0042455D"/>
    <w:rsid w:val="00425CB9"/>
    <w:rsid w:val="00426C51"/>
    <w:rsid w:val="004270F9"/>
    <w:rsid w:val="00427B4D"/>
    <w:rsid w:val="00431899"/>
    <w:rsid w:val="00436291"/>
    <w:rsid w:val="00437A5A"/>
    <w:rsid w:val="00456819"/>
    <w:rsid w:val="00467695"/>
    <w:rsid w:val="0047483B"/>
    <w:rsid w:val="0047491E"/>
    <w:rsid w:val="004778BE"/>
    <w:rsid w:val="0048174A"/>
    <w:rsid w:val="00481CA0"/>
    <w:rsid w:val="00486804"/>
    <w:rsid w:val="00486BA0"/>
    <w:rsid w:val="00495F8E"/>
    <w:rsid w:val="00496CC8"/>
    <w:rsid w:val="004971E7"/>
    <w:rsid w:val="004A3947"/>
    <w:rsid w:val="004B3775"/>
    <w:rsid w:val="004D0AEE"/>
    <w:rsid w:val="004D336E"/>
    <w:rsid w:val="004D633C"/>
    <w:rsid w:val="004E058F"/>
    <w:rsid w:val="004E3B87"/>
    <w:rsid w:val="004E7E9F"/>
    <w:rsid w:val="004F2CEC"/>
    <w:rsid w:val="00501EA3"/>
    <w:rsid w:val="0050405D"/>
    <w:rsid w:val="00510921"/>
    <w:rsid w:val="00510AD3"/>
    <w:rsid w:val="00513348"/>
    <w:rsid w:val="00521B2A"/>
    <w:rsid w:val="00533B5D"/>
    <w:rsid w:val="00534683"/>
    <w:rsid w:val="00534BE6"/>
    <w:rsid w:val="00536F42"/>
    <w:rsid w:val="00547289"/>
    <w:rsid w:val="00552BFE"/>
    <w:rsid w:val="005536C4"/>
    <w:rsid w:val="0056172E"/>
    <w:rsid w:val="0057225D"/>
    <w:rsid w:val="00580BDB"/>
    <w:rsid w:val="0058458D"/>
    <w:rsid w:val="0058530D"/>
    <w:rsid w:val="00596DED"/>
    <w:rsid w:val="005A3526"/>
    <w:rsid w:val="005B583F"/>
    <w:rsid w:val="005C18AC"/>
    <w:rsid w:val="005C4B23"/>
    <w:rsid w:val="005C70FA"/>
    <w:rsid w:val="005D0990"/>
    <w:rsid w:val="005D1E4D"/>
    <w:rsid w:val="005D6697"/>
    <w:rsid w:val="005E295B"/>
    <w:rsid w:val="005F0701"/>
    <w:rsid w:val="005F1D57"/>
    <w:rsid w:val="00617926"/>
    <w:rsid w:val="006222A8"/>
    <w:rsid w:val="00623BA1"/>
    <w:rsid w:val="00627558"/>
    <w:rsid w:val="006346BC"/>
    <w:rsid w:val="006421CF"/>
    <w:rsid w:val="00655169"/>
    <w:rsid w:val="0065749D"/>
    <w:rsid w:val="00660AF5"/>
    <w:rsid w:val="00661748"/>
    <w:rsid w:val="00663BB9"/>
    <w:rsid w:val="0066533B"/>
    <w:rsid w:val="0066652A"/>
    <w:rsid w:val="00682167"/>
    <w:rsid w:val="00686E76"/>
    <w:rsid w:val="00687B3B"/>
    <w:rsid w:val="006922D7"/>
    <w:rsid w:val="006955FB"/>
    <w:rsid w:val="006B0E2A"/>
    <w:rsid w:val="006C3042"/>
    <w:rsid w:val="006C42AF"/>
    <w:rsid w:val="006C483E"/>
    <w:rsid w:val="006D3831"/>
    <w:rsid w:val="006E2A12"/>
    <w:rsid w:val="006F0606"/>
    <w:rsid w:val="006F682D"/>
    <w:rsid w:val="00700B3A"/>
    <w:rsid w:val="00706FDE"/>
    <w:rsid w:val="007071DB"/>
    <w:rsid w:val="0071086E"/>
    <w:rsid w:val="00710AC4"/>
    <w:rsid w:val="00711D8E"/>
    <w:rsid w:val="00712672"/>
    <w:rsid w:val="00714D04"/>
    <w:rsid w:val="007217E9"/>
    <w:rsid w:val="007217FC"/>
    <w:rsid w:val="00731A39"/>
    <w:rsid w:val="00732CA1"/>
    <w:rsid w:val="00734E3F"/>
    <w:rsid w:val="00736985"/>
    <w:rsid w:val="007451B9"/>
    <w:rsid w:val="00745DF5"/>
    <w:rsid w:val="00750DBA"/>
    <w:rsid w:val="007538A5"/>
    <w:rsid w:val="00756044"/>
    <w:rsid w:val="0075794C"/>
    <w:rsid w:val="00761FBB"/>
    <w:rsid w:val="00774489"/>
    <w:rsid w:val="007806BC"/>
    <w:rsid w:val="00785854"/>
    <w:rsid w:val="007903D7"/>
    <w:rsid w:val="00794DDF"/>
    <w:rsid w:val="00794E78"/>
    <w:rsid w:val="0079738A"/>
    <w:rsid w:val="007A011C"/>
    <w:rsid w:val="007A34B5"/>
    <w:rsid w:val="007A7373"/>
    <w:rsid w:val="007B42BF"/>
    <w:rsid w:val="007B6200"/>
    <w:rsid w:val="007B634D"/>
    <w:rsid w:val="007C42D8"/>
    <w:rsid w:val="007D5DCF"/>
    <w:rsid w:val="007D60CC"/>
    <w:rsid w:val="007E2357"/>
    <w:rsid w:val="007E2535"/>
    <w:rsid w:val="007E3380"/>
    <w:rsid w:val="007F3395"/>
    <w:rsid w:val="007F3779"/>
    <w:rsid w:val="00801B9F"/>
    <w:rsid w:val="00806503"/>
    <w:rsid w:val="00806757"/>
    <w:rsid w:val="00823FC8"/>
    <w:rsid w:val="0082741E"/>
    <w:rsid w:val="00834336"/>
    <w:rsid w:val="00840942"/>
    <w:rsid w:val="0085011E"/>
    <w:rsid w:val="0085662B"/>
    <w:rsid w:val="00875F79"/>
    <w:rsid w:val="008830D2"/>
    <w:rsid w:val="00892441"/>
    <w:rsid w:val="008A0512"/>
    <w:rsid w:val="008A217A"/>
    <w:rsid w:val="008A2D70"/>
    <w:rsid w:val="008A3185"/>
    <w:rsid w:val="008B1882"/>
    <w:rsid w:val="008B24F6"/>
    <w:rsid w:val="008B3A67"/>
    <w:rsid w:val="008C1BE4"/>
    <w:rsid w:val="008C455D"/>
    <w:rsid w:val="008C5A0E"/>
    <w:rsid w:val="008E032F"/>
    <w:rsid w:val="008F4066"/>
    <w:rsid w:val="008F4798"/>
    <w:rsid w:val="008F4A4D"/>
    <w:rsid w:val="008F516A"/>
    <w:rsid w:val="009057EA"/>
    <w:rsid w:val="00912F0A"/>
    <w:rsid w:val="00924EB1"/>
    <w:rsid w:val="009308B7"/>
    <w:rsid w:val="00961895"/>
    <w:rsid w:val="00971905"/>
    <w:rsid w:val="009767DC"/>
    <w:rsid w:val="00982A5F"/>
    <w:rsid w:val="009946C6"/>
    <w:rsid w:val="009A1EE6"/>
    <w:rsid w:val="009A4CDE"/>
    <w:rsid w:val="009A60A0"/>
    <w:rsid w:val="009B12CA"/>
    <w:rsid w:val="009B4D3B"/>
    <w:rsid w:val="009C0928"/>
    <w:rsid w:val="009C6BCD"/>
    <w:rsid w:val="009C6D70"/>
    <w:rsid w:val="009D3402"/>
    <w:rsid w:val="009D68BB"/>
    <w:rsid w:val="009D7407"/>
    <w:rsid w:val="009E0866"/>
    <w:rsid w:val="009E25BF"/>
    <w:rsid w:val="009E44EA"/>
    <w:rsid w:val="009F6423"/>
    <w:rsid w:val="00A02111"/>
    <w:rsid w:val="00A04166"/>
    <w:rsid w:val="00A06BE8"/>
    <w:rsid w:val="00A13E4D"/>
    <w:rsid w:val="00A1561E"/>
    <w:rsid w:val="00A161CD"/>
    <w:rsid w:val="00A24100"/>
    <w:rsid w:val="00A2486C"/>
    <w:rsid w:val="00A24A62"/>
    <w:rsid w:val="00A3022D"/>
    <w:rsid w:val="00A3043C"/>
    <w:rsid w:val="00A31C9F"/>
    <w:rsid w:val="00A33827"/>
    <w:rsid w:val="00A33A72"/>
    <w:rsid w:val="00A3732B"/>
    <w:rsid w:val="00A376D2"/>
    <w:rsid w:val="00A4144F"/>
    <w:rsid w:val="00A44AC6"/>
    <w:rsid w:val="00A460A7"/>
    <w:rsid w:val="00A51B45"/>
    <w:rsid w:val="00A5609A"/>
    <w:rsid w:val="00A61D28"/>
    <w:rsid w:val="00A6241D"/>
    <w:rsid w:val="00A62CC4"/>
    <w:rsid w:val="00A65F96"/>
    <w:rsid w:val="00A745FC"/>
    <w:rsid w:val="00A75A27"/>
    <w:rsid w:val="00A7720D"/>
    <w:rsid w:val="00A90510"/>
    <w:rsid w:val="00A940AA"/>
    <w:rsid w:val="00A975BE"/>
    <w:rsid w:val="00AB388E"/>
    <w:rsid w:val="00AC164A"/>
    <w:rsid w:val="00AC4620"/>
    <w:rsid w:val="00AC5C34"/>
    <w:rsid w:val="00AC5DC8"/>
    <w:rsid w:val="00AE3E05"/>
    <w:rsid w:val="00AE4E36"/>
    <w:rsid w:val="00AE746A"/>
    <w:rsid w:val="00AF2050"/>
    <w:rsid w:val="00AF5A66"/>
    <w:rsid w:val="00AF6D5E"/>
    <w:rsid w:val="00B03CA8"/>
    <w:rsid w:val="00B13B4F"/>
    <w:rsid w:val="00B13C94"/>
    <w:rsid w:val="00B15FC6"/>
    <w:rsid w:val="00B34059"/>
    <w:rsid w:val="00B35911"/>
    <w:rsid w:val="00B45D2F"/>
    <w:rsid w:val="00B50F8E"/>
    <w:rsid w:val="00B55E19"/>
    <w:rsid w:val="00B6075D"/>
    <w:rsid w:val="00B66BDC"/>
    <w:rsid w:val="00B6782A"/>
    <w:rsid w:val="00B71158"/>
    <w:rsid w:val="00B76749"/>
    <w:rsid w:val="00B76C71"/>
    <w:rsid w:val="00B851FD"/>
    <w:rsid w:val="00B92E1E"/>
    <w:rsid w:val="00BA31A7"/>
    <w:rsid w:val="00BA4B6D"/>
    <w:rsid w:val="00BA5D1A"/>
    <w:rsid w:val="00BB19CD"/>
    <w:rsid w:val="00BB26C5"/>
    <w:rsid w:val="00BB567A"/>
    <w:rsid w:val="00BC25E7"/>
    <w:rsid w:val="00BD0B99"/>
    <w:rsid w:val="00BE0891"/>
    <w:rsid w:val="00BE1FFF"/>
    <w:rsid w:val="00BF14D0"/>
    <w:rsid w:val="00BF27EF"/>
    <w:rsid w:val="00BF29D2"/>
    <w:rsid w:val="00BF3A17"/>
    <w:rsid w:val="00BF4DE6"/>
    <w:rsid w:val="00BF57D1"/>
    <w:rsid w:val="00C00C98"/>
    <w:rsid w:val="00C02C7D"/>
    <w:rsid w:val="00C04CAA"/>
    <w:rsid w:val="00C0613F"/>
    <w:rsid w:val="00C10415"/>
    <w:rsid w:val="00C13C7E"/>
    <w:rsid w:val="00C16478"/>
    <w:rsid w:val="00C33A9C"/>
    <w:rsid w:val="00C3731C"/>
    <w:rsid w:val="00C37B03"/>
    <w:rsid w:val="00C40091"/>
    <w:rsid w:val="00C42CDE"/>
    <w:rsid w:val="00C56290"/>
    <w:rsid w:val="00C63EE9"/>
    <w:rsid w:val="00C6401B"/>
    <w:rsid w:val="00C65C11"/>
    <w:rsid w:val="00C86007"/>
    <w:rsid w:val="00C96797"/>
    <w:rsid w:val="00CA37B1"/>
    <w:rsid w:val="00CA6EC9"/>
    <w:rsid w:val="00CB1959"/>
    <w:rsid w:val="00CC18E5"/>
    <w:rsid w:val="00CC431B"/>
    <w:rsid w:val="00CC531A"/>
    <w:rsid w:val="00CD2F34"/>
    <w:rsid w:val="00CD60B1"/>
    <w:rsid w:val="00CE2F1B"/>
    <w:rsid w:val="00CE321B"/>
    <w:rsid w:val="00CE6181"/>
    <w:rsid w:val="00CF280B"/>
    <w:rsid w:val="00D018D0"/>
    <w:rsid w:val="00D0296C"/>
    <w:rsid w:val="00D042D3"/>
    <w:rsid w:val="00D07E78"/>
    <w:rsid w:val="00D12225"/>
    <w:rsid w:val="00D12D89"/>
    <w:rsid w:val="00D17E7D"/>
    <w:rsid w:val="00D203EB"/>
    <w:rsid w:val="00D2248F"/>
    <w:rsid w:val="00D22A81"/>
    <w:rsid w:val="00D40C15"/>
    <w:rsid w:val="00D41A45"/>
    <w:rsid w:val="00D41E2A"/>
    <w:rsid w:val="00D44758"/>
    <w:rsid w:val="00D44F25"/>
    <w:rsid w:val="00D500E9"/>
    <w:rsid w:val="00D509F3"/>
    <w:rsid w:val="00D5556A"/>
    <w:rsid w:val="00D57616"/>
    <w:rsid w:val="00D61576"/>
    <w:rsid w:val="00D65170"/>
    <w:rsid w:val="00D70E73"/>
    <w:rsid w:val="00D9353F"/>
    <w:rsid w:val="00D94329"/>
    <w:rsid w:val="00DA024F"/>
    <w:rsid w:val="00DB0239"/>
    <w:rsid w:val="00DB59CD"/>
    <w:rsid w:val="00DB6402"/>
    <w:rsid w:val="00DB792F"/>
    <w:rsid w:val="00DC5265"/>
    <w:rsid w:val="00DD420C"/>
    <w:rsid w:val="00DD44EA"/>
    <w:rsid w:val="00E03461"/>
    <w:rsid w:val="00E03E92"/>
    <w:rsid w:val="00E04AC1"/>
    <w:rsid w:val="00E10987"/>
    <w:rsid w:val="00E1612F"/>
    <w:rsid w:val="00E16D17"/>
    <w:rsid w:val="00E26E94"/>
    <w:rsid w:val="00E3368B"/>
    <w:rsid w:val="00E357B7"/>
    <w:rsid w:val="00E377D5"/>
    <w:rsid w:val="00E37B70"/>
    <w:rsid w:val="00E400C3"/>
    <w:rsid w:val="00E41B0A"/>
    <w:rsid w:val="00E461B5"/>
    <w:rsid w:val="00E4629C"/>
    <w:rsid w:val="00E53800"/>
    <w:rsid w:val="00E55AF3"/>
    <w:rsid w:val="00E6081F"/>
    <w:rsid w:val="00E62377"/>
    <w:rsid w:val="00E62925"/>
    <w:rsid w:val="00E6753E"/>
    <w:rsid w:val="00E8026F"/>
    <w:rsid w:val="00E82491"/>
    <w:rsid w:val="00E82F47"/>
    <w:rsid w:val="00E839A4"/>
    <w:rsid w:val="00E86EFA"/>
    <w:rsid w:val="00E91D1D"/>
    <w:rsid w:val="00E928D7"/>
    <w:rsid w:val="00E9392A"/>
    <w:rsid w:val="00EA04B2"/>
    <w:rsid w:val="00EA0BCE"/>
    <w:rsid w:val="00EA20F3"/>
    <w:rsid w:val="00EA3CFE"/>
    <w:rsid w:val="00EA5EDD"/>
    <w:rsid w:val="00EA7640"/>
    <w:rsid w:val="00EB6875"/>
    <w:rsid w:val="00EC2B03"/>
    <w:rsid w:val="00ED43D1"/>
    <w:rsid w:val="00ED5255"/>
    <w:rsid w:val="00ED75E2"/>
    <w:rsid w:val="00EE0D33"/>
    <w:rsid w:val="00EE4EE1"/>
    <w:rsid w:val="00EF23EA"/>
    <w:rsid w:val="00EF4574"/>
    <w:rsid w:val="00EF75BF"/>
    <w:rsid w:val="00F001F8"/>
    <w:rsid w:val="00F14C4A"/>
    <w:rsid w:val="00F1611E"/>
    <w:rsid w:val="00F20E5E"/>
    <w:rsid w:val="00F2684E"/>
    <w:rsid w:val="00F4791C"/>
    <w:rsid w:val="00F50744"/>
    <w:rsid w:val="00F5404C"/>
    <w:rsid w:val="00F6098C"/>
    <w:rsid w:val="00F60A2B"/>
    <w:rsid w:val="00F62971"/>
    <w:rsid w:val="00F63911"/>
    <w:rsid w:val="00F66D0E"/>
    <w:rsid w:val="00F729EF"/>
    <w:rsid w:val="00F75272"/>
    <w:rsid w:val="00F77CAE"/>
    <w:rsid w:val="00F810CD"/>
    <w:rsid w:val="00F8555B"/>
    <w:rsid w:val="00F958AE"/>
    <w:rsid w:val="00F96BB9"/>
    <w:rsid w:val="00FA6261"/>
    <w:rsid w:val="00FB7242"/>
    <w:rsid w:val="00FC1DEF"/>
    <w:rsid w:val="00FC750D"/>
    <w:rsid w:val="00FD1DF4"/>
    <w:rsid w:val="00FD22B7"/>
    <w:rsid w:val="00FD4C8E"/>
    <w:rsid w:val="00FE6D51"/>
    <w:rsid w:val="00FE7052"/>
    <w:rsid w:val="00FF4B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D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1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16"/>
      </w:numPr>
      <w:spacing w:after="60"/>
    </w:pPr>
    <w:rPr>
      <w:bCs/>
    </w:rPr>
  </w:style>
  <w:style w:type="paragraph" w:customStyle="1" w:styleId="Heading3Numbered">
    <w:name w:val="Heading 3 Numbered"/>
    <w:basedOn w:val="Heading3"/>
    <w:next w:val="Normal"/>
    <w:qFormat/>
    <w:rsid w:val="006D3831"/>
    <w:pPr>
      <w:numPr>
        <w:ilvl w:val="2"/>
        <w:numId w:val="16"/>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16"/>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basedOn w:val="DefaultParagraphFont"/>
    <w:link w:val="ListParagraph"/>
    <w:uiPriority w:val="34"/>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 w:type="paragraph" w:customStyle="1" w:styleId="AfterFirstPara">
    <w:name w:val="AfterFirstPara"/>
    <w:basedOn w:val="Normal"/>
    <w:rsid w:val="00C56290"/>
    <w:pPr>
      <w:numPr>
        <w:numId w:val="17"/>
      </w:numPr>
      <w:suppressAutoHyphens w:val="0"/>
      <w:spacing w:after="120" w:line="240" w:lineRule="auto"/>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40402373">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EFEBF1-FBAB-4B3A-8BFE-C6C10E6A90A0}"/>
</file>

<file path=customXml/itemProps2.xml><?xml version="1.0" encoding="utf-8"?>
<ds:datastoreItem xmlns:ds="http://schemas.openxmlformats.org/officeDocument/2006/customXml" ds:itemID="{3F827065-F462-42EF-BA75-758AEB834F66}"/>
</file>

<file path=customXml/itemProps3.xml><?xml version="1.0" encoding="utf-8"?>
<ds:datastoreItem xmlns:ds="http://schemas.openxmlformats.org/officeDocument/2006/customXml" ds:itemID="{442C331D-1B1F-4E29-AF92-172B2E895A76}"/>
</file>

<file path=customXml/itemProps4.xml><?xml version="1.0" encoding="utf-8"?>
<ds:datastoreItem xmlns:ds="http://schemas.openxmlformats.org/officeDocument/2006/customXml" ds:itemID="{53363E52-342A-4CF4-820E-A38D39D7BE44}"/>
</file>

<file path=docProps/app.xml><?xml version="1.0" encoding="utf-8"?>
<Properties xmlns="http://schemas.openxmlformats.org/officeDocument/2006/extended-properties" xmlns:vt="http://schemas.openxmlformats.org/officeDocument/2006/docPropsVTypes">
  <Template>Normal.dotm</Template>
  <TotalTime>0</TotalTime>
  <Pages>6</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In-Country Scholarships review and management response</dc:title>
  <dc:subject/>
  <dc:creator/>
  <cp:keywords/>
  <dc:description/>
  <cp:lastModifiedBy/>
  <cp:revision>1</cp:revision>
  <dcterms:created xsi:type="dcterms:W3CDTF">2017-09-28T22:58:00Z</dcterms:created>
  <dcterms:modified xsi:type="dcterms:W3CDTF">2017-09-28T22:58:00Z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cc342286-6791-40ac-a5ab-96aa48bbb524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1128600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