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C7" w:rsidRPr="00AA79C7" w:rsidRDefault="00CC122E" w:rsidP="002A3704">
      <w:pPr>
        <w:pStyle w:val="Heading3"/>
        <w:spacing w:before="0"/>
        <w:rPr>
          <w:b/>
        </w:rPr>
      </w:pPr>
      <w:bookmarkStart w:id="0" w:name="_GoBack"/>
      <w:bookmarkEnd w:id="0"/>
      <w:r>
        <w:rPr>
          <w:b/>
        </w:rPr>
        <w:t>Australia Awards Global Strategy Evaluation Report</w:t>
      </w:r>
      <w:r w:rsidR="002A3704">
        <w:rPr>
          <w:b/>
        </w:rPr>
        <w:t xml:space="preserve"> - </w:t>
      </w:r>
      <w:r w:rsidR="00AA79C7">
        <w:rPr>
          <w:b/>
        </w:rPr>
        <w:t>DFAT Management Response</w:t>
      </w:r>
    </w:p>
    <w:tbl>
      <w:tblPr>
        <w:tblStyle w:val="DFATTable1"/>
        <w:tblW w:w="14034"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946"/>
        <w:gridCol w:w="1468"/>
        <w:gridCol w:w="2976"/>
        <w:gridCol w:w="2644"/>
      </w:tblGrid>
      <w:tr w:rsidR="00AA79C7" w:rsidTr="001D7DD1">
        <w:trPr>
          <w:cnfStyle w:val="100000000000" w:firstRow="1" w:lastRow="0" w:firstColumn="0" w:lastColumn="0" w:oddVBand="0" w:evenVBand="0" w:oddHBand="0" w:evenHBand="0" w:firstRowFirstColumn="0" w:firstRowLastColumn="0" w:lastRowFirstColumn="0" w:lastRowLastColumn="0"/>
          <w:cantSplit/>
          <w:trHeight w:val="642"/>
        </w:trPr>
        <w:tc>
          <w:tcPr>
            <w:cnfStyle w:val="001000000000" w:firstRow="0" w:lastRow="0" w:firstColumn="1" w:lastColumn="0" w:oddVBand="0" w:evenVBand="0" w:oddHBand="0" w:evenHBand="0" w:firstRowFirstColumn="0" w:firstRowLastColumn="0" w:lastRowFirstColumn="0" w:lastRowLastColumn="0"/>
            <w:tcW w:w="6946" w:type="dxa"/>
            <w:hideMark/>
          </w:tcPr>
          <w:p w:rsidR="005A1593" w:rsidRPr="008A0512" w:rsidRDefault="005A1593" w:rsidP="006C67A7">
            <w:pPr>
              <w:pStyle w:val="TableHeaderRow"/>
            </w:pPr>
            <w:r w:rsidRPr="008A0512">
              <w:t>Recommendation</w:t>
            </w:r>
          </w:p>
        </w:tc>
        <w:tc>
          <w:tcPr>
            <w:tcW w:w="1468" w:type="dxa"/>
            <w:hideMark/>
          </w:tcPr>
          <w:p w:rsidR="005A1593" w:rsidRPr="008A0512" w:rsidRDefault="005A1593" w:rsidP="006C67A7">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2976" w:type="dxa"/>
            <w:hideMark/>
          </w:tcPr>
          <w:p w:rsidR="005A1593" w:rsidRPr="008A0512" w:rsidRDefault="005A1593" w:rsidP="006C67A7">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644" w:type="dxa"/>
            <w:hideMark/>
          </w:tcPr>
          <w:p w:rsidR="005A1593" w:rsidRPr="008A0512" w:rsidRDefault="005A1593" w:rsidP="006C67A7">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r>
      <w:tr w:rsidR="00AA79C7" w:rsidTr="001D7D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AD277B" w:rsidRPr="00617E89" w:rsidRDefault="005A1593" w:rsidP="000806CB">
            <w:pPr>
              <w:pStyle w:val="ListParagraph"/>
              <w:widowControl w:val="0"/>
              <w:tabs>
                <w:tab w:val="left" w:pos="519"/>
              </w:tabs>
              <w:suppressAutoHyphens w:val="0"/>
              <w:autoSpaceDE w:val="0"/>
              <w:autoSpaceDN w:val="0"/>
              <w:spacing w:before="0" w:after="0" w:line="276" w:lineRule="auto"/>
              <w:ind w:left="301" w:right="266"/>
              <w:contextualSpacing w:val="0"/>
              <w:rPr>
                <w:sz w:val="24"/>
                <w:szCs w:val="24"/>
                <w:lang w:val="en-AU"/>
              </w:rPr>
            </w:pPr>
            <w:r w:rsidRPr="00617E89">
              <w:rPr>
                <w:b/>
                <w:sz w:val="24"/>
                <w:szCs w:val="24"/>
              </w:rPr>
              <w:t>Recommendation 1</w:t>
            </w:r>
            <w:r w:rsidR="00645A74" w:rsidRPr="00617E89">
              <w:rPr>
                <w:b/>
                <w:sz w:val="24"/>
                <w:szCs w:val="24"/>
              </w:rPr>
              <w:t>:</w:t>
            </w:r>
            <w:r w:rsidRPr="00617E89">
              <w:rPr>
                <w:sz w:val="24"/>
                <w:szCs w:val="24"/>
              </w:rPr>
              <w:t xml:space="preserve"> </w:t>
            </w:r>
            <w:r w:rsidR="00CC122E" w:rsidRPr="00617E89">
              <w:rPr>
                <w:sz w:val="24"/>
                <w:szCs w:val="24"/>
              </w:rPr>
              <w:t xml:space="preserve">Reaffirm the general </w:t>
            </w:r>
            <w:r w:rsidR="000806CB">
              <w:rPr>
                <w:sz w:val="24"/>
                <w:szCs w:val="24"/>
              </w:rPr>
              <w:t>intention</w:t>
            </w:r>
            <w:r w:rsidR="00CC122E" w:rsidRPr="00617E89">
              <w:rPr>
                <w:sz w:val="24"/>
                <w:szCs w:val="24"/>
              </w:rPr>
              <w:t xml:space="preserve"> of the Australia Awards as a tool </w:t>
            </w:r>
            <w:r w:rsidR="000806CB">
              <w:rPr>
                <w:sz w:val="24"/>
                <w:szCs w:val="24"/>
              </w:rPr>
              <w:t>for building relationships while assisting partner governments to pursue development priorities</w:t>
            </w:r>
            <w:r w:rsidR="00CC122E" w:rsidRPr="00617E89">
              <w:rPr>
                <w:sz w:val="24"/>
                <w:szCs w:val="24"/>
              </w:rPr>
              <w:t>. Capture these symbiotic purposes in an overarching aim that makes the primary purpose</w:t>
            </w:r>
            <w:r w:rsidR="00CC122E" w:rsidRPr="00617E89">
              <w:rPr>
                <w:spacing w:val="-3"/>
                <w:sz w:val="24"/>
                <w:szCs w:val="24"/>
              </w:rPr>
              <w:t xml:space="preserve"> </w:t>
            </w:r>
            <w:r w:rsidR="00CC122E" w:rsidRPr="00617E89">
              <w:rPr>
                <w:sz w:val="24"/>
                <w:szCs w:val="24"/>
              </w:rPr>
              <w:t>clear.</w:t>
            </w:r>
          </w:p>
        </w:tc>
        <w:tc>
          <w:tcPr>
            <w:tcW w:w="1468" w:type="dxa"/>
            <w:shd w:val="clear" w:color="auto" w:fill="C9C9C9" w:themeFill="accent3" w:themeFillTint="99"/>
            <w:hideMark/>
          </w:tcPr>
          <w:p w:rsidR="005A1593" w:rsidRPr="008A0512" w:rsidRDefault="005A1593" w:rsidP="002A3704">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A0512">
              <w:rPr>
                <w:sz w:val="24"/>
                <w:szCs w:val="24"/>
              </w:rPr>
              <w:t xml:space="preserve">Agree </w:t>
            </w:r>
          </w:p>
        </w:tc>
        <w:tc>
          <w:tcPr>
            <w:tcW w:w="2976" w:type="dxa"/>
            <w:shd w:val="clear" w:color="auto" w:fill="BDD6EE" w:themeFill="accent1" w:themeFillTint="66"/>
          </w:tcPr>
          <w:p w:rsidR="005A1593" w:rsidRPr="005A1593" w:rsidRDefault="002936DC" w:rsidP="003F6C4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The refresh of the Australia Awards Global Strategy: 2019 – 2023 will </w:t>
            </w:r>
            <w:r w:rsidR="003F6C4A">
              <w:rPr>
                <w:rFonts w:asciiTheme="majorHAnsi" w:hAnsiTheme="majorHAnsi"/>
                <w:sz w:val="24"/>
                <w:szCs w:val="24"/>
              </w:rPr>
              <w:t>clarify</w:t>
            </w:r>
            <w:r>
              <w:rPr>
                <w:rFonts w:asciiTheme="majorHAnsi" w:hAnsiTheme="majorHAnsi"/>
                <w:sz w:val="24"/>
                <w:szCs w:val="24"/>
              </w:rPr>
              <w:t xml:space="preserve"> the goal of the investment </w:t>
            </w:r>
          </w:p>
        </w:tc>
        <w:tc>
          <w:tcPr>
            <w:tcW w:w="2644" w:type="dxa"/>
            <w:shd w:val="clear" w:color="auto" w:fill="9CC2E5" w:themeFill="accent1" w:themeFillTint="99"/>
          </w:tcPr>
          <w:p w:rsidR="005A1593" w:rsidRPr="00AA79C7" w:rsidRDefault="002936DC" w:rsidP="00D714B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Incorporate into new Strategy.</w:t>
            </w:r>
          </w:p>
        </w:tc>
      </w:tr>
      <w:tr w:rsidR="00AA79C7" w:rsidRPr="002A3704" w:rsidTr="001D7DD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hideMark/>
          </w:tcPr>
          <w:p w:rsidR="005A1593" w:rsidRPr="005A1593" w:rsidRDefault="005A1593" w:rsidP="002A3704">
            <w:pPr>
              <w:pStyle w:val="ListParagraph"/>
              <w:widowControl w:val="0"/>
              <w:tabs>
                <w:tab w:val="left" w:pos="519"/>
              </w:tabs>
              <w:suppressAutoHyphens w:val="0"/>
              <w:autoSpaceDE w:val="0"/>
              <w:autoSpaceDN w:val="0"/>
              <w:spacing w:before="0" w:after="0" w:line="276" w:lineRule="auto"/>
              <w:ind w:left="301" w:right="266"/>
              <w:contextualSpacing w:val="0"/>
              <w:rPr>
                <w:sz w:val="24"/>
                <w:szCs w:val="24"/>
              </w:rPr>
            </w:pPr>
            <w:r w:rsidRPr="002A3704">
              <w:rPr>
                <w:b/>
                <w:sz w:val="24"/>
                <w:szCs w:val="24"/>
              </w:rPr>
              <w:t>Recommendation 2</w:t>
            </w:r>
            <w:r w:rsidR="00645A74" w:rsidRPr="002A3704">
              <w:rPr>
                <w:b/>
                <w:sz w:val="24"/>
                <w:szCs w:val="24"/>
              </w:rPr>
              <w:t>:</w:t>
            </w:r>
            <w:r>
              <w:rPr>
                <w:sz w:val="24"/>
                <w:szCs w:val="24"/>
              </w:rPr>
              <w:t xml:space="preserve"> </w:t>
            </w:r>
            <w:r w:rsidR="00CC122E" w:rsidRPr="002936DC">
              <w:rPr>
                <w:sz w:val="24"/>
                <w:szCs w:val="24"/>
              </w:rPr>
              <w:t>Define the question of who the Australia Awards should be for, and which award modalities will be incorporated under the Australia Awards brand, using the process as a tool to build consensus.</w:t>
            </w:r>
          </w:p>
        </w:tc>
        <w:tc>
          <w:tcPr>
            <w:tcW w:w="1468" w:type="dxa"/>
            <w:shd w:val="clear" w:color="auto" w:fill="C9C9C9" w:themeFill="accent3" w:themeFillTint="99"/>
            <w:hideMark/>
          </w:tcPr>
          <w:p w:rsidR="005A1593" w:rsidRPr="008F4A4D" w:rsidRDefault="00AA79C7" w:rsidP="002A3704">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 in principle</w:t>
            </w:r>
            <w:r w:rsidR="005A1593" w:rsidRPr="008F4A4D">
              <w:rPr>
                <w:sz w:val="24"/>
                <w:szCs w:val="24"/>
              </w:rPr>
              <w:t xml:space="preserve"> </w:t>
            </w:r>
          </w:p>
        </w:tc>
        <w:tc>
          <w:tcPr>
            <w:tcW w:w="2976" w:type="dxa"/>
            <w:shd w:val="clear" w:color="auto" w:fill="DEEAF6" w:themeFill="accent1" w:themeFillTint="33"/>
          </w:tcPr>
          <w:p w:rsidR="005A1593" w:rsidRPr="002A3704" w:rsidRDefault="00AA79C7" w:rsidP="002A3704">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2A3704">
              <w:rPr>
                <w:rFonts w:asciiTheme="majorHAnsi" w:hAnsiTheme="majorHAnsi"/>
                <w:sz w:val="24"/>
                <w:szCs w:val="24"/>
              </w:rPr>
              <w:t>DFAT</w:t>
            </w:r>
            <w:r w:rsidR="002565F0" w:rsidRPr="002A3704">
              <w:rPr>
                <w:rFonts w:asciiTheme="majorHAnsi" w:hAnsiTheme="majorHAnsi"/>
                <w:sz w:val="24"/>
                <w:szCs w:val="24"/>
              </w:rPr>
              <w:t xml:space="preserve"> </w:t>
            </w:r>
            <w:r w:rsidR="002936DC" w:rsidRPr="002A3704">
              <w:rPr>
                <w:rFonts w:asciiTheme="majorHAnsi" w:hAnsiTheme="majorHAnsi"/>
                <w:sz w:val="24"/>
                <w:szCs w:val="24"/>
              </w:rPr>
              <w:t>will define the recipients and modalities as part of the next version of the Global Strategy.</w:t>
            </w:r>
          </w:p>
        </w:tc>
        <w:tc>
          <w:tcPr>
            <w:tcW w:w="2644" w:type="dxa"/>
            <w:shd w:val="clear" w:color="auto" w:fill="9CC2E5" w:themeFill="accent1" w:themeFillTint="99"/>
          </w:tcPr>
          <w:p w:rsidR="005A1593" w:rsidRPr="003F6C4A" w:rsidRDefault="002936DC" w:rsidP="002A3704">
            <w:pPr>
              <w:pStyle w:val="ListParagraph"/>
              <w:widowControl w:val="0"/>
              <w:tabs>
                <w:tab w:val="left" w:pos="519"/>
              </w:tabs>
              <w:suppressAutoHyphens w:val="0"/>
              <w:autoSpaceDE w:val="0"/>
              <w:autoSpaceDN w:val="0"/>
              <w:spacing w:before="0" w:after="0" w:line="276" w:lineRule="auto"/>
              <w:ind w:left="28" w:right="266"/>
              <w:contextualSpacing w:val="0"/>
              <w:cnfStyle w:val="000000010000" w:firstRow="0" w:lastRow="0" w:firstColumn="0" w:lastColumn="0" w:oddVBand="0" w:evenVBand="0" w:oddHBand="0" w:evenHBand="1" w:firstRowFirstColumn="0" w:firstRowLastColumn="0" w:lastRowFirstColumn="0" w:lastRowLastColumn="0"/>
              <w:rPr>
                <w:sz w:val="24"/>
                <w:szCs w:val="24"/>
              </w:rPr>
            </w:pPr>
            <w:r w:rsidRPr="003F6C4A">
              <w:rPr>
                <w:sz w:val="24"/>
                <w:szCs w:val="24"/>
              </w:rPr>
              <w:t>Incorporate into new Strategy.</w:t>
            </w:r>
          </w:p>
        </w:tc>
      </w:tr>
      <w:tr w:rsidR="00CC122E" w:rsidTr="001D7D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CC122E" w:rsidRPr="00CC122E" w:rsidRDefault="00CC122E" w:rsidP="003F6C4A">
            <w:pPr>
              <w:pStyle w:val="ListParagraph"/>
              <w:widowControl w:val="0"/>
              <w:tabs>
                <w:tab w:val="left" w:pos="519"/>
              </w:tabs>
              <w:suppressAutoHyphens w:val="0"/>
              <w:autoSpaceDE w:val="0"/>
              <w:autoSpaceDN w:val="0"/>
              <w:spacing w:before="0" w:after="0" w:line="240" w:lineRule="auto"/>
              <w:ind w:left="300" w:right="266"/>
              <w:contextualSpacing w:val="0"/>
              <w:rPr>
                <w:sz w:val="24"/>
                <w:szCs w:val="24"/>
              </w:rPr>
            </w:pPr>
            <w:r w:rsidRPr="002A3704">
              <w:rPr>
                <w:b/>
                <w:sz w:val="24"/>
                <w:szCs w:val="24"/>
              </w:rPr>
              <w:t>Recommendation 3:</w:t>
            </w:r>
            <w:r>
              <w:rPr>
                <w:sz w:val="24"/>
                <w:szCs w:val="24"/>
              </w:rPr>
              <w:t xml:space="preserve"> </w:t>
            </w:r>
            <w:r w:rsidRPr="00CC122E">
              <w:rPr>
                <w:sz w:val="24"/>
                <w:szCs w:val="24"/>
              </w:rPr>
              <w:t>Set and communicate direction through a Strategy document that:</w:t>
            </w:r>
          </w:p>
          <w:p w:rsidR="002936DC" w:rsidRDefault="00CC122E" w:rsidP="003F6C4A">
            <w:pPr>
              <w:pStyle w:val="ListParagraph"/>
              <w:widowControl w:val="0"/>
              <w:numPr>
                <w:ilvl w:val="0"/>
                <w:numId w:val="6"/>
              </w:numPr>
              <w:tabs>
                <w:tab w:val="left" w:pos="519"/>
              </w:tabs>
              <w:suppressAutoHyphens w:val="0"/>
              <w:autoSpaceDE w:val="0"/>
              <w:autoSpaceDN w:val="0"/>
              <w:spacing w:before="248" w:after="0" w:line="240" w:lineRule="auto"/>
              <w:ind w:right="266"/>
              <w:contextualSpacing w:val="0"/>
              <w:rPr>
                <w:sz w:val="24"/>
                <w:szCs w:val="24"/>
              </w:rPr>
            </w:pPr>
            <w:r w:rsidRPr="00CC122E">
              <w:rPr>
                <w:sz w:val="24"/>
                <w:szCs w:val="24"/>
              </w:rPr>
              <w:t>articula</w:t>
            </w:r>
            <w:r w:rsidR="003F6C4A">
              <w:rPr>
                <w:sz w:val="24"/>
                <w:szCs w:val="24"/>
              </w:rPr>
              <w:t>tes a clear picture of what the</w:t>
            </w:r>
            <w:r w:rsidRPr="00CC122E">
              <w:rPr>
                <w:sz w:val="24"/>
                <w:szCs w:val="24"/>
              </w:rPr>
              <w:t xml:space="preserve"> Australia Awards are and what they are </w:t>
            </w:r>
            <w:r w:rsidR="002936DC">
              <w:rPr>
                <w:sz w:val="24"/>
                <w:szCs w:val="24"/>
              </w:rPr>
              <w:t>not; and</w:t>
            </w:r>
          </w:p>
          <w:p w:rsidR="00CC122E" w:rsidRPr="008F4A4D" w:rsidRDefault="00CC122E" w:rsidP="009E64FB">
            <w:pPr>
              <w:pStyle w:val="ListParagraph"/>
              <w:widowControl w:val="0"/>
              <w:numPr>
                <w:ilvl w:val="0"/>
                <w:numId w:val="6"/>
              </w:numPr>
              <w:tabs>
                <w:tab w:val="left" w:pos="519"/>
              </w:tabs>
              <w:suppressAutoHyphens w:val="0"/>
              <w:autoSpaceDE w:val="0"/>
              <w:autoSpaceDN w:val="0"/>
              <w:spacing w:before="248" w:after="0" w:line="240" w:lineRule="auto"/>
              <w:ind w:right="266"/>
              <w:contextualSpacing w:val="0"/>
              <w:rPr>
                <w:sz w:val="24"/>
                <w:szCs w:val="24"/>
              </w:rPr>
            </w:pPr>
            <w:r w:rsidRPr="00CC122E">
              <w:rPr>
                <w:sz w:val="24"/>
                <w:szCs w:val="24"/>
              </w:rPr>
              <w:t>incorporate a strategic framework involving the aim, a small set of high level goals and associated objectives and a set of reworked guiding principles to inform decision making at every level of the investment.</w:t>
            </w:r>
          </w:p>
        </w:tc>
        <w:tc>
          <w:tcPr>
            <w:tcW w:w="1468" w:type="dxa"/>
            <w:shd w:val="clear" w:color="auto" w:fill="C9C9C9" w:themeFill="accent3" w:themeFillTint="99"/>
          </w:tcPr>
          <w:p w:rsidR="00CC122E" w:rsidRDefault="002936DC" w:rsidP="002A3704">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 in principle</w:t>
            </w:r>
          </w:p>
        </w:tc>
        <w:tc>
          <w:tcPr>
            <w:tcW w:w="2976" w:type="dxa"/>
            <w:shd w:val="clear" w:color="auto" w:fill="BDD6EE" w:themeFill="accent1" w:themeFillTint="66"/>
          </w:tcPr>
          <w:p w:rsidR="00CC122E" w:rsidRDefault="002936DC" w:rsidP="00AA79C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DFAT will ensure the language of the Global Strategy clearly defines it</w:t>
            </w:r>
            <w:r w:rsidR="001D7DD1">
              <w:rPr>
                <w:rFonts w:asciiTheme="majorHAnsi" w:hAnsiTheme="majorHAnsi"/>
                <w:sz w:val="24"/>
                <w:szCs w:val="24"/>
              </w:rPr>
              <w:t>s</w:t>
            </w:r>
            <w:r>
              <w:rPr>
                <w:rFonts w:asciiTheme="majorHAnsi" w:hAnsiTheme="majorHAnsi"/>
                <w:sz w:val="24"/>
                <w:szCs w:val="24"/>
              </w:rPr>
              <w:t xml:space="preserve"> goal and outcomes.</w:t>
            </w:r>
          </w:p>
        </w:tc>
        <w:tc>
          <w:tcPr>
            <w:tcW w:w="2644" w:type="dxa"/>
            <w:shd w:val="clear" w:color="auto" w:fill="9CC2E5" w:themeFill="accent1" w:themeFillTint="99"/>
          </w:tcPr>
          <w:p w:rsidR="00CC122E" w:rsidRDefault="002936DC" w:rsidP="00D714B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Incorporate into new Strategy.</w:t>
            </w:r>
          </w:p>
        </w:tc>
      </w:tr>
      <w:tr w:rsidR="00CC122E" w:rsidTr="001D7DD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CC122E" w:rsidRPr="002936DC" w:rsidRDefault="00CC122E" w:rsidP="003F6C4A">
            <w:pPr>
              <w:pStyle w:val="ListParagraph"/>
              <w:widowControl w:val="0"/>
              <w:tabs>
                <w:tab w:val="left" w:pos="519"/>
              </w:tabs>
              <w:suppressAutoHyphens w:val="0"/>
              <w:autoSpaceDE w:val="0"/>
              <w:autoSpaceDN w:val="0"/>
              <w:spacing w:before="0" w:after="120" w:line="240" w:lineRule="auto"/>
              <w:ind w:left="300" w:right="266"/>
              <w:contextualSpacing w:val="0"/>
              <w:rPr>
                <w:sz w:val="24"/>
                <w:szCs w:val="24"/>
              </w:rPr>
            </w:pPr>
            <w:r w:rsidRPr="002A3704">
              <w:rPr>
                <w:b/>
                <w:sz w:val="24"/>
                <w:szCs w:val="24"/>
              </w:rPr>
              <w:lastRenderedPageBreak/>
              <w:t>Recommendation 4:</w:t>
            </w:r>
            <w:r w:rsidRPr="002936DC">
              <w:rPr>
                <w:sz w:val="24"/>
                <w:szCs w:val="24"/>
              </w:rPr>
              <w:t xml:space="preserve"> Review modalities, examining the way in which each of them can best contribute to the achievement of the Australia Awards goals and objectives. This could include, but is not limited to the following options:</w:t>
            </w:r>
          </w:p>
          <w:p w:rsidR="00CC122E" w:rsidRPr="002936DC" w:rsidRDefault="00CC122E" w:rsidP="003F6C4A">
            <w:pPr>
              <w:pStyle w:val="ListParagraph"/>
              <w:widowControl w:val="0"/>
              <w:numPr>
                <w:ilvl w:val="1"/>
                <w:numId w:val="4"/>
              </w:numPr>
              <w:tabs>
                <w:tab w:val="left" w:pos="1020"/>
                <w:tab w:val="left" w:pos="1021"/>
              </w:tabs>
              <w:suppressAutoHyphens w:val="0"/>
              <w:autoSpaceDE w:val="0"/>
              <w:autoSpaceDN w:val="0"/>
              <w:spacing w:before="248" w:after="120" w:line="240" w:lineRule="auto"/>
              <w:ind w:right="266"/>
              <w:contextualSpacing w:val="0"/>
              <w:rPr>
                <w:sz w:val="24"/>
                <w:szCs w:val="24"/>
              </w:rPr>
            </w:pPr>
            <w:r w:rsidRPr="002936DC">
              <w:rPr>
                <w:sz w:val="24"/>
                <w:szCs w:val="24"/>
              </w:rPr>
              <w:t>maintaining a range of modalities under the Australia Awards brand, but clearly distinguishing long-term awards as those aimed at developing global leaders and carrying the most prestige;</w:t>
            </w:r>
          </w:p>
          <w:p w:rsidR="00CC122E" w:rsidRPr="002936DC" w:rsidRDefault="00CC122E" w:rsidP="003F6C4A">
            <w:pPr>
              <w:pStyle w:val="ListParagraph"/>
              <w:widowControl w:val="0"/>
              <w:numPr>
                <w:ilvl w:val="1"/>
                <w:numId w:val="4"/>
              </w:numPr>
              <w:tabs>
                <w:tab w:val="left" w:pos="1021"/>
              </w:tabs>
              <w:suppressAutoHyphens w:val="0"/>
              <w:autoSpaceDE w:val="0"/>
              <w:autoSpaceDN w:val="0"/>
              <w:spacing w:before="248" w:after="120" w:line="240" w:lineRule="auto"/>
              <w:ind w:right="266"/>
              <w:contextualSpacing w:val="0"/>
              <w:jc w:val="both"/>
              <w:rPr>
                <w:sz w:val="24"/>
                <w:szCs w:val="24"/>
              </w:rPr>
            </w:pPr>
            <w:r w:rsidRPr="002936DC">
              <w:rPr>
                <w:sz w:val="24"/>
                <w:szCs w:val="24"/>
              </w:rPr>
              <w:t>clarifying selection criteria for each modality, considering the potential to have different emphases on leadership, merit and equity, in light of the new Australia Awards goals and objectives;</w:t>
            </w:r>
          </w:p>
          <w:p w:rsidR="00CC122E" w:rsidRPr="002936DC" w:rsidRDefault="00CC122E" w:rsidP="003F6C4A">
            <w:pPr>
              <w:pStyle w:val="ListParagraph"/>
              <w:widowControl w:val="0"/>
              <w:numPr>
                <w:ilvl w:val="1"/>
                <w:numId w:val="4"/>
              </w:numPr>
              <w:tabs>
                <w:tab w:val="left" w:pos="1020"/>
                <w:tab w:val="left" w:pos="1021"/>
              </w:tabs>
              <w:suppressAutoHyphens w:val="0"/>
              <w:autoSpaceDE w:val="0"/>
              <w:autoSpaceDN w:val="0"/>
              <w:spacing w:before="248" w:after="120" w:line="240" w:lineRule="auto"/>
              <w:ind w:right="266"/>
              <w:contextualSpacing w:val="0"/>
              <w:rPr>
                <w:bCs/>
                <w:sz w:val="24"/>
                <w:szCs w:val="24"/>
              </w:rPr>
            </w:pPr>
            <w:r w:rsidRPr="002936DC">
              <w:rPr>
                <w:sz w:val="24"/>
                <w:szCs w:val="24"/>
              </w:rPr>
              <w:t>maintaining flexibility, by not defining specific modalities within the new Strategy itself.</w:t>
            </w:r>
          </w:p>
        </w:tc>
        <w:tc>
          <w:tcPr>
            <w:tcW w:w="1468" w:type="dxa"/>
            <w:shd w:val="clear" w:color="auto" w:fill="C9C9C9" w:themeFill="accent3" w:themeFillTint="99"/>
          </w:tcPr>
          <w:p w:rsidR="00CC122E" w:rsidRDefault="002936DC" w:rsidP="002A3704">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 in principle</w:t>
            </w:r>
          </w:p>
        </w:tc>
        <w:tc>
          <w:tcPr>
            <w:tcW w:w="2976" w:type="dxa"/>
            <w:shd w:val="clear" w:color="auto" w:fill="DEEAF6" w:themeFill="accent1" w:themeFillTint="33"/>
          </w:tcPr>
          <w:p w:rsidR="00CC122E" w:rsidRDefault="002936DC" w:rsidP="00AA79C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will consult with stakeholders on the most </w:t>
            </w:r>
            <w:r w:rsidR="00CD7072">
              <w:rPr>
                <w:rFonts w:asciiTheme="majorHAnsi" w:hAnsiTheme="majorHAnsi"/>
                <w:sz w:val="24"/>
                <w:szCs w:val="24"/>
              </w:rPr>
              <w:t>effective modalities and specific frameworks applying to each modality.</w:t>
            </w:r>
          </w:p>
        </w:tc>
        <w:tc>
          <w:tcPr>
            <w:tcW w:w="2644" w:type="dxa"/>
            <w:shd w:val="clear" w:color="auto" w:fill="9CC2E5" w:themeFill="accent1" w:themeFillTint="99"/>
          </w:tcPr>
          <w:p w:rsidR="00CC122E" w:rsidRDefault="00CD7072" w:rsidP="00D714B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Incorporate into new Strategy.</w:t>
            </w:r>
          </w:p>
        </w:tc>
      </w:tr>
      <w:tr w:rsidR="00CC122E" w:rsidTr="001D7D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CC122E" w:rsidRPr="002936DC" w:rsidRDefault="00CC122E" w:rsidP="003F6C4A">
            <w:pPr>
              <w:pStyle w:val="ListParagraph"/>
              <w:widowControl w:val="0"/>
              <w:tabs>
                <w:tab w:val="left" w:pos="519"/>
              </w:tabs>
              <w:suppressAutoHyphens w:val="0"/>
              <w:autoSpaceDE w:val="0"/>
              <w:autoSpaceDN w:val="0"/>
              <w:spacing w:before="0" w:after="0" w:line="240" w:lineRule="auto"/>
              <w:ind w:left="300" w:right="266"/>
              <w:contextualSpacing w:val="0"/>
              <w:rPr>
                <w:sz w:val="24"/>
                <w:szCs w:val="24"/>
              </w:rPr>
            </w:pPr>
            <w:r w:rsidRPr="002A3704">
              <w:rPr>
                <w:b/>
                <w:sz w:val="24"/>
                <w:szCs w:val="24"/>
              </w:rPr>
              <w:lastRenderedPageBreak/>
              <w:t>Recommendation 5:</w:t>
            </w:r>
            <w:r w:rsidRPr="002936DC">
              <w:rPr>
                <w:sz w:val="24"/>
                <w:szCs w:val="24"/>
              </w:rPr>
              <w:t xml:space="preserve"> Develop requirements and guidelines that support a balance between global consistency and local flexibility by requiring:</w:t>
            </w:r>
          </w:p>
          <w:p w:rsidR="00CC122E" w:rsidRPr="002936DC" w:rsidRDefault="00CC122E" w:rsidP="003F6C4A">
            <w:pPr>
              <w:pStyle w:val="ListParagraph"/>
              <w:widowControl w:val="0"/>
              <w:numPr>
                <w:ilvl w:val="0"/>
                <w:numId w:val="7"/>
              </w:numPr>
              <w:tabs>
                <w:tab w:val="left" w:pos="519"/>
              </w:tabs>
              <w:suppressAutoHyphens w:val="0"/>
              <w:autoSpaceDE w:val="0"/>
              <w:autoSpaceDN w:val="0"/>
              <w:spacing w:before="248" w:after="0" w:line="240" w:lineRule="auto"/>
              <w:ind w:right="266"/>
              <w:contextualSpacing w:val="0"/>
              <w:rPr>
                <w:sz w:val="24"/>
                <w:szCs w:val="24"/>
              </w:rPr>
            </w:pPr>
            <w:r w:rsidRPr="002936DC">
              <w:rPr>
                <w:sz w:val="24"/>
                <w:szCs w:val="24"/>
              </w:rPr>
              <w:t>all investments be designed against the global aim, goals and objectives, allowing individual investments to determine which objectives are most pertinent to their contexts and</w:t>
            </w:r>
            <w:r w:rsidR="003F6C4A">
              <w:rPr>
                <w:sz w:val="24"/>
                <w:szCs w:val="24"/>
              </w:rPr>
              <w:t xml:space="preserve"> the best ways to achieve these</w:t>
            </w:r>
          </w:p>
          <w:p w:rsidR="00CC122E" w:rsidRPr="008F4A4D" w:rsidRDefault="00CC122E" w:rsidP="003F6C4A">
            <w:pPr>
              <w:pStyle w:val="ListParagraph"/>
              <w:widowControl w:val="0"/>
              <w:numPr>
                <w:ilvl w:val="0"/>
                <w:numId w:val="7"/>
              </w:numPr>
              <w:tabs>
                <w:tab w:val="left" w:pos="519"/>
              </w:tabs>
              <w:suppressAutoHyphens w:val="0"/>
              <w:autoSpaceDE w:val="0"/>
              <w:autoSpaceDN w:val="0"/>
              <w:spacing w:before="248" w:after="0" w:line="240" w:lineRule="auto"/>
              <w:ind w:right="266"/>
              <w:contextualSpacing w:val="0"/>
              <w:rPr>
                <w:sz w:val="24"/>
                <w:szCs w:val="24"/>
              </w:rPr>
            </w:pPr>
            <w:r w:rsidRPr="002936DC">
              <w:rPr>
                <w:sz w:val="24"/>
                <w:szCs w:val="24"/>
              </w:rPr>
              <w:t>all investments to report against a small set of identified global measures which contribute to a global picture of performance. Indicate an optional set of measures that can be used by individual investments to inform country specific decision making and contextualise their reporting.</w:t>
            </w:r>
          </w:p>
        </w:tc>
        <w:tc>
          <w:tcPr>
            <w:tcW w:w="1468" w:type="dxa"/>
            <w:shd w:val="clear" w:color="auto" w:fill="C9C9C9" w:themeFill="accent3" w:themeFillTint="99"/>
          </w:tcPr>
          <w:p w:rsidR="00CC122E" w:rsidRDefault="00E2611C" w:rsidP="002A3704">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 in principle</w:t>
            </w:r>
          </w:p>
        </w:tc>
        <w:tc>
          <w:tcPr>
            <w:tcW w:w="2976" w:type="dxa"/>
            <w:shd w:val="clear" w:color="auto" w:fill="BDD6EE" w:themeFill="accent1" w:themeFillTint="66"/>
          </w:tcPr>
          <w:p w:rsidR="001D7DD1" w:rsidRDefault="00E2611C" w:rsidP="00AA79C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will continue to work with individual country investments to ensure Australia Awards are </w:t>
            </w:r>
            <w:r w:rsidR="00F62861">
              <w:rPr>
                <w:rFonts w:asciiTheme="majorHAnsi" w:hAnsiTheme="majorHAnsi"/>
                <w:sz w:val="24"/>
                <w:szCs w:val="24"/>
              </w:rPr>
              <w:t xml:space="preserve">relevant to country contexts while </w:t>
            </w:r>
            <w:r>
              <w:rPr>
                <w:rFonts w:asciiTheme="majorHAnsi" w:hAnsiTheme="majorHAnsi"/>
                <w:sz w:val="24"/>
                <w:szCs w:val="24"/>
              </w:rPr>
              <w:t>maintaining high standards globally.</w:t>
            </w:r>
            <w:r w:rsidR="001D7DD1">
              <w:rPr>
                <w:rFonts w:asciiTheme="majorHAnsi" w:hAnsiTheme="majorHAnsi"/>
                <w:sz w:val="24"/>
                <w:szCs w:val="24"/>
              </w:rPr>
              <w:t xml:space="preserve"> </w:t>
            </w:r>
          </w:p>
          <w:p w:rsidR="001D7DD1" w:rsidRDefault="001D7DD1" w:rsidP="00AA79C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rsidR="00CC122E" w:rsidRDefault="001D7DD1" w:rsidP="00AA79C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The monitoring and evaluation framework will be reviewed as part of the development of the new strategy.</w:t>
            </w:r>
          </w:p>
        </w:tc>
        <w:tc>
          <w:tcPr>
            <w:tcW w:w="2644" w:type="dxa"/>
            <w:shd w:val="clear" w:color="auto" w:fill="9CC2E5" w:themeFill="accent1" w:themeFillTint="99"/>
          </w:tcPr>
          <w:p w:rsidR="00CC122E" w:rsidRDefault="00E2611C" w:rsidP="00D714B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Incorporate into new Strategy.</w:t>
            </w:r>
          </w:p>
          <w:p w:rsidR="003F6C4A" w:rsidRDefault="003F6C4A" w:rsidP="003F6C4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CC122E" w:rsidTr="001D7DD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CC122E" w:rsidRDefault="00CC122E" w:rsidP="002A3704">
            <w:pPr>
              <w:pStyle w:val="ListParagraph"/>
              <w:widowControl w:val="0"/>
              <w:tabs>
                <w:tab w:val="left" w:pos="519"/>
              </w:tabs>
              <w:suppressAutoHyphens w:val="0"/>
              <w:autoSpaceDE w:val="0"/>
              <w:autoSpaceDN w:val="0"/>
              <w:spacing w:before="0" w:after="0" w:line="276" w:lineRule="auto"/>
              <w:ind w:left="300" w:right="268"/>
              <w:contextualSpacing w:val="0"/>
              <w:rPr>
                <w:sz w:val="24"/>
                <w:szCs w:val="24"/>
              </w:rPr>
            </w:pPr>
            <w:r w:rsidRPr="002A3704">
              <w:rPr>
                <w:b/>
                <w:sz w:val="24"/>
                <w:szCs w:val="24"/>
              </w:rPr>
              <w:t>Recommendation 6:</w:t>
            </w:r>
            <w:r w:rsidRPr="002936DC">
              <w:rPr>
                <w:sz w:val="24"/>
                <w:szCs w:val="24"/>
              </w:rPr>
              <w:t xml:space="preserve"> Commission a review of monitoring and evaluation data to identify critical information that needs to be reported about the global investment, both through the AQC process and, where required, through a customised Australia Awards process.</w:t>
            </w:r>
          </w:p>
          <w:p w:rsidR="002A3704" w:rsidRPr="008F4A4D" w:rsidRDefault="002A3704" w:rsidP="002A3704">
            <w:pPr>
              <w:pStyle w:val="ListParagraph"/>
              <w:widowControl w:val="0"/>
              <w:tabs>
                <w:tab w:val="left" w:pos="519"/>
              </w:tabs>
              <w:suppressAutoHyphens w:val="0"/>
              <w:autoSpaceDE w:val="0"/>
              <w:autoSpaceDN w:val="0"/>
              <w:spacing w:before="0" w:after="0" w:line="276" w:lineRule="auto"/>
              <w:ind w:left="300" w:right="268"/>
              <w:contextualSpacing w:val="0"/>
              <w:rPr>
                <w:sz w:val="24"/>
                <w:szCs w:val="24"/>
              </w:rPr>
            </w:pPr>
          </w:p>
        </w:tc>
        <w:tc>
          <w:tcPr>
            <w:tcW w:w="1468" w:type="dxa"/>
            <w:shd w:val="clear" w:color="auto" w:fill="C9C9C9" w:themeFill="accent3" w:themeFillTint="99"/>
          </w:tcPr>
          <w:p w:rsidR="00CC122E" w:rsidRDefault="00E2611C" w:rsidP="002A3704">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Agreed in principle</w:t>
            </w:r>
          </w:p>
        </w:tc>
        <w:tc>
          <w:tcPr>
            <w:tcW w:w="2976" w:type="dxa"/>
            <w:shd w:val="clear" w:color="auto" w:fill="DEEAF6" w:themeFill="accent1" w:themeFillTint="33"/>
          </w:tcPr>
          <w:p w:rsidR="001D7DD1" w:rsidRDefault="00E2611C" w:rsidP="001D7DD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The monitoring and evaluation framework will be reviewed as part of the development of the new </w:t>
            </w:r>
            <w:r w:rsidR="003F6C4A">
              <w:rPr>
                <w:rFonts w:asciiTheme="majorHAnsi" w:hAnsiTheme="majorHAnsi"/>
                <w:sz w:val="24"/>
                <w:szCs w:val="24"/>
              </w:rPr>
              <w:t>S</w:t>
            </w:r>
            <w:r>
              <w:rPr>
                <w:rFonts w:asciiTheme="majorHAnsi" w:hAnsiTheme="majorHAnsi"/>
                <w:sz w:val="24"/>
                <w:szCs w:val="24"/>
              </w:rPr>
              <w:t>trategy.</w:t>
            </w:r>
            <w:r w:rsidR="001D7DD1">
              <w:rPr>
                <w:rFonts w:asciiTheme="majorHAnsi" w:hAnsiTheme="majorHAnsi"/>
                <w:sz w:val="24"/>
                <w:szCs w:val="24"/>
              </w:rPr>
              <w:t xml:space="preserve"> </w:t>
            </w:r>
          </w:p>
          <w:p w:rsidR="001D7DD1" w:rsidRDefault="001D7DD1" w:rsidP="001D7DD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An independent review of the Global Tracer Facility will also inform the monitoring and evaluation framework.</w:t>
            </w:r>
          </w:p>
          <w:p w:rsidR="00CC122E" w:rsidRDefault="00CC122E" w:rsidP="003F6C4A">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p>
        </w:tc>
        <w:tc>
          <w:tcPr>
            <w:tcW w:w="2644" w:type="dxa"/>
            <w:shd w:val="clear" w:color="auto" w:fill="9CC2E5" w:themeFill="accent1" w:themeFillTint="99"/>
          </w:tcPr>
          <w:p w:rsidR="00CC122E" w:rsidRDefault="00E2611C" w:rsidP="00D714B2">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Incorporate into new Strategy.</w:t>
            </w:r>
          </w:p>
          <w:p w:rsidR="003F6C4A" w:rsidRDefault="003F6C4A" w:rsidP="001D7DD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p>
        </w:tc>
      </w:tr>
      <w:tr w:rsidR="00E2611C" w:rsidTr="001D7D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E2611C" w:rsidRDefault="00E2611C" w:rsidP="002A3704">
            <w:pPr>
              <w:pStyle w:val="ListParagraph"/>
              <w:widowControl w:val="0"/>
              <w:tabs>
                <w:tab w:val="left" w:pos="519"/>
              </w:tabs>
              <w:suppressAutoHyphens w:val="0"/>
              <w:autoSpaceDE w:val="0"/>
              <w:autoSpaceDN w:val="0"/>
              <w:spacing w:before="0" w:after="0" w:line="276" w:lineRule="auto"/>
              <w:ind w:left="300" w:right="268"/>
              <w:contextualSpacing w:val="0"/>
              <w:rPr>
                <w:sz w:val="24"/>
                <w:szCs w:val="24"/>
              </w:rPr>
            </w:pPr>
            <w:r w:rsidRPr="002A3704">
              <w:rPr>
                <w:b/>
                <w:sz w:val="24"/>
                <w:szCs w:val="24"/>
              </w:rPr>
              <w:lastRenderedPageBreak/>
              <w:t>Recommendation 7:</w:t>
            </w:r>
            <w:r w:rsidRPr="002936DC">
              <w:rPr>
                <w:sz w:val="24"/>
                <w:szCs w:val="24"/>
              </w:rPr>
              <w:t xml:space="preserve"> Review and revise all support materials to ensure they are genuinely aligned with, and further clarify, each aspect of the revised Strategy.</w:t>
            </w:r>
          </w:p>
          <w:p w:rsidR="002A3704" w:rsidRPr="002936DC" w:rsidRDefault="002A3704" w:rsidP="002A3704">
            <w:pPr>
              <w:pStyle w:val="ListParagraph"/>
              <w:widowControl w:val="0"/>
              <w:tabs>
                <w:tab w:val="left" w:pos="519"/>
              </w:tabs>
              <w:suppressAutoHyphens w:val="0"/>
              <w:autoSpaceDE w:val="0"/>
              <w:autoSpaceDN w:val="0"/>
              <w:spacing w:before="0" w:after="0" w:line="276" w:lineRule="auto"/>
              <w:ind w:left="300" w:right="268"/>
              <w:contextualSpacing w:val="0"/>
              <w:rPr>
                <w:sz w:val="24"/>
                <w:szCs w:val="24"/>
              </w:rPr>
            </w:pPr>
          </w:p>
        </w:tc>
        <w:tc>
          <w:tcPr>
            <w:tcW w:w="1468" w:type="dxa"/>
            <w:shd w:val="clear" w:color="auto" w:fill="C9C9C9" w:themeFill="accent3" w:themeFillTint="99"/>
          </w:tcPr>
          <w:p w:rsidR="00E2611C" w:rsidRDefault="00E2611C" w:rsidP="002A3704">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 in principle</w:t>
            </w:r>
          </w:p>
        </w:tc>
        <w:tc>
          <w:tcPr>
            <w:tcW w:w="2976" w:type="dxa"/>
            <w:shd w:val="clear" w:color="auto" w:fill="BDD6EE" w:themeFill="accent1" w:themeFillTint="66"/>
          </w:tcPr>
          <w:p w:rsidR="00E2611C" w:rsidRDefault="00E2611C" w:rsidP="00E2611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Materials will be reviewed as part of the development of the new Strategy.</w:t>
            </w:r>
          </w:p>
        </w:tc>
        <w:tc>
          <w:tcPr>
            <w:tcW w:w="2644" w:type="dxa"/>
            <w:shd w:val="clear" w:color="auto" w:fill="9CC2E5" w:themeFill="accent1" w:themeFillTint="99"/>
          </w:tcPr>
          <w:p w:rsidR="00E2611C" w:rsidRDefault="003F6C4A" w:rsidP="003F6C4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All support materials will be reviewed as part of the Change Management Plan for the new Strategy.</w:t>
            </w:r>
          </w:p>
        </w:tc>
      </w:tr>
      <w:tr w:rsidR="00E2611C" w:rsidTr="001D7DD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E2611C" w:rsidRDefault="00E2611C" w:rsidP="002A3704">
            <w:pPr>
              <w:pStyle w:val="ListParagraph"/>
              <w:widowControl w:val="0"/>
              <w:tabs>
                <w:tab w:val="left" w:pos="519"/>
              </w:tabs>
              <w:suppressAutoHyphens w:val="0"/>
              <w:autoSpaceDE w:val="0"/>
              <w:autoSpaceDN w:val="0"/>
              <w:spacing w:before="0" w:after="0" w:line="276" w:lineRule="auto"/>
              <w:ind w:left="300" w:right="268"/>
              <w:contextualSpacing w:val="0"/>
              <w:rPr>
                <w:sz w:val="24"/>
                <w:szCs w:val="24"/>
              </w:rPr>
            </w:pPr>
            <w:r w:rsidRPr="002A3704">
              <w:rPr>
                <w:b/>
                <w:sz w:val="24"/>
                <w:szCs w:val="24"/>
              </w:rPr>
              <w:t>Recommendation 8:</w:t>
            </w:r>
            <w:r w:rsidRPr="002936DC">
              <w:rPr>
                <w:sz w:val="24"/>
                <w:szCs w:val="24"/>
              </w:rPr>
              <w:t xml:space="preserve"> Build DFAT staff capacity for strategic decision making within the Australia Awards through a staggered two year training program.</w:t>
            </w:r>
          </w:p>
          <w:p w:rsidR="002A3704" w:rsidRDefault="002A3704" w:rsidP="002A3704">
            <w:pPr>
              <w:pStyle w:val="ListParagraph"/>
              <w:widowControl w:val="0"/>
              <w:tabs>
                <w:tab w:val="left" w:pos="519"/>
              </w:tabs>
              <w:suppressAutoHyphens w:val="0"/>
              <w:autoSpaceDE w:val="0"/>
              <w:autoSpaceDN w:val="0"/>
              <w:spacing w:before="0" w:after="0" w:line="276" w:lineRule="auto"/>
              <w:ind w:left="300" w:right="268"/>
              <w:contextualSpacing w:val="0"/>
            </w:pPr>
          </w:p>
        </w:tc>
        <w:tc>
          <w:tcPr>
            <w:tcW w:w="1468" w:type="dxa"/>
            <w:shd w:val="clear" w:color="auto" w:fill="C9C9C9" w:themeFill="accent3" w:themeFillTint="99"/>
          </w:tcPr>
          <w:p w:rsidR="00E2611C" w:rsidRDefault="00221571" w:rsidP="00221571">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Partly a</w:t>
            </w:r>
            <w:r w:rsidR="00E2611C">
              <w:rPr>
                <w:sz w:val="24"/>
                <w:szCs w:val="24"/>
              </w:rPr>
              <w:t xml:space="preserve">greed </w:t>
            </w:r>
          </w:p>
        </w:tc>
        <w:tc>
          <w:tcPr>
            <w:tcW w:w="2976" w:type="dxa"/>
            <w:shd w:val="clear" w:color="auto" w:fill="DEEAF6" w:themeFill="accent1" w:themeFillTint="33"/>
          </w:tcPr>
          <w:p w:rsidR="00E2611C" w:rsidRDefault="00F62861" w:rsidP="00F6286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DFAT</w:t>
            </w:r>
            <w:r w:rsidR="00E2611C">
              <w:rPr>
                <w:rFonts w:asciiTheme="majorHAnsi" w:hAnsiTheme="majorHAnsi"/>
                <w:sz w:val="24"/>
                <w:szCs w:val="24"/>
              </w:rPr>
              <w:t xml:space="preserve"> will </w:t>
            </w:r>
            <w:r>
              <w:rPr>
                <w:rFonts w:asciiTheme="majorHAnsi" w:hAnsiTheme="majorHAnsi"/>
                <w:sz w:val="24"/>
                <w:szCs w:val="24"/>
              </w:rPr>
              <w:t>consider</w:t>
            </w:r>
            <w:r w:rsidR="00E2611C">
              <w:rPr>
                <w:rFonts w:asciiTheme="majorHAnsi" w:hAnsiTheme="majorHAnsi"/>
                <w:sz w:val="24"/>
                <w:szCs w:val="24"/>
              </w:rPr>
              <w:t xml:space="preserve"> training </w:t>
            </w:r>
            <w:r>
              <w:rPr>
                <w:rFonts w:asciiTheme="majorHAnsi" w:hAnsiTheme="majorHAnsi"/>
                <w:sz w:val="24"/>
                <w:szCs w:val="24"/>
              </w:rPr>
              <w:t>requirements as part of the new Strategy</w:t>
            </w:r>
            <w:r w:rsidR="00E2611C">
              <w:rPr>
                <w:rFonts w:asciiTheme="majorHAnsi" w:hAnsiTheme="majorHAnsi"/>
                <w:sz w:val="24"/>
                <w:szCs w:val="24"/>
              </w:rPr>
              <w:t>.</w:t>
            </w:r>
          </w:p>
        </w:tc>
        <w:tc>
          <w:tcPr>
            <w:tcW w:w="2644" w:type="dxa"/>
            <w:shd w:val="clear" w:color="auto" w:fill="9CC2E5" w:themeFill="accent1" w:themeFillTint="99"/>
          </w:tcPr>
          <w:p w:rsidR="00E2611C" w:rsidRDefault="00E2611C" w:rsidP="00E2611C">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Incorporate into new Strategy</w:t>
            </w:r>
            <w:r w:rsidR="003F6C4A">
              <w:rPr>
                <w:rFonts w:asciiTheme="majorHAnsi" w:hAnsiTheme="majorHAnsi"/>
                <w:sz w:val="24"/>
                <w:szCs w:val="24"/>
              </w:rPr>
              <w:t xml:space="preserve"> Change Management Plan</w:t>
            </w:r>
          </w:p>
        </w:tc>
      </w:tr>
      <w:tr w:rsidR="00E2611C" w:rsidTr="001D7D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46" w:type="dxa"/>
          </w:tcPr>
          <w:p w:rsidR="00E2611C" w:rsidRDefault="00E2611C" w:rsidP="002A3704">
            <w:pPr>
              <w:pStyle w:val="ListParagraph"/>
              <w:widowControl w:val="0"/>
              <w:tabs>
                <w:tab w:val="left" w:pos="519"/>
              </w:tabs>
              <w:suppressAutoHyphens w:val="0"/>
              <w:autoSpaceDE w:val="0"/>
              <w:autoSpaceDN w:val="0"/>
              <w:spacing w:before="0" w:after="0" w:line="276" w:lineRule="auto"/>
              <w:ind w:left="300" w:right="268"/>
              <w:contextualSpacing w:val="0"/>
              <w:rPr>
                <w:sz w:val="24"/>
                <w:szCs w:val="24"/>
              </w:rPr>
            </w:pPr>
            <w:r w:rsidRPr="002A3704">
              <w:rPr>
                <w:b/>
                <w:sz w:val="24"/>
                <w:szCs w:val="24"/>
              </w:rPr>
              <w:t>Recommendation 9:</w:t>
            </w:r>
            <w:r w:rsidRPr="002936DC">
              <w:rPr>
                <w:sz w:val="24"/>
                <w:szCs w:val="24"/>
              </w:rPr>
              <w:t xml:space="preserve"> Develop more effective mechanisms to engage staff across posts so that they share ideas, learn from one another, and explore challenging issues associated with the Strategy, e.g. through regional forums, regular newsletters.</w:t>
            </w:r>
          </w:p>
          <w:p w:rsidR="002A3704" w:rsidRDefault="002A3704" w:rsidP="002A3704">
            <w:pPr>
              <w:pStyle w:val="ListParagraph"/>
              <w:widowControl w:val="0"/>
              <w:tabs>
                <w:tab w:val="left" w:pos="519"/>
              </w:tabs>
              <w:suppressAutoHyphens w:val="0"/>
              <w:autoSpaceDE w:val="0"/>
              <w:autoSpaceDN w:val="0"/>
              <w:spacing w:before="0" w:after="0" w:line="276" w:lineRule="auto"/>
              <w:ind w:left="300" w:right="268"/>
              <w:contextualSpacing w:val="0"/>
            </w:pPr>
          </w:p>
        </w:tc>
        <w:tc>
          <w:tcPr>
            <w:tcW w:w="1468" w:type="dxa"/>
            <w:shd w:val="clear" w:color="auto" w:fill="C9C9C9" w:themeFill="accent3" w:themeFillTint="99"/>
          </w:tcPr>
          <w:p w:rsidR="00E2611C" w:rsidRDefault="00E2611C" w:rsidP="002A3704">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Agreed in principle</w:t>
            </w:r>
          </w:p>
        </w:tc>
        <w:tc>
          <w:tcPr>
            <w:tcW w:w="2976" w:type="dxa"/>
            <w:shd w:val="clear" w:color="auto" w:fill="BDD6EE" w:themeFill="accent1" w:themeFillTint="66"/>
          </w:tcPr>
          <w:p w:rsidR="00E2611C" w:rsidRDefault="00E2611C" w:rsidP="00E2611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DFAT will give further consideration to improving information-sharing mechanisms</w:t>
            </w:r>
            <w:r w:rsidR="003F6C4A">
              <w:rPr>
                <w:rFonts w:asciiTheme="majorHAnsi" w:hAnsiTheme="majorHAnsi"/>
                <w:sz w:val="24"/>
                <w:szCs w:val="24"/>
              </w:rPr>
              <w:t xml:space="preserve"> for staff across posts</w:t>
            </w:r>
            <w:r>
              <w:rPr>
                <w:rFonts w:asciiTheme="majorHAnsi" w:hAnsiTheme="majorHAnsi"/>
                <w:sz w:val="24"/>
                <w:szCs w:val="24"/>
              </w:rPr>
              <w:t>.</w:t>
            </w:r>
          </w:p>
        </w:tc>
        <w:tc>
          <w:tcPr>
            <w:tcW w:w="2644" w:type="dxa"/>
            <w:shd w:val="clear" w:color="auto" w:fill="9CC2E5" w:themeFill="accent1" w:themeFillTint="99"/>
          </w:tcPr>
          <w:p w:rsidR="00E2611C" w:rsidRDefault="003F6C4A" w:rsidP="00E2611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Incorporate into new Strategy Change Management Plan.</w:t>
            </w:r>
          </w:p>
        </w:tc>
      </w:tr>
    </w:tbl>
    <w:p w:rsidR="002565F0" w:rsidRDefault="002565F0"/>
    <w:sectPr w:rsidR="002565F0" w:rsidSect="00617E8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21" w:right="1440" w:bottom="851" w:left="1440" w:header="567" w:footer="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E9" w:rsidRDefault="003A50E9" w:rsidP="00BD4B31">
      <w:pPr>
        <w:spacing w:before="0" w:after="0" w:line="240" w:lineRule="auto"/>
      </w:pPr>
      <w:r>
        <w:separator/>
      </w:r>
    </w:p>
  </w:endnote>
  <w:endnote w:type="continuationSeparator" w:id="0">
    <w:p w:rsidR="003A50E9" w:rsidRDefault="003A50E9" w:rsidP="00BD4B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9" w:rsidRDefault="0016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845507"/>
      <w:docPartObj>
        <w:docPartGallery w:val="Page Numbers (Bottom of Page)"/>
        <w:docPartUnique/>
      </w:docPartObj>
    </w:sdtPr>
    <w:sdtEndPr>
      <w:rPr>
        <w:noProof/>
      </w:rPr>
    </w:sdtEndPr>
    <w:sdtContent>
      <w:p w:rsidR="002A3704" w:rsidRDefault="002A3704">
        <w:pPr>
          <w:pStyle w:val="Footer"/>
          <w:jc w:val="right"/>
        </w:pPr>
        <w:r>
          <w:fldChar w:fldCharType="begin"/>
        </w:r>
        <w:r>
          <w:instrText xml:space="preserve"> PAGE   \* MERGEFORMAT </w:instrText>
        </w:r>
        <w:r>
          <w:fldChar w:fldCharType="separate"/>
        </w:r>
        <w:r w:rsidR="00160C09">
          <w:rPr>
            <w:noProof/>
          </w:rPr>
          <w:t>2</w:t>
        </w:r>
        <w:r>
          <w:rPr>
            <w:noProof/>
          </w:rPr>
          <w:fldChar w:fldCharType="end"/>
        </w:r>
      </w:p>
    </w:sdtContent>
  </w:sdt>
  <w:p w:rsidR="00BD4B31" w:rsidRDefault="00BD4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80359"/>
      <w:docPartObj>
        <w:docPartGallery w:val="Page Numbers (Bottom of Page)"/>
        <w:docPartUnique/>
      </w:docPartObj>
    </w:sdtPr>
    <w:sdtEndPr>
      <w:rPr>
        <w:noProof/>
      </w:rPr>
    </w:sdtEndPr>
    <w:sdtContent>
      <w:p w:rsidR="00BE7E78" w:rsidRDefault="00BE7E78">
        <w:pPr>
          <w:pStyle w:val="Footer"/>
          <w:jc w:val="right"/>
        </w:pPr>
        <w:r>
          <w:fldChar w:fldCharType="begin"/>
        </w:r>
        <w:r>
          <w:instrText xml:space="preserve"> PAGE   \* MERGEFORMAT </w:instrText>
        </w:r>
        <w:r>
          <w:fldChar w:fldCharType="separate"/>
        </w:r>
        <w:r w:rsidR="00160C09">
          <w:rPr>
            <w:noProof/>
          </w:rPr>
          <w:t>1</w:t>
        </w:r>
        <w:r>
          <w:rPr>
            <w:noProof/>
          </w:rPr>
          <w:fldChar w:fldCharType="end"/>
        </w:r>
      </w:p>
    </w:sdtContent>
  </w:sdt>
  <w:p w:rsidR="00BE7E78" w:rsidRDefault="00BE7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E9" w:rsidRDefault="003A50E9" w:rsidP="00BD4B31">
      <w:pPr>
        <w:spacing w:before="0" w:after="0" w:line="240" w:lineRule="auto"/>
      </w:pPr>
      <w:r>
        <w:separator/>
      </w:r>
    </w:p>
  </w:footnote>
  <w:footnote w:type="continuationSeparator" w:id="0">
    <w:p w:rsidR="003A50E9" w:rsidRDefault="003A50E9" w:rsidP="00BD4B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9" w:rsidRDefault="0016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9" w:rsidRDefault="00160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09" w:rsidRDefault="0016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975"/>
    <w:multiLevelType w:val="hybridMultilevel"/>
    <w:tmpl w:val="3CCCE2B4"/>
    <w:lvl w:ilvl="0" w:tplc="868405E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AD7C58"/>
    <w:multiLevelType w:val="hybridMultilevel"/>
    <w:tmpl w:val="3B8CE9B6"/>
    <w:lvl w:ilvl="0" w:tplc="945CF39C">
      <w:start w:val="1"/>
      <w:numFmt w:val="decimal"/>
      <w:lvlText w:val="%1."/>
      <w:lvlJc w:val="left"/>
      <w:pPr>
        <w:ind w:left="300" w:hanging="219"/>
      </w:pPr>
      <w:rPr>
        <w:rFonts w:ascii="Calibri" w:eastAsia="Calibri" w:hAnsi="Calibri" w:cs="Calibri" w:hint="default"/>
        <w:w w:val="100"/>
        <w:sz w:val="22"/>
        <w:szCs w:val="22"/>
        <w:lang w:val="en-AU" w:eastAsia="en-AU" w:bidi="en-AU"/>
      </w:rPr>
    </w:lvl>
    <w:lvl w:ilvl="1" w:tplc="4C108EA6">
      <w:numFmt w:val="bullet"/>
      <w:lvlText w:val=""/>
      <w:lvlJc w:val="left"/>
      <w:pPr>
        <w:ind w:left="1020" w:hanging="360"/>
      </w:pPr>
      <w:rPr>
        <w:rFonts w:ascii="Symbol" w:eastAsia="Symbol" w:hAnsi="Symbol" w:cs="Symbol" w:hint="default"/>
        <w:w w:val="100"/>
        <w:sz w:val="22"/>
        <w:szCs w:val="22"/>
        <w:lang w:val="en-AU" w:eastAsia="en-AU" w:bidi="en-AU"/>
      </w:rPr>
    </w:lvl>
    <w:lvl w:ilvl="2" w:tplc="F252B9AC">
      <w:numFmt w:val="bullet"/>
      <w:lvlText w:val="•"/>
      <w:lvlJc w:val="left"/>
      <w:pPr>
        <w:ind w:left="2102" w:hanging="360"/>
      </w:pPr>
      <w:rPr>
        <w:rFonts w:hint="default"/>
        <w:lang w:val="en-AU" w:eastAsia="en-AU" w:bidi="en-AU"/>
      </w:rPr>
    </w:lvl>
    <w:lvl w:ilvl="3" w:tplc="A58099FC">
      <w:numFmt w:val="bullet"/>
      <w:lvlText w:val="•"/>
      <w:lvlJc w:val="left"/>
      <w:pPr>
        <w:ind w:left="3185" w:hanging="360"/>
      </w:pPr>
      <w:rPr>
        <w:rFonts w:hint="default"/>
        <w:lang w:val="en-AU" w:eastAsia="en-AU" w:bidi="en-AU"/>
      </w:rPr>
    </w:lvl>
    <w:lvl w:ilvl="4" w:tplc="C6CC3002">
      <w:numFmt w:val="bullet"/>
      <w:lvlText w:val="•"/>
      <w:lvlJc w:val="left"/>
      <w:pPr>
        <w:ind w:left="4268" w:hanging="360"/>
      </w:pPr>
      <w:rPr>
        <w:rFonts w:hint="default"/>
        <w:lang w:val="en-AU" w:eastAsia="en-AU" w:bidi="en-AU"/>
      </w:rPr>
    </w:lvl>
    <w:lvl w:ilvl="5" w:tplc="4AA2AB54">
      <w:numFmt w:val="bullet"/>
      <w:lvlText w:val="•"/>
      <w:lvlJc w:val="left"/>
      <w:pPr>
        <w:ind w:left="5351" w:hanging="360"/>
      </w:pPr>
      <w:rPr>
        <w:rFonts w:hint="default"/>
        <w:lang w:val="en-AU" w:eastAsia="en-AU" w:bidi="en-AU"/>
      </w:rPr>
    </w:lvl>
    <w:lvl w:ilvl="6" w:tplc="46661C5E">
      <w:numFmt w:val="bullet"/>
      <w:lvlText w:val="•"/>
      <w:lvlJc w:val="left"/>
      <w:pPr>
        <w:ind w:left="6434" w:hanging="360"/>
      </w:pPr>
      <w:rPr>
        <w:rFonts w:hint="default"/>
        <w:lang w:val="en-AU" w:eastAsia="en-AU" w:bidi="en-AU"/>
      </w:rPr>
    </w:lvl>
    <w:lvl w:ilvl="7" w:tplc="C3D4132C">
      <w:numFmt w:val="bullet"/>
      <w:lvlText w:val="•"/>
      <w:lvlJc w:val="left"/>
      <w:pPr>
        <w:ind w:left="7517" w:hanging="360"/>
      </w:pPr>
      <w:rPr>
        <w:rFonts w:hint="default"/>
        <w:lang w:val="en-AU" w:eastAsia="en-AU" w:bidi="en-AU"/>
      </w:rPr>
    </w:lvl>
    <w:lvl w:ilvl="8" w:tplc="BE58B262">
      <w:numFmt w:val="bullet"/>
      <w:lvlText w:val="•"/>
      <w:lvlJc w:val="left"/>
      <w:pPr>
        <w:ind w:left="8600" w:hanging="360"/>
      </w:pPr>
      <w:rPr>
        <w:rFonts w:hint="default"/>
        <w:lang w:val="en-AU" w:eastAsia="en-AU" w:bidi="en-AU"/>
      </w:rPr>
    </w:lvl>
  </w:abstractNum>
  <w:abstractNum w:abstractNumId="2" w15:restartNumberingAfterBreak="0">
    <w:nsid w:val="516A2082"/>
    <w:multiLevelType w:val="hybridMultilevel"/>
    <w:tmpl w:val="BDE464FA"/>
    <w:lvl w:ilvl="0" w:tplc="258CE81C">
      <w:numFmt w:val="bullet"/>
      <w:lvlText w:val=""/>
      <w:lvlJc w:val="left"/>
      <w:pPr>
        <w:ind w:left="467" w:hanging="360"/>
      </w:pPr>
      <w:rPr>
        <w:rFonts w:ascii="Symbol" w:eastAsia="Symbol" w:hAnsi="Symbol" w:cs="Symbol" w:hint="default"/>
        <w:w w:val="100"/>
        <w:sz w:val="18"/>
        <w:szCs w:val="18"/>
        <w:lang w:val="en-AU" w:eastAsia="en-AU" w:bidi="en-AU"/>
      </w:rPr>
    </w:lvl>
    <w:lvl w:ilvl="1" w:tplc="289EAA4E">
      <w:numFmt w:val="bullet"/>
      <w:lvlText w:val="•"/>
      <w:lvlJc w:val="left"/>
      <w:pPr>
        <w:ind w:left="980" w:hanging="360"/>
      </w:pPr>
      <w:rPr>
        <w:rFonts w:hint="default"/>
        <w:lang w:val="en-AU" w:eastAsia="en-AU" w:bidi="en-AU"/>
      </w:rPr>
    </w:lvl>
    <w:lvl w:ilvl="2" w:tplc="DF8C9B46">
      <w:numFmt w:val="bullet"/>
      <w:lvlText w:val="•"/>
      <w:lvlJc w:val="left"/>
      <w:pPr>
        <w:ind w:left="1500" w:hanging="360"/>
      </w:pPr>
      <w:rPr>
        <w:rFonts w:hint="default"/>
        <w:lang w:val="en-AU" w:eastAsia="en-AU" w:bidi="en-AU"/>
      </w:rPr>
    </w:lvl>
    <w:lvl w:ilvl="3" w:tplc="4EB252AC">
      <w:numFmt w:val="bullet"/>
      <w:lvlText w:val="•"/>
      <w:lvlJc w:val="left"/>
      <w:pPr>
        <w:ind w:left="2020" w:hanging="360"/>
      </w:pPr>
      <w:rPr>
        <w:rFonts w:hint="default"/>
        <w:lang w:val="en-AU" w:eastAsia="en-AU" w:bidi="en-AU"/>
      </w:rPr>
    </w:lvl>
    <w:lvl w:ilvl="4" w:tplc="04163F44">
      <w:numFmt w:val="bullet"/>
      <w:lvlText w:val="•"/>
      <w:lvlJc w:val="left"/>
      <w:pPr>
        <w:ind w:left="2541" w:hanging="360"/>
      </w:pPr>
      <w:rPr>
        <w:rFonts w:hint="default"/>
        <w:lang w:val="en-AU" w:eastAsia="en-AU" w:bidi="en-AU"/>
      </w:rPr>
    </w:lvl>
    <w:lvl w:ilvl="5" w:tplc="A47467D0">
      <w:numFmt w:val="bullet"/>
      <w:lvlText w:val="•"/>
      <w:lvlJc w:val="left"/>
      <w:pPr>
        <w:ind w:left="3061" w:hanging="360"/>
      </w:pPr>
      <w:rPr>
        <w:rFonts w:hint="default"/>
        <w:lang w:val="en-AU" w:eastAsia="en-AU" w:bidi="en-AU"/>
      </w:rPr>
    </w:lvl>
    <w:lvl w:ilvl="6" w:tplc="FDAE828C">
      <w:numFmt w:val="bullet"/>
      <w:lvlText w:val="•"/>
      <w:lvlJc w:val="left"/>
      <w:pPr>
        <w:ind w:left="3581" w:hanging="360"/>
      </w:pPr>
      <w:rPr>
        <w:rFonts w:hint="default"/>
        <w:lang w:val="en-AU" w:eastAsia="en-AU" w:bidi="en-AU"/>
      </w:rPr>
    </w:lvl>
    <w:lvl w:ilvl="7" w:tplc="A76EBF52">
      <w:numFmt w:val="bullet"/>
      <w:lvlText w:val="•"/>
      <w:lvlJc w:val="left"/>
      <w:pPr>
        <w:ind w:left="4102" w:hanging="360"/>
      </w:pPr>
      <w:rPr>
        <w:rFonts w:hint="default"/>
        <w:lang w:val="en-AU" w:eastAsia="en-AU" w:bidi="en-AU"/>
      </w:rPr>
    </w:lvl>
    <w:lvl w:ilvl="8" w:tplc="6534FBE2">
      <w:numFmt w:val="bullet"/>
      <w:lvlText w:val="•"/>
      <w:lvlJc w:val="left"/>
      <w:pPr>
        <w:ind w:left="4622" w:hanging="360"/>
      </w:pPr>
      <w:rPr>
        <w:rFonts w:hint="default"/>
        <w:lang w:val="en-AU" w:eastAsia="en-AU" w:bidi="en-AU"/>
      </w:rPr>
    </w:lvl>
  </w:abstractNum>
  <w:abstractNum w:abstractNumId="3" w15:restartNumberingAfterBreak="0">
    <w:nsid w:val="527B6EDA"/>
    <w:multiLevelType w:val="hybridMultilevel"/>
    <w:tmpl w:val="853839BA"/>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4" w15:restartNumberingAfterBreak="0">
    <w:nsid w:val="5D56043A"/>
    <w:multiLevelType w:val="multilevel"/>
    <w:tmpl w:val="69AEB596"/>
    <w:numStyleLink w:val="BulletsList"/>
  </w:abstractNum>
  <w:abstractNum w:abstractNumId="5"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6" w15:restartNumberingAfterBreak="0">
    <w:nsid w:val="775552C4"/>
    <w:multiLevelType w:val="hybridMultilevel"/>
    <w:tmpl w:val="7BD65A30"/>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D"/>
    <w:rsid w:val="000806CB"/>
    <w:rsid w:val="00160C09"/>
    <w:rsid w:val="001B3B9C"/>
    <w:rsid w:val="001D7DD1"/>
    <w:rsid w:val="00221571"/>
    <w:rsid w:val="002565F0"/>
    <w:rsid w:val="002936DC"/>
    <w:rsid w:val="002A3704"/>
    <w:rsid w:val="002B350A"/>
    <w:rsid w:val="003A50E9"/>
    <w:rsid w:val="003F6C4A"/>
    <w:rsid w:val="00417C00"/>
    <w:rsid w:val="00462D4D"/>
    <w:rsid w:val="00486CF8"/>
    <w:rsid w:val="0051402A"/>
    <w:rsid w:val="00571DA9"/>
    <w:rsid w:val="005A1593"/>
    <w:rsid w:val="00617E89"/>
    <w:rsid w:val="00645A74"/>
    <w:rsid w:val="0069747F"/>
    <w:rsid w:val="006D4D40"/>
    <w:rsid w:val="007B1BD1"/>
    <w:rsid w:val="007C2C84"/>
    <w:rsid w:val="00821117"/>
    <w:rsid w:val="008E6F10"/>
    <w:rsid w:val="00956492"/>
    <w:rsid w:val="009E64FB"/>
    <w:rsid w:val="00AA79C7"/>
    <w:rsid w:val="00AD277B"/>
    <w:rsid w:val="00AF594E"/>
    <w:rsid w:val="00B5064D"/>
    <w:rsid w:val="00B945E4"/>
    <w:rsid w:val="00BD4B31"/>
    <w:rsid w:val="00BE7E78"/>
    <w:rsid w:val="00C935E4"/>
    <w:rsid w:val="00CC122E"/>
    <w:rsid w:val="00CD7072"/>
    <w:rsid w:val="00D714B2"/>
    <w:rsid w:val="00E2611C"/>
    <w:rsid w:val="00F62861"/>
    <w:rsid w:val="00F75896"/>
    <w:rsid w:val="00FC3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4D"/>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B5064D"/>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B50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B5064D"/>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64D"/>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B5064D"/>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B5064D"/>
    <w:pPr>
      <w:numPr>
        <w:numId w:val="2"/>
      </w:numPr>
      <w:tabs>
        <w:tab w:val="left" w:pos="567"/>
      </w:tabs>
      <w:spacing w:before="60"/>
    </w:pPr>
  </w:style>
  <w:style w:type="paragraph" w:customStyle="1" w:styleId="Bullet2">
    <w:name w:val="Bullet 2"/>
    <w:basedOn w:val="Bullet1"/>
    <w:qFormat/>
    <w:rsid w:val="00B5064D"/>
    <w:pPr>
      <w:numPr>
        <w:ilvl w:val="1"/>
      </w:numPr>
      <w:tabs>
        <w:tab w:val="clear" w:pos="568"/>
        <w:tab w:val="left" w:pos="851"/>
      </w:tabs>
    </w:pPr>
  </w:style>
  <w:style w:type="paragraph" w:customStyle="1" w:styleId="Bullet3">
    <w:name w:val="Bullet 3"/>
    <w:basedOn w:val="Bullet2"/>
    <w:qFormat/>
    <w:rsid w:val="00B5064D"/>
    <w:pPr>
      <w:numPr>
        <w:ilvl w:val="2"/>
      </w:numPr>
      <w:tabs>
        <w:tab w:val="clear" w:pos="852"/>
        <w:tab w:val="left" w:pos="1134"/>
      </w:tabs>
    </w:pPr>
  </w:style>
  <w:style w:type="numbering" w:customStyle="1" w:styleId="BulletsList">
    <w:name w:val="Bullets List"/>
    <w:uiPriority w:val="99"/>
    <w:rsid w:val="00B5064D"/>
    <w:pPr>
      <w:numPr>
        <w:numId w:val="1"/>
      </w:numPr>
    </w:pPr>
  </w:style>
  <w:style w:type="paragraph" w:customStyle="1" w:styleId="TableHeaderRow">
    <w:name w:val="Table Header Row"/>
    <w:basedOn w:val="Normal"/>
    <w:qFormat/>
    <w:rsid w:val="00B5064D"/>
    <w:pPr>
      <w:spacing w:before="60"/>
    </w:pPr>
    <w:rPr>
      <w:rFonts w:ascii="Calibri" w:hAnsi="Calibri"/>
      <w:b/>
      <w:color w:val="FFFFFF" w:themeColor="background1"/>
      <w:szCs w:val="21"/>
    </w:rPr>
  </w:style>
  <w:style w:type="table" w:customStyle="1" w:styleId="DFATTable1">
    <w:name w:val="DFAT Table 1"/>
    <w:basedOn w:val="TableNormal"/>
    <w:uiPriority w:val="99"/>
    <w:rsid w:val="00B5064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B5064D"/>
  </w:style>
  <w:style w:type="character" w:customStyle="1" w:styleId="BodyTextChar">
    <w:name w:val="Body Text Char"/>
    <w:basedOn w:val="DefaultParagraphFont"/>
    <w:link w:val="BodyText"/>
    <w:uiPriority w:val="99"/>
    <w:rsid w:val="00B5064D"/>
    <w:rPr>
      <w:color w:val="44546A" w:themeColor="text2"/>
      <w:lang w:val="en-GB"/>
    </w:rPr>
  </w:style>
  <w:style w:type="character" w:customStyle="1" w:styleId="Heading2Char">
    <w:name w:val="Heading 2 Char"/>
    <w:basedOn w:val="DefaultParagraphFont"/>
    <w:link w:val="Heading2"/>
    <w:uiPriority w:val="9"/>
    <w:semiHidden/>
    <w:rsid w:val="00B5064D"/>
    <w:rPr>
      <w:rFonts w:asciiTheme="majorHAnsi" w:eastAsiaTheme="majorEastAsia" w:hAnsiTheme="majorHAnsi" w:cstheme="majorBidi"/>
      <w:color w:val="2E74B5" w:themeColor="accent1" w:themeShade="BF"/>
      <w:sz w:val="26"/>
      <w:szCs w:val="26"/>
      <w:lang w:val="en-GB"/>
    </w:rPr>
  </w:style>
  <w:style w:type="paragraph" w:styleId="ListParagraph">
    <w:name w:val="List Paragraph"/>
    <w:aliases w:val="Question wording,List Paragraph1,Recommendation,List Paragraph11,L,List Paragraph2,Medium Grid 1 - Accent 21,CV text,F5 List Paragraph,Dot pt,List Paragraph111,Numbered Paragraph,Bulleted Para,NFP GP Bulleted List,FooterText,numbered,列出段落"/>
    <w:basedOn w:val="Normal"/>
    <w:link w:val="ListParagraphChar"/>
    <w:uiPriority w:val="34"/>
    <w:qFormat/>
    <w:rsid w:val="00FC3398"/>
    <w:pPr>
      <w:ind w:left="720"/>
      <w:contextualSpacing/>
    </w:pPr>
  </w:style>
  <w:style w:type="paragraph" w:customStyle="1" w:styleId="Default">
    <w:name w:val="Default"/>
    <w:rsid w:val="002565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1B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D1"/>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BD4B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4B31"/>
    <w:rPr>
      <w:color w:val="44546A" w:themeColor="text2"/>
      <w:lang w:val="en-GB"/>
    </w:rPr>
  </w:style>
  <w:style w:type="paragraph" w:styleId="Footer">
    <w:name w:val="footer"/>
    <w:basedOn w:val="Normal"/>
    <w:link w:val="FooterChar"/>
    <w:uiPriority w:val="99"/>
    <w:unhideWhenUsed/>
    <w:rsid w:val="00BD4B3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4B31"/>
    <w:rPr>
      <w:color w:val="44546A" w:themeColor="text2"/>
      <w:lang w:val="en-GB"/>
    </w:rPr>
  </w:style>
  <w:style w:type="character" w:styleId="CommentReference">
    <w:name w:val="annotation reference"/>
    <w:basedOn w:val="DefaultParagraphFont"/>
    <w:uiPriority w:val="99"/>
    <w:semiHidden/>
    <w:unhideWhenUsed/>
    <w:rsid w:val="00CC122E"/>
    <w:rPr>
      <w:sz w:val="16"/>
      <w:szCs w:val="16"/>
    </w:rPr>
  </w:style>
  <w:style w:type="paragraph" w:styleId="CommentText">
    <w:name w:val="annotation text"/>
    <w:basedOn w:val="Normal"/>
    <w:link w:val="CommentTextChar"/>
    <w:uiPriority w:val="99"/>
    <w:semiHidden/>
    <w:unhideWhenUsed/>
    <w:rsid w:val="00CC122E"/>
    <w:pPr>
      <w:widowControl w:val="0"/>
      <w:suppressAutoHyphens w:val="0"/>
      <w:autoSpaceDE w:val="0"/>
      <w:autoSpaceDN w:val="0"/>
      <w:spacing w:before="0" w:after="0" w:line="240" w:lineRule="auto"/>
    </w:pPr>
    <w:rPr>
      <w:rFonts w:ascii="Calibri" w:eastAsia="Calibri" w:hAnsi="Calibri" w:cs="Calibri"/>
      <w:color w:val="auto"/>
      <w:sz w:val="20"/>
      <w:szCs w:val="20"/>
      <w:lang w:val="en-AU" w:eastAsia="en-AU" w:bidi="en-AU"/>
    </w:rPr>
  </w:style>
  <w:style w:type="character" w:customStyle="1" w:styleId="CommentTextChar">
    <w:name w:val="Comment Text Char"/>
    <w:basedOn w:val="DefaultParagraphFont"/>
    <w:link w:val="CommentText"/>
    <w:uiPriority w:val="99"/>
    <w:semiHidden/>
    <w:rsid w:val="00CC122E"/>
    <w:rPr>
      <w:rFonts w:ascii="Calibri" w:eastAsia="Calibri" w:hAnsi="Calibri" w:cs="Calibri"/>
      <w:sz w:val="20"/>
      <w:szCs w:val="20"/>
      <w:lang w:eastAsia="en-AU" w:bidi="en-AU"/>
    </w:rPr>
  </w:style>
  <w:style w:type="character" w:customStyle="1" w:styleId="ListParagraphChar">
    <w:name w:val="List Paragraph Char"/>
    <w:aliases w:val="Question wording Char,List Paragraph1 Char,Recommendation Char,List Paragraph11 Char,L Char,List Paragraph2 Char,Medium Grid 1 - Accent 21 Char,CV text Char,F5 List Paragraph Char,Dot pt Char,List Paragraph111 Char,Bulleted Para Char"/>
    <w:basedOn w:val="DefaultParagraphFont"/>
    <w:link w:val="ListParagraph"/>
    <w:uiPriority w:val="34"/>
    <w:locked/>
    <w:rsid w:val="00CC122E"/>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7187F3-814C-4745-BAFD-E84AACAEC528}"/>
</file>

<file path=customXml/itemProps2.xml><?xml version="1.0" encoding="utf-8"?>
<ds:datastoreItem xmlns:ds="http://schemas.openxmlformats.org/officeDocument/2006/customXml" ds:itemID="{E1FAAD18-1D00-43D0-9B3F-A9B02A7DE61A}"/>
</file>

<file path=customXml/itemProps3.xml><?xml version="1.0" encoding="utf-8"?>
<ds:datastoreItem xmlns:ds="http://schemas.openxmlformats.org/officeDocument/2006/customXml" ds:itemID="{8451B2F2-7813-47DF-9287-61818CD68C33}"/>
</file>

<file path=customXml/itemProps4.xml><?xml version="1.0" encoding="utf-8"?>
<ds:datastoreItem xmlns:ds="http://schemas.openxmlformats.org/officeDocument/2006/customXml" ds:itemID="{A86072A7-B053-4057-8C01-5EEB55B8E8BB}"/>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2019-06-25T04:17:00Z</dcterms:created>
  <dcterms:modified xsi:type="dcterms:W3CDTF">2019-06-25T04:17:00Z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e7958335-87e0-494a-ad69-cf3993545957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