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75E1" w14:textId="19D7C013" w:rsidR="00A1411D" w:rsidRDefault="00A1411D" w:rsidP="00234E32">
      <w:pPr>
        <w:pStyle w:val="Heading1"/>
        <w:jc w:val="center"/>
      </w:pPr>
      <w:r>
        <w:t xml:space="preserve">DFAT </w:t>
      </w:r>
      <w:r w:rsidR="00786F96" w:rsidRPr="00786F96">
        <w:t>Management Response</w:t>
      </w:r>
      <w:r w:rsidR="00234E32">
        <w:br/>
      </w:r>
      <w:r w:rsidR="00E872DF" w:rsidRPr="00E872DF">
        <w:t>Australia Awards Cambodia</w:t>
      </w:r>
      <w:r>
        <w:t xml:space="preserve"> End of Program Evaluation</w:t>
      </w:r>
    </w:p>
    <w:p w14:paraId="213172BF" w14:textId="77777777" w:rsidR="00D17443" w:rsidRDefault="00D17443" w:rsidP="002A379B">
      <w:pPr>
        <w:rPr>
          <w:b/>
          <w:bCs/>
        </w:rPr>
      </w:pPr>
    </w:p>
    <w:tbl>
      <w:tblPr>
        <w:tblStyle w:val="TableGrid"/>
        <w:tblW w:w="14006" w:type="dxa"/>
        <w:tblLook w:val="04A0" w:firstRow="1" w:lastRow="0" w:firstColumn="1" w:lastColumn="0" w:noHBand="0" w:noVBand="1"/>
      </w:tblPr>
      <w:tblGrid>
        <w:gridCol w:w="704"/>
        <w:gridCol w:w="4253"/>
        <w:gridCol w:w="1843"/>
        <w:gridCol w:w="3472"/>
        <w:gridCol w:w="2507"/>
        <w:gridCol w:w="1227"/>
      </w:tblGrid>
      <w:tr w:rsidR="00D17443" w:rsidRPr="002A57E6" w14:paraId="37E8689F" w14:textId="77777777" w:rsidTr="00234E32">
        <w:trPr>
          <w:tblHeader/>
        </w:trPr>
        <w:tc>
          <w:tcPr>
            <w:tcW w:w="704" w:type="dxa"/>
          </w:tcPr>
          <w:p w14:paraId="21256D08" w14:textId="35AEE9E3" w:rsidR="00D17443" w:rsidRPr="002A57E6" w:rsidRDefault="000D14D8" w:rsidP="002D3257">
            <w:pPr>
              <w:rPr>
                <w:b/>
                <w:bCs/>
              </w:rPr>
            </w:pPr>
            <w:r>
              <w:rPr>
                <w:b/>
                <w:bCs/>
              </w:rPr>
              <w:t>No.</w:t>
            </w:r>
          </w:p>
        </w:tc>
        <w:tc>
          <w:tcPr>
            <w:tcW w:w="4253" w:type="dxa"/>
          </w:tcPr>
          <w:p w14:paraId="33D491E4" w14:textId="77777777" w:rsidR="00D17443" w:rsidRPr="002A57E6" w:rsidRDefault="00D17443" w:rsidP="002D3257">
            <w:pPr>
              <w:rPr>
                <w:b/>
                <w:bCs/>
              </w:rPr>
            </w:pPr>
            <w:r w:rsidRPr="002A57E6">
              <w:rPr>
                <w:b/>
                <w:bCs/>
              </w:rPr>
              <w:t>Recommendation</w:t>
            </w:r>
          </w:p>
        </w:tc>
        <w:tc>
          <w:tcPr>
            <w:tcW w:w="1843" w:type="dxa"/>
          </w:tcPr>
          <w:p w14:paraId="7CEDA454" w14:textId="77777777" w:rsidR="00D17443" w:rsidRPr="002A57E6" w:rsidRDefault="00D17443" w:rsidP="002D3257">
            <w:pPr>
              <w:rPr>
                <w:b/>
                <w:bCs/>
              </w:rPr>
            </w:pPr>
            <w:r w:rsidRPr="002A57E6">
              <w:rPr>
                <w:b/>
                <w:bCs/>
              </w:rPr>
              <w:t>Response</w:t>
            </w:r>
          </w:p>
        </w:tc>
        <w:tc>
          <w:tcPr>
            <w:tcW w:w="3472" w:type="dxa"/>
          </w:tcPr>
          <w:p w14:paraId="43C615D0" w14:textId="77777777" w:rsidR="00D17443" w:rsidRPr="002A57E6" w:rsidRDefault="00D17443" w:rsidP="002D3257">
            <w:pPr>
              <w:rPr>
                <w:b/>
                <w:bCs/>
              </w:rPr>
            </w:pPr>
            <w:r w:rsidRPr="002A57E6">
              <w:rPr>
                <w:b/>
                <w:bCs/>
              </w:rPr>
              <w:t>Explanation</w:t>
            </w:r>
          </w:p>
        </w:tc>
        <w:tc>
          <w:tcPr>
            <w:tcW w:w="2507" w:type="dxa"/>
          </w:tcPr>
          <w:p w14:paraId="213FAA9A" w14:textId="77777777" w:rsidR="00D17443" w:rsidRPr="002A57E6" w:rsidRDefault="00D17443" w:rsidP="002D3257">
            <w:pPr>
              <w:rPr>
                <w:b/>
                <w:bCs/>
              </w:rPr>
            </w:pPr>
            <w:r w:rsidRPr="002A57E6">
              <w:rPr>
                <w:b/>
                <w:bCs/>
              </w:rPr>
              <w:t>Action Plan</w:t>
            </w:r>
          </w:p>
        </w:tc>
        <w:tc>
          <w:tcPr>
            <w:tcW w:w="1227" w:type="dxa"/>
          </w:tcPr>
          <w:p w14:paraId="228087DA" w14:textId="77777777" w:rsidR="00D17443" w:rsidRPr="002A57E6" w:rsidRDefault="00D17443" w:rsidP="002D3257">
            <w:pPr>
              <w:rPr>
                <w:b/>
                <w:bCs/>
              </w:rPr>
            </w:pPr>
            <w:r w:rsidRPr="002A57E6">
              <w:rPr>
                <w:b/>
                <w:bCs/>
              </w:rPr>
              <w:t>Time Frame</w:t>
            </w:r>
          </w:p>
        </w:tc>
      </w:tr>
      <w:tr w:rsidR="00D17443" w:rsidRPr="00CC0FBA" w14:paraId="64A081E3" w14:textId="77777777" w:rsidTr="00D17443">
        <w:tc>
          <w:tcPr>
            <w:tcW w:w="704" w:type="dxa"/>
          </w:tcPr>
          <w:p w14:paraId="6A027EF7" w14:textId="7AE2AA5C" w:rsidR="00D17443" w:rsidRPr="00CC0FBA" w:rsidRDefault="00D17443" w:rsidP="002D3257">
            <w:pPr>
              <w:rPr>
                <w:rFonts w:asciiTheme="majorHAnsi" w:hAnsiTheme="majorHAnsi" w:cstheme="majorHAnsi"/>
              </w:rPr>
            </w:pPr>
            <w:r w:rsidRPr="00CC0FBA">
              <w:rPr>
                <w:rFonts w:asciiTheme="majorHAnsi" w:hAnsiTheme="majorHAnsi" w:cstheme="majorHAnsi"/>
              </w:rPr>
              <w:t>1</w:t>
            </w:r>
            <w:r w:rsidR="00CC0FBA">
              <w:rPr>
                <w:rFonts w:asciiTheme="majorHAnsi" w:hAnsiTheme="majorHAnsi" w:cstheme="majorHAnsi"/>
              </w:rPr>
              <w:t>.</w:t>
            </w:r>
          </w:p>
        </w:tc>
        <w:tc>
          <w:tcPr>
            <w:tcW w:w="4253" w:type="dxa"/>
          </w:tcPr>
          <w:p w14:paraId="48B2090E" w14:textId="77777777" w:rsidR="006C3A1A" w:rsidRPr="00CC0FBA" w:rsidRDefault="006C3A1A" w:rsidP="00235BD4">
            <w:pPr>
              <w:rPr>
                <w:rFonts w:asciiTheme="majorHAnsi" w:hAnsiTheme="majorHAnsi" w:cstheme="majorHAnsi"/>
              </w:rPr>
            </w:pPr>
            <w:r w:rsidRPr="00CC0FBA">
              <w:rPr>
                <w:rFonts w:asciiTheme="majorHAnsi" w:hAnsiTheme="majorHAnsi" w:cstheme="majorHAnsi"/>
              </w:rPr>
              <w:t xml:space="preserve">Embed locally led development principles more systematically. </w:t>
            </w:r>
          </w:p>
          <w:p w14:paraId="2B8D1890" w14:textId="77777777" w:rsidR="00D17443" w:rsidRPr="00CC0FBA" w:rsidRDefault="00D17443" w:rsidP="002D3257">
            <w:pPr>
              <w:rPr>
                <w:rFonts w:asciiTheme="majorHAnsi" w:hAnsiTheme="majorHAnsi" w:cstheme="majorHAnsi"/>
              </w:rPr>
            </w:pPr>
          </w:p>
          <w:p w14:paraId="7CCDB673" w14:textId="04B0E1CF" w:rsidR="00AB73EE" w:rsidRPr="00CC0FBA" w:rsidRDefault="00AB73EE" w:rsidP="002A379B">
            <w:pPr>
              <w:rPr>
                <w:rFonts w:asciiTheme="majorHAnsi" w:hAnsiTheme="majorHAnsi" w:cstheme="majorHAnsi"/>
              </w:rPr>
            </w:pPr>
            <w:r w:rsidRPr="00CC0FBA">
              <w:rPr>
                <w:rFonts w:asciiTheme="majorHAnsi" w:hAnsiTheme="majorHAnsi" w:cstheme="majorHAnsi"/>
              </w:rPr>
              <w:t>Ensure structured Cambodian stakeholder input across the award cycle, particularly in identifying critical knowledge and skill gaps and informing the targeting approach. Strengthen partnerships with priority organisations that align with Australia’s strategic objectives in Cambodia. The rationale for encouraging employer engagement during the award period is to improve relevance and utilisation of skills upon return, addressing a current gap where reintegration planning is often deferred until completion. This includes formalising partnership agreements (e.g.</w:t>
            </w:r>
            <w:r w:rsidR="0052487F">
              <w:rPr>
                <w:rFonts w:asciiTheme="majorHAnsi" w:hAnsiTheme="majorHAnsi" w:cstheme="majorHAnsi"/>
              </w:rPr>
              <w:t xml:space="preserve"> </w:t>
            </w:r>
            <w:proofErr w:type="spellStart"/>
            <w:r w:rsidRPr="00CC0FBA">
              <w:rPr>
                <w:rFonts w:asciiTheme="majorHAnsi" w:hAnsiTheme="majorHAnsi" w:cstheme="majorHAnsi"/>
              </w:rPr>
              <w:t>MoUs</w:t>
            </w:r>
            <w:proofErr w:type="spellEnd"/>
            <w:r w:rsidRPr="00CC0FBA">
              <w:rPr>
                <w:rFonts w:asciiTheme="majorHAnsi" w:hAnsiTheme="majorHAnsi" w:cstheme="majorHAnsi"/>
              </w:rPr>
              <w:t>) with ministries, universities, civil society organisations, and Organisations of Persons with Disability (OPDs)</w:t>
            </w:r>
            <w:r w:rsidR="0071148F">
              <w:rPr>
                <w:rFonts w:asciiTheme="majorHAnsi" w:hAnsiTheme="majorHAnsi" w:cstheme="majorHAnsi"/>
              </w:rPr>
              <w:t xml:space="preserve">. </w:t>
            </w:r>
          </w:p>
        </w:tc>
        <w:tc>
          <w:tcPr>
            <w:tcW w:w="1843" w:type="dxa"/>
          </w:tcPr>
          <w:p w14:paraId="7ADD491E" w14:textId="094AE511" w:rsidR="00D17443" w:rsidRPr="00CC0FBA" w:rsidRDefault="007B4A10" w:rsidP="002D3257">
            <w:pPr>
              <w:rPr>
                <w:rFonts w:asciiTheme="majorHAnsi" w:hAnsiTheme="majorHAnsi" w:cstheme="majorHAnsi"/>
              </w:rPr>
            </w:pPr>
            <w:r>
              <w:rPr>
                <w:rFonts w:asciiTheme="majorHAnsi" w:hAnsiTheme="majorHAnsi" w:cstheme="majorHAnsi"/>
              </w:rPr>
              <w:t xml:space="preserve">Partially Agree </w:t>
            </w:r>
          </w:p>
        </w:tc>
        <w:tc>
          <w:tcPr>
            <w:tcW w:w="3472" w:type="dxa"/>
          </w:tcPr>
          <w:p w14:paraId="72F3D303" w14:textId="2C4CAACC" w:rsidR="00F03960" w:rsidRDefault="00FE7969" w:rsidP="002D3257">
            <w:pPr>
              <w:rPr>
                <w:rFonts w:asciiTheme="majorHAnsi" w:hAnsiTheme="majorHAnsi" w:cstheme="majorHAnsi"/>
              </w:rPr>
            </w:pPr>
            <w:r w:rsidRPr="00FE7969">
              <w:rPr>
                <w:rFonts w:asciiTheme="majorHAnsi" w:hAnsiTheme="majorHAnsi" w:cstheme="majorHAnsi"/>
              </w:rPr>
              <w:t>Australia Awards in Cambodia systematically embeds locally led development by requiring applicants to design Reintegration Plans that map directly to Cambodia's strategic development.</w:t>
            </w:r>
            <w:r w:rsidR="00696C04">
              <w:t xml:space="preserve"> </w:t>
            </w:r>
            <w:r w:rsidR="00696C04" w:rsidRPr="00696C04">
              <w:rPr>
                <w:rFonts w:asciiTheme="majorHAnsi" w:hAnsiTheme="majorHAnsi" w:cstheme="majorHAnsi"/>
              </w:rPr>
              <w:t>Candidates must demonstrate how their Australian post-graduate education will address specific, domestic policy or industry gaps</w:t>
            </w:r>
            <w:r w:rsidR="00696C04">
              <w:rPr>
                <w:rFonts w:asciiTheme="majorHAnsi" w:hAnsiTheme="majorHAnsi" w:cstheme="majorHAnsi"/>
              </w:rPr>
              <w:t>.</w:t>
            </w:r>
            <w:r w:rsidR="006957E0">
              <w:t xml:space="preserve"> R</w:t>
            </w:r>
            <w:r w:rsidR="006957E0" w:rsidRPr="006957E0">
              <w:rPr>
                <w:rFonts w:asciiTheme="majorHAnsi" w:hAnsiTheme="majorHAnsi" w:cstheme="majorHAnsi"/>
              </w:rPr>
              <w:t xml:space="preserve">eturning scholars are supported through active Alumni Networks and Community Leadership Awards, creating an ongoing, </w:t>
            </w:r>
            <w:proofErr w:type="gramStart"/>
            <w:r w:rsidR="006957E0" w:rsidRPr="006957E0">
              <w:rPr>
                <w:rFonts w:asciiTheme="majorHAnsi" w:hAnsiTheme="majorHAnsi" w:cstheme="majorHAnsi"/>
              </w:rPr>
              <w:t>locally-sustained</w:t>
            </w:r>
            <w:proofErr w:type="gramEnd"/>
            <w:r w:rsidR="006957E0" w:rsidRPr="006957E0">
              <w:rPr>
                <w:rFonts w:asciiTheme="majorHAnsi" w:hAnsiTheme="majorHAnsi" w:cstheme="majorHAnsi"/>
              </w:rPr>
              <w:t xml:space="preserve"> framework for mentorship, institutional collaboration and grassroots development.</w:t>
            </w:r>
          </w:p>
          <w:p w14:paraId="04E6FAEE" w14:textId="77777777" w:rsidR="00696C04" w:rsidRDefault="00696C04" w:rsidP="002D3257">
            <w:pPr>
              <w:rPr>
                <w:rFonts w:asciiTheme="majorHAnsi" w:hAnsiTheme="majorHAnsi" w:cstheme="majorHAnsi"/>
              </w:rPr>
            </w:pPr>
          </w:p>
          <w:p w14:paraId="164B011B" w14:textId="7BA63A84" w:rsidR="00696C04" w:rsidRPr="00CC0FBA" w:rsidRDefault="00696C04" w:rsidP="002D3257">
            <w:pPr>
              <w:rPr>
                <w:rFonts w:asciiTheme="majorHAnsi" w:hAnsiTheme="majorHAnsi" w:cstheme="majorHAnsi"/>
              </w:rPr>
            </w:pPr>
          </w:p>
        </w:tc>
        <w:tc>
          <w:tcPr>
            <w:tcW w:w="2507" w:type="dxa"/>
          </w:tcPr>
          <w:p w14:paraId="5676305D" w14:textId="7FF0B1C5" w:rsidR="00D37FC6" w:rsidRPr="002A379B" w:rsidRDefault="001956FD" w:rsidP="002D3257">
            <w:r w:rsidRPr="00E166E3">
              <w:rPr>
                <w:rFonts w:asciiTheme="majorHAnsi" w:hAnsiTheme="majorHAnsi" w:cstheme="majorHAnsi"/>
              </w:rPr>
              <w:t xml:space="preserve">In addition to the </w:t>
            </w:r>
            <w:r w:rsidR="00D44A6E" w:rsidRPr="00E166E3">
              <w:rPr>
                <w:rFonts w:asciiTheme="majorHAnsi" w:hAnsiTheme="majorHAnsi" w:cstheme="majorHAnsi"/>
              </w:rPr>
              <w:t xml:space="preserve">current </w:t>
            </w:r>
            <w:r w:rsidRPr="00E166E3">
              <w:rPr>
                <w:rFonts w:asciiTheme="majorHAnsi" w:hAnsiTheme="majorHAnsi" w:cstheme="majorHAnsi"/>
              </w:rPr>
              <w:t>Annual Strategic Review Meeting with the C</w:t>
            </w:r>
            <w:r w:rsidR="0083625A" w:rsidRPr="00E166E3">
              <w:rPr>
                <w:rFonts w:asciiTheme="majorHAnsi" w:hAnsiTheme="majorHAnsi" w:cstheme="majorHAnsi"/>
              </w:rPr>
              <w:t xml:space="preserve">ouncil for </w:t>
            </w:r>
            <w:r w:rsidRPr="00E166E3">
              <w:rPr>
                <w:rFonts w:asciiTheme="majorHAnsi" w:hAnsiTheme="majorHAnsi" w:cstheme="majorHAnsi"/>
              </w:rPr>
              <w:t>D</w:t>
            </w:r>
            <w:r w:rsidR="0083625A" w:rsidRPr="00E166E3">
              <w:rPr>
                <w:rFonts w:asciiTheme="majorHAnsi" w:hAnsiTheme="majorHAnsi" w:cstheme="majorHAnsi"/>
              </w:rPr>
              <w:t xml:space="preserve">evelopment of </w:t>
            </w:r>
            <w:r w:rsidRPr="00E166E3">
              <w:rPr>
                <w:rFonts w:asciiTheme="majorHAnsi" w:hAnsiTheme="majorHAnsi" w:cstheme="majorHAnsi"/>
              </w:rPr>
              <w:t>C</w:t>
            </w:r>
            <w:r w:rsidR="0083625A" w:rsidRPr="00E166E3">
              <w:rPr>
                <w:rFonts w:asciiTheme="majorHAnsi" w:hAnsiTheme="majorHAnsi" w:cstheme="majorHAnsi"/>
              </w:rPr>
              <w:t>ambodia</w:t>
            </w:r>
            <w:r w:rsidRPr="00E166E3">
              <w:rPr>
                <w:rFonts w:asciiTheme="majorHAnsi" w:hAnsiTheme="majorHAnsi" w:cstheme="majorHAnsi"/>
              </w:rPr>
              <w:t xml:space="preserve">, DFAT and AAC will also consult </w:t>
            </w:r>
            <w:r w:rsidR="00AF7B19" w:rsidRPr="00E166E3">
              <w:rPr>
                <w:rFonts w:asciiTheme="majorHAnsi" w:hAnsiTheme="majorHAnsi" w:cstheme="majorHAnsi"/>
              </w:rPr>
              <w:t>with Ministry of Education Youth</w:t>
            </w:r>
            <w:r w:rsidR="00062943" w:rsidRPr="00E166E3">
              <w:rPr>
                <w:rFonts w:asciiTheme="majorHAnsi" w:hAnsiTheme="majorHAnsi" w:cstheme="majorHAnsi"/>
              </w:rPr>
              <w:t xml:space="preserve"> and Sport</w:t>
            </w:r>
            <w:r w:rsidR="00D44A6E" w:rsidRPr="00E166E3">
              <w:rPr>
                <w:rFonts w:asciiTheme="majorHAnsi" w:hAnsiTheme="majorHAnsi" w:cstheme="majorHAnsi"/>
              </w:rPr>
              <w:t xml:space="preserve">, </w:t>
            </w:r>
            <w:r w:rsidR="00A448AD" w:rsidRPr="00E166E3">
              <w:rPr>
                <w:rFonts w:asciiTheme="majorHAnsi" w:hAnsiTheme="majorHAnsi" w:cstheme="majorHAnsi"/>
              </w:rPr>
              <w:t xml:space="preserve">and other </w:t>
            </w:r>
            <w:r w:rsidR="00D44A6E" w:rsidRPr="00E166E3">
              <w:rPr>
                <w:rFonts w:asciiTheme="majorHAnsi" w:hAnsiTheme="majorHAnsi" w:cstheme="majorHAnsi"/>
              </w:rPr>
              <w:t>government committees and bodies relevant to skills development</w:t>
            </w:r>
            <w:r w:rsidR="00AF7B19" w:rsidRPr="00E166E3">
              <w:rPr>
                <w:rFonts w:asciiTheme="majorHAnsi" w:hAnsiTheme="majorHAnsi" w:cstheme="majorHAnsi"/>
              </w:rPr>
              <w:t xml:space="preserve">. Once priority skill gaps are identified </w:t>
            </w:r>
            <w:r w:rsidR="00B027FB" w:rsidRPr="00E166E3">
              <w:rPr>
                <w:rFonts w:asciiTheme="majorHAnsi" w:hAnsiTheme="majorHAnsi" w:cstheme="majorHAnsi"/>
              </w:rPr>
              <w:t xml:space="preserve">(including those linked to economic and broader development objectives), </w:t>
            </w:r>
            <w:r w:rsidR="004C4246" w:rsidRPr="00E166E3">
              <w:rPr>
                <w:rFonts w:asciiTheme="majorHAnsi" w:hAnsiTheme="majorHAnsi" w:cstheme="majorHAnsi"/>
              </w:rPr>
              <w:t>AAC</w:t>
            </w:r>
            <w:r w:rsidR="00AF7B19" w:rsidRPr="00E166E3">
              <w:rPr>
                <w:rFonts w:asciiTheme="majorHAnsi" w:hAnsiTheme="majorHAnsi" w:cstheme="majorHAnsi"/>
              </w:rPr>
              <w:t xml:space="preserve"> </w:t>
            </w:r>
            <w:r w:rsidR="00A448AD" w:rsidRPr="00E166E3">
              <w:rPr>
                <w:rFonts w:asciiTheme="majorHAnsi" w:hAnsiTheme="majorHAnsi" w:cstheme="majorHAnsi"/>
              </w:rPr>
              <w:t xml:space="preserve">will </w:t>
            </w:r>
            <w:r w:rsidR="00F74095" w:rsidRPr="00E166E3">
              <w:rPr>
                <w:rFonts w:asciiTheme="majorHAnsi" w:hAnsiTheme="majorHAnsi" w:cstheme="majorHAnsi"/>
              </w:rPr>
              <w:t xml:space="preserve">align </w:t>
            </w:r>
            <w:r w:rsidR="002E591D" w:rsidRPr="00E166E3">
              <w:rPr>
                <w:rFonts w:asciiTheme="majorHAnsi" w:hAnsiTheme="majorHAnsi" w:cstheme="majorHAnsi"/>
              </w:rPr>
              <w:t xml:space="preserve">promotions and targeting </w:t>
            </w:r>
            <w:r w:rsidR="00B027FB" w:rsidRPr="00E166E3">
              <w:rPr>
                <w:rFonts w:asciiTheme="majorHAnsi" w:hAnsiTheme="majorHAnsi" w:cstheme="majorHAnsi"/>
              </w:rPr>
              <w:t>and will also factor these into interview and selection processes, </w:t>
            </w:r>
            <w:r w:rsidR="00AF7B19" w:rsidRPr="00E166E3">
              <w:rPr>
                <w:rFonts w:asciiTheme="majorHAnsi" w:hAnsiTheme="majorHAnsi" w:cstheme="majorHAnsi"/>
              </w:rPr>
              <w:t>to ensure that AAC continues to meet</w:t>
            </w:r>
            <w:r w:rsidR="00CF5293" w:rsidRPr="00E166E3">
              <w:rPr>
                <w:rFonts w:asciiTheme="majorHAnsi" w:hAnsiTheme="majorHAnsi" w:cstheme="majorHAnsi"/>
              </w:rPr>
              <w:t xml:space="preserve"> critical skills and capabilities gaps in </w:t>
            </w:r>
            <w:r w:rsidR="00CF5293" w:rsidRPr="00E166E3">
              <w:rPr>
                <w:rFonts w:asciiTheme="majorHAnsi" w:hAnsiTheme="majorHAnsi" w:cstheme="majorHAnsi"/>
              </w:rPr>
              <w:lastRenderedPageBreak/>
              <w:t>Cambodia.</w:t>
            </w:r>
            <w:r w:rsidR="00CF5293" w:rsidRPr="00E166E3">
              <w:t xml:space="preserve"> </w:t>
            </w:r>
            <w:r w:rsidR="00B027FB" w:rsidRPr="00E166E3">
              <w:t>This will be balanced with maintaining an open and inclusive approach, as per program design, recognising the value to Australia and Cambodia of supporting a diverse range of disciplines and candidates.</w:t>
            </w:r>
          </w:p>
        </w:tc>
        <w:tc>
          <w:tcPr>
            <w:tcW w:w="1227" w:type="dxa"/>
          </w:tcPr>
          <w:p w14:paraId="0F2A4B89" w14:textId="017DBE75" w:rsidR="00D17443" w:rsidRPr="00CC0FBA" w:rsidRDefault="00D91E4F" w:rsidP="002D3257">
            <w:pPr>
              <w:rPr>
                <w:rFonts w:asciiTheme="majorHAnsi" w:hAnsiTheme="majorHAnsi" w:cstheme="majorHAnsi"/>
              </w:rPr>
            </w:pPr>
            <w:r>
              <w:rPr>
                <w:rFonts w:asciiTheme="majorHAnsi" w:hAnsiTheme="majorHAnsi" w:cstheme="majorHAnsi"/>
              </w:rPr>
              <w:lastRenderedPageBreak/>
              <w:t xml:space="preserve">Annually </w:t>
            </w:r>
          </w:p>
        </w:tc>
      </w:tr>
      <w:tr w:rsidR="00D17443" w:rsidRPr="00CC0FBA" w14:paraId="3C6DA055" w14:textId="77777777" w:rsidTr="00D17443">
        <w:tc>
          <w:tcPr>
            <w:tcW w:w="704" w:type="dxa"/>
          </w:tcPr>
          <w:p w14:paraId="7CA3C75D" w14:textId="64AE8F38" w:rsidR="00D17443" w:rsidRPr="00CC0FBA" w:rsidRDefault="00D17443" w:rsidP="002D3257">
            <w:pPr>
              <w:rPr>
                <w:rFonts w:asciiTheme="majorHAnsi" w:hAnsiTheme="majorHAnsi" w:cstheme="majorHAnsi"/>
              </w:rPr>
            </w:pPr>
            <w:r w:rsidRPr="00CC0FBA">
              <w:rPr>
                <w:rFonts w:asciiTheme="majorHAnsi" w:hAnsiTheme="majorHAnsi" w:cstheme="majorHAnsi"/>
              </w:rPr>
              <w:t>2</w:t>
            </w:r>
            <w:r w:rsidR="00CC0FBA">
              <w:rPr>
                <w:rFonts w:asciiTheme="majorHAnsi" w:hAnsiTheme="majorHAnsi" w:cstheme="majorHAnsi"/>
              </w:rPr>
              <w:t>.</w:t>
            </w:r>
          </w:p>
        </w:tc>
        <w:tc>
          <w:tcPr>
            <w:tcW w:w="4253" w:type="dxa"/>
          </w:tcPr>
          <w:p w14:paraId="206144B4" w14:textId="77777777" w:rsidR="00A06008" w:rsidRPr="00CC0FBA" w:rsidRDefault="00A06008" w:rsidP="00235BD4">
            <w:pPr>
              <w:rPr>
                <w:rFonts w:asciiTheme="majorHAnsi" w:hAnsiTheme="majorHAnsi" w:cstheme="majorHAnsi"/>
              </w:rPr>
            </w:pPr>
            <w:r w:rsidRPr="00CC0FBA">
              <w:rPr>
                <w:rFonts w:asciiTheme="majorHAnsi" w:hAnsiTheme="majorHAnsi" w:cstheme="majorHAnsi"/>
              </w:rPr>
              <w:t xml:space="preserve">Consolidate sectoral and thematic focus to maximise critical mass and system influence. </w:t>
            </w:r>
          </w:p>
          <w:p w14:paraId="32243C30" w14:textId="4A0AF40B" w:rsidR="00D17443" w:rsidRPr="00CC0FBA" w:rsidRDefault="00A06008" w:rsidP="00C97919">
            <w:pPr>
              <w:rPr>
                <w:rFonts w:asciiTheme="majorHAnsi" w:hAnsiTheme="majorHAnsi" w:cstheme="majorHAnsi"/>
              </w:rPr>
            </w:pPr>
            <w:r w:rsidRPr="00CC0FBA">
              <w:rPr>
                <w:rFonts w:asciiTheme="majorHAnsi" w:hAnsiTheme="majorHAnsi" w:cstheme="majorHAnsi"/>
              </w:rPr>
              <w:t>More focused thematic areas could strengthen system-level impact; however, any targeting must be designed carefully to avoid excluding E</w:t>
            </w:r>
            <w:r w:rsidR="0068454E">
              <w:rPr>
                <w:rFonts w:asciiTheme="majorHAnsi" w:hAnsiTheme="majorHAnsi" w:cstheme="majorHAnsi"/>
              </w:rPr>
              <w:t xml:space="preserve">quity Pathway </w:t>
            </w:r>
            <w:r w:rsidRPr="00CC0FBA">
              <w:rPr>
                <w:rFonts w:asciiTheme="majorHAnsi" w:hAnsiTheme="majorHAnsi" w:cstheme="majorHAnsi"/>
              </w:rPr>
              <w:t>P</w:t>
            </w:r>
            <w:r w:rsidR="00FD64E2">
              <w:rPr>
                <w:rFonts w:asciiTheme="majorHAnsi" w:hAnsiTheme="majorHAnsi" w:cstheme="majorHAnsi"/>
              </w:rPr>
              <w:t>lan</w:t>
            </w:r>
            <w:r w:rsidR="00A51C86">
              <w:rPr>
                <w:rFonts w:asciiTheme="majorHAnsi" w:hAnsiTheme="majorHAnsi" w:cstheme="majorHAnsi"/>
              </w:rPr>
              <w:t xml:space="preserve"> </w:t>
            </w:r>
            <w:r w:rsidR="0068454E">
              <w:rPr>
                <w:rFonts w:asciiTheme="majorHAnsi" w:hAnsiTheme="majorHAnsi" w:cstheme="majorHAnsi"/>
              </w:rPr>
              <w:t>(EPP</w:t>
            </w:r>
            <w:r w:rsidR="007176EE">
              <w:rPr>
                <w:rFonts w:asciiTheme="majorHAnsi" w:hAnsiTheme="majorHAnsi" w:cstheme="majorHAnsi"/>
              </w:rPr>
              <w:t>)</w:t>
            </w:r>
            <w:r w:rsidRPr="00CC0FBA">
              <w:rPr>
                <w:rFonts w:asciiTheme="majorHAnsi" w:hAnsiTheme="majorHAnsi" w:cstheme="majorHAnsi"/>
              </w:rPr>
              <w:t xml:space="preserve"> candidates or narrowing pathways for non-traditional applicants. Periodic reviews and an “open field” component can help manage these trade-offs. </w:t>
            </w:r>
          </w:p>
        </w:tc>
        <w:tc>
          <w:tcPr>
            <w:tcW w:w="1843" w:type="dxa"/>
          </w:tcPr>
          <w:p w14:paraId="3325CB97" w14:textId="36DF2ABB" w:rsidR="00D17443" w:rsidRPr="00CC0FBA" w:rsidRDefault="009F58EF" w:rsidP="002D3257">
            <w:pPr>
              <w:rPr>
                <w:rFonts w:asciiTheme="majorHAnsi" w:hAnsiTheme="majorHAnsi" w:cstheme="majorHAnsi"/>
              </w:rPr>
            </w:pPr>
            <w:r>
              <w:rPr>
                <w:rFonts w:asciiTheme="majorHAnsi" w:hAnsiTheme="majorHAnsi" w:cstheme="majorHAnsi"/>
              </w:rPr>
              <w:t xml:space="preserve">Partially Agree </w:t>
            </w:r>
            <w:r w:rsidR="00CE543A">
              <w:rPr>
                <w:rFonts w:asciiTheme="majorHAnsi" w:hAnsiTheme="majorHAnsi" w:cstheme="majorHAnsi"/>
              </w:rPr>
              <w:t xml:space="preserve"> </w:t>
            </w:r>
          </w:p>
        </w:tc>
        <w:tc>
          <w:tcPr>
            <w:tcW w:w="3472" w:type="dxa"/>
          </w:tcPr>
          <w:p w14:paraId="691C5E02" w14:textId="5FFF1D4F" w:rsidR="00A273C4" w:rsidRDefault="00C96213" w:rsidP="002D3257">
            <w:pPr>
              <w:rPr>
                <w:rFonts w:asciiTheme="majorHAnsi" w:hAnsiTheme="majorHAnsi" w:cstheme="majorHAnsi"/>
              </w:rPr>
            </w:pPr>
            <w:r w:rsidRPr="00C96213">
              <w:rPr>
                <w:rFonts w:asciiTheme="majorHAnsi" w:hAnsiTheme="majorHAnsi" w:cstheme="majorHAnsi"/>
              </w:rPr>
              <w:t>There is no</w:t>
            </w:r>
            <w:r w:rsidR="006753F7">
              <w:rPr>
                <w:rFonts w:asciiTheme="majorHAnsi" w:hAnsiTheme="majorHAnsi" w:cstheme="majorHAnsi"/>
              </w:rPr>
              <w:t xml:space="preserve"> </w:t>
            </w:r>
            <w:r w:rsidR="00A003C8">
              <w:rPr>
                <w:rFonts w:asciiTheme="majorHAnsi" w:hAnsiTheme="majorHAnsi" w:cstheme="majorHAnsi"/>
              </w:rPr>
              <w:t xml:space="preserve">clustering </w:t>
            </w:r>
            <w:r w:rsidR="006753F7">
              <w:rPr>
                <w:rFonts w:asciiTheme="majorHAnsi" w:hAnsiTheme="majorHAnsi" w:cstheme="majorHAnsi"/>
              </w:rPr>
              <w:t xml:space="preserve">of </w:t>
            </w:r>
            <w:r w:rsidR="00974539">
              <w:rPr>
                <w:rFonts w:asciiTheme="majorHAnsi" w:hAnsiTheme="majorHAnsi" w:cstheme="majorHAnsi"/>
              </w:rPr>
              <w:t>scholarships and</w:t>
            </w:r>
            <w:r w:rsidR="00216D8C">
              <w:rPr>
                <w:rFonts w:asciiTheme="majorHAnsi" w:hAnsiTheme="majorHAnsi" w:cstheme="majorHAnsi"/>
              </w:rPr>
              <w:t xml:space="preserve"> narrowing sectors would introduce new risks such as shrinking the applicant pool, missed </w:t>
            </w:r>
            <w:r w:rsidR="004D3331">
              <w:rPr>
                <w:rFonts w:asciiTheme="majorHAnsi" w:hAnsiTheme="majorHAnsi" w:cstheme="majorHAnsi"/>
              </w:rPr>
              <w:t>emerging</w:t>
            </w:r>
            <w:r w:rsidR="00216D8C">
              <w:rPr>
                <w:rFonts w:asciiTheme="majorHAnsi" w:hAnsiTheme="majorHAnsi" w:cstheme="majorHAnsi"/>
              </w:rPr>
              <w:t xml:space="preserve"> development needs and </w:t>
            </w:r>
            <w:r w:rsidR="004D3331">
              <w:rPr>
                <w:rFonts w:asciiTheme="majorHAnsi" w:hAnsiTheme="majorHAnsi" w:cstheme="majorHAnsi"/>
              </w:rPr>
              <w:t xml:space="preserve">reduce long terms socio economic impact. </w:t>
            </w:r>
            <w:r w:rsidR="007B7574">
              <w:rPr>
                <w:rFonts w:asciiTheme="majorHAnsi" w:hAnsiTheme="majorHAnsi" w:cstheme="majorHAnsi"/>
              </w:rPr>
              <w:t>Limiting</w:t>
            </w:r>
            <w:r w:rsidR="00AD3CD4">
              <w:rPr>
                <w:rFonts w:asciiTheme="majorHAnsi" w:hAnsiTheme="majorHAnsi" w:cstheme="majorHAnsi"/>
              </w:rPr>
              <w:t xml:space="preserve"> areas of study </w:t>
            </w:r>
            <w:r w:rsidR="00D81F4E">
              <w:rPr>
                <w:rFonts w:asciiTheme="majorHAnsi" w:hAnsiTheme="majorHAnsi" w:cstheme="majorHAnsi"/>
              </w:rPr>
              <w:t>risks</w:t>
            </w:r>
            <w:r w:rsidR="00AD3CD4">
              <w:rPr>
                <w:rFonts w:asciiTheme="majorHAnsi" w:hAnsiTheme="majorHAnsi" w:cstheme="majorHAnsi"/>
              </w:rPr>
              <w:t xml:space="preserve"> alienat</w:t>
            </w:r>
            <w:r w:rsidR="00A273C4">
              <w:rPr>
                <w:rFonts w:asciiTheme="majorHAnsi" w:hAnsiTheme="majorHAnsi" w:cstheme="majorHAnsi"/>
              </w:rPr>
              <w:t>ing</w:t>
            </w:r>
            <w:r w:rsidR="00AD3CD4">
              <w:rPr>
                <w:rFonts w:asciiTheme="majorHAnsi" w:hAnsiTheme="majorHAnsi" w:cstheme="majorHAnsi"/>
              </w:rPr>
              <w:t xml:space="preserve"> specific </w:t>
            </w:r>
            <w:r w:rsidR="007B7574">
              <w:rPr>
                <w:rFonts w:asciiTheme="majorHAnsi" w:hAnsiTheme="majorHAnsi" w:cstheme="majorHAnsi"/>
              </w:rPr>
              <w:t>ministries</w:t>
            </w:r>
            <w:r w:rsidR="00AD3CD4">
              <w:rPr>
                <w:rFonts w:asciiTheme="majorHAnsi" w:hAnsiTheme="majorHAnsi" w:cstheme="majorHAnsi"/>
              </w:rPr>
              <w:t xml:space="preserve"> </w:t>
            </w:r>
            <w:r w:rsidR="007B7574">
              <w:rPr>
                <w:rFonts w:asciiTheme="majorHAnsi" w:hAnsiTheme="majorHAnsi" w:cstheme="majorHAnsi"/>
              </w:rPr>
              <w:t xml:space="preserve">making it hard to build cross government support. </w:t>
            </w:r>
          </w:p>
          <w:p w14:paraId="57628D29" w14:textId="77777777" w:rsidR="00A273C4" w:rsidRDefault="00A273C4" w:rsidP="002D3257">
            <w:pPr>
              <w:rPr>
                <w:rFonts w:asciiTheme="majorHAnsi" w:hAnsiTheme="majorHAnsi" w:cstheme="majorHAnsi"/>
              </w:rPr>
            </w:pPr>
          </w:p>
          <w:p w14:paraId="1BAD9E08" w14:textId="08FCE651" w:rsidR="00CA6C8B" w:rsidRPr="00C96213" w:rsidRDefault="00CA6C8B" w:rsidP="002D3257">
            <w:pPr>
              <w:rPr>
                <w:rFonts w:asciiTheme="majorHAnsi" w:hAnsiTheme="majorHAnsi" w:cstheme="majorHAnsi"/>
              </w:rPr>
            </w:pPr>
            <w:r w:rsidRPr="00CA6C8B">
              <w:rPr>
                <w:rFonts w:asciiTheme="majorHAnsi" w:hAnsiTheme="majorHAnsi" w:cstheme="majorHAnsi"/>
              </w:rPr>
              <w:t>Creating a critical mass of Australia Awards alumni in a specific Cambodian sector is challenging</w:t>
            </w:r>
            <w:r w:rsidR="002D1CA3">
              <w:rPr>
                <w:rFonts w:asciiTheme="majorHAnsi" w:hAnsiTheme="majorHAnsi" w:cstheme="majorHAnsi"/>
              </w:rPr>
              <w:t xml:space="preserve">. </w:t>
            </w:r>
            <w:r w:rsidR="00DB49A0" w:rsidRPr="00DB49A0">
              <w:rPr>
                <w:rFonts w:asciiTheme="majorHAnsi" w:hAnsiTheme="majorHAnsi" w:cstheme="majorHAnsi"/>
              </w:rPr>
              <w:t xml:space="preserve">Despite the openness of the program to different organisations, some have benefited more than others for example Ministry of Economy and Finance, National Bank of Cambodia and international NGOs. </w:t>
            </w:r>
          </w:p>
          <w:p w14:paraId="422A4CEB" w14:textId="77777777" w:rsidR="00C96213" w:rsidRDefault="00C96213" w:rsidP="002D3257"/>
          <w:p w14:paraId="35C94614" w14:textId="59144C45" w:rsidR="00D17443" w:rsidRDefault="0006044D" w:rsidP="002D3257">
            <w:pPr>
              <w:rPr>
                <w:rFonts w:asciiTheme="majorHAnsi" w:hAnsiTheme="majorHAnsi" w:cstheme="majorHAnsi"/>
              </w:rPr>
            </w:pPr>
            <w:r>
              <w:rPr>
                <w:rFonts w:asciiTheme="majorHAnsi" w:hAnsiTheme="majorHAnsi" w:cstheme="majorHAnsi"/>
              </w:rPr>
              <w:t xml:space="preserve">AAC </w:t>
            </w:r>
            <w:r w:rsidR="005F38DF">
              <w:rPr>
                <w:rFonts w:asciiTheme="majorHAnsi" w:hAnsiTheme="majorHAnsi" w:cstheme="majorHAnsi"/>
              </w:rPr>
              <w:t>P</w:t>
            </w:r>
            <w:r w:rsidR="005F38DF" w:rsidRPr="005F38DF">
              <w:rPr>
                <w:rFonts w:asciiTheme="majorHAnsi" w:hAnsiTheme="majorHAnsi" w:cstheme="majorHAnsi"/>
              </w:rPr>
              <w:t xml:space="preserve">riority sectors for Australia Awards in Cambodia are closely aligned with Australia’s Development Partnership Plan (DPP) 2025–2029. </w:t>
            </w:r>
            <w:r w:rsidR="00042CAB">
              <w:rPr>
                <w:rFonts w:asciiTheme="majorHAnsi" w:hAnsiTheme="majorHAnsi" w:cstheme="majorHAnsi"/>
              </w:rPr>
              <w:t>The DPP</w:t>
            </w:r>
            <w:r w:rsidR="005F38DF" w:rsidRPr="005F38DF">
              <w:rPr>
                <w:rFonts w:asciiTheme="majorHAnsi" w:hAnsiTheme="majorHAnsi" w:cstheme="majorHAnsi"/>
              </w:rPr>
              <w:t xml:space="preserve"> focuses on institution building, inclusive public services, and economic resilience</w:t>
            </w:r>
            <w:r w:rsidR="00F94875">
              <w:rPr>
                <w:rFonts w:asciiTheme="majorHAnsi" w:hAnsiTheme="majorHAnsi" w:cstheme="majorHAnsi"/>
              </w:rPr>
              <w:t>.</w:t>
            </w:r>
          </w:p>
          <w:p w14:paraId="56AD94C4" w14:textId="77777777" w:rsidR="00F94875" w:rsidRDefault="00F94875" w:rsidP="002D3257">
            <w:pPr>
              <w:rPr>
                <w:rFonts w:asciiTheme="majorHAnsi" w:hAnsiTheme="majorHAnsi" w:cstheme="majorHAnsi"/>
              </w:rPr>
            </w:pPr>
          </w:p>
          <w:p w14:paraId="6CD32A37" w14:textId="77777777" w:rsidR="00FC2C61" w:rsidRDefault="00FC2C61" w:rsidP="002D3257">
            <w:pPr>
              <w:rPr>
                <w:rFonts w:asciiTheme="majorHAnsi" w:hAnsiTheme="majorHAnsi" w:cstheme="majorHAnsi"/>
              </w:rPr>
            </w:pPr>
          </w:p>
          <w:p w14:paraId="4C0024A4" w14:textId="09FF43A9" w:rsidR="00FC2C61" w:rsidRPr="00CC0FBA" w:rsidRDefault="00FC2C61" w:rsidP="002D3257">
            <w:pPr>
              <w:rPr>
                <w:rFonts w:asciiTheme="majorHAnsi" w:hAnsiTheme="majorHAnsi" w:cstheme="majorHAnsi"/>
              </w:rPr>
            </w:pPr>
            <w:r>
              <w:rPr>
                <w:rFonts w:asciiTheme="majorHAnsi" w:hAnsiTheme="majorHAnsi" w:cstheme="majorHAnsi"/>
              </w:rPr>
              <w:t xml:space="preserve">Short courses and other professional development opportunities are </w:t>
            </w:r>
            <w:r w:rsidR="005C0B32">
              <w:rPr>
                <w:rFonts w:asciiTheme="majorHAnsi" w:hAnsiTheme="majorHAnsi" w:cstheme="majorHAnsi"/>
              </w:rPr>
              <w:t xml:space="preserve">demand driven and are </w:t>
            </w:r>
            <w:r>
              <w:rPr>
                <w:rFonts w:asciiTheme="majorHAnsi" w:hAnsiTheme="majorHAnsi" w:cstheme="majorHAnsi"/>
              </w:rPr>
              <w:t xml:space="preserve">based on </w:t>
            </w:r>
            <w:r w:rsidR="00FE322C">
              <w:rPr>
                <w:rFonts w:asciiTheme="majorHAnsi" w:hAnsiTheme="majorHAnsi" w:cstheme="majorHAnsi"/>
              </w:rPr>
              <w:t xml:space="preserve">DPP priorities and alumni areas of interests. </w:t>
            </w:r>
          </w:p>
        </w:tc>
        <w:tc>
          <w:tcPr>
            <w:tcW w:w="2507" w:type="dxa"/>
          </w:tcPr>
          <w:p w14:paraId="15ED9B85" w14:textId="77777777" w:rsidR="00D17443" w:rsidRDefault="009F58EF" w:rsidP="00A06008">
            <w:pPr>
              <w:rPr>
                <w:rFonts w:asciiTheme="majorHAnsi" w:hAnsiTheme="majorHAnsi" w:cstheme="majorHAnsi"/>
              </w:rPr>
            </w:pPr>
            <w:r>
              <w:rPr>
                <w:rFonts w:asciiTheme="majorHAnsi" w:hAnsiTheme="majorHAnsi" w:cstheme="majorHAnsi"/>
              </w:rPr>
              <w:lastRenderedPageBreak/>
              <w:t xml:space="preserve">AAC will continue to ensure that </w:t>
            </w:r>
            <w:r w:rsidR="00BE36A2">
              <w:rPr>
                <w:rFonts w:asciiTheme="majorHAnsi" w:hAnsiTheme="majorHAnsi" w:cstheme="majorHAnsi"/>
              </w:rPr>
              <w:t xml:space="preserve">priority sectors are aligned with the DPP. </w:t>
            </w:r>
          </w:p>
          <w:p w14:paraId="7A607A9E" w14:textId="77777777" w:rsidR="00D37FC6" w:rsidRDefault="00D37FC6" w:rsidP="00A06008">
            <w:pPr>
              <w:rPr>
                <w:rFonts w:asciiTheme="majorHAnsi" w:hAnsiTheme="majorHAnsi" w:cstheme="majorHAnsi"/>
              </w:rPr>
            </w:pPr>
          </w:p>
          <w:p w14:paraId="271E085B" w14:textId="3362F0F4" w:rsidR="00D37FC6" w:rsidRPr="00CC0FBA" w:rsidRDefault="00D37FC6" w:rsidP="00A06008">
            <w:pPr>
              <w:rPr>
                <w:rFonts w:asciiTheme="majorHAnsi" w:hAnsiTheme="majorHAnsi" w:cstheme="majorHAnsi"/>
              </w:rPr>
            </w:pPr>
            <w:r>
              <w:rPr>
                <w:rFonts w:asciiTheme="majorHAnsi" w:hAnsiTheme="majorHAnsi" w:cstheme="majorHAnsi"/>
                <w:lang w:val="en-US"/>
              </w:rPr>
              <w:t xml:space="preserve">AAC may consider </w:t>
            </w:r>
            <w:r w:rsidR="00974539">
              <w:rPr>
                <w:rFonts w:asciiTheme="majorHAnsi" w:hAnsiTheme="majorHAnsi" w:cstheme="majorHAnsi"/>
                <w:lang w:val="en-US"/>
              </w:rPr>
              <w:t>future case</w:t>
            </w:r>
            <w:r>
              <w:rPr>
                <w:rFonts w:asciiTheme="majorHAnsi" w:hAnsiTheme="majorHAnsi" w:cstheme="majorHAnsi"/>
                <w:lang w:val="en-US"/>
              </w:rPr>
              <w:t xml:space="preserve"> stud</w:t>
            </w:r>
            <w:r w:rsidR="002E591D">
              <w:rPr>
                <w:rFonts w:asciiTheme="majorHAnsi" w:hAnsiTheme="majorHAnsi" w:cstheme="majorHAnsi"/>
                <w:lang w:val="en-US"/>
              </w:rPr>
              <w:t xml:space="preserve">ies that will examine how </w:t>
            </w:r>
            <w:r w:rsidR="00672E07">
              <w:rPr>
                <w:rFonts w:asciiTheme="majorHAnsi" w:hAnsiTheme="majorHAnsi" w:cstheme="majorHAnsi"/>
                <w:lang w:val="en-US"/>
              </w:rPr>
              <w:t>key Ministries</w:t>
            </w:r>
            <w:r w:rsidRPr="00106689">
              <w:rPr>
                <w:rFonts w:asciiTheme="majorHAnsi" w:hAnsiTheme="majorHAnsi" w:cstheme="majorHAnsi"/>
                <w:lang w:val="en-US"/>
              </w:rPr>
              <w:t xml:space="preserve"> have used </w:t>
            </w:r>
            <w:r w:rsidR="00FA2C68">
              <w:rPr>
                <w:rFonts w:asciiTheme="majorHAnsi" w:hAnsiTheme="majorHAnsi" w:cstheme="majorHAnsi"/>
                <w:lang w:val="en-US"/>
              </w:rPr>
              <w:t>Australia Awards Scholarships (</w:t>
            </w:r>
            <w:r w:rsidRPr="00106689">
              <w:rPr>
                <w:rFonts w:asciiTheme="majorHAnsi" w:hAnsiTheme="majorHAnsi" w:cstheme="majorHAnsi"/>
                <w:lang w:val="en-US"/>
              </w:rPr>
              <w:t>AAS</w:t>
            </w:r>
            <w:r w:rsidR="00FA2C68">
              <w:rPr>
                <w:rFonts w:asciiTheme="majorHAnsi" w:hAnsiTheme="majorHAnsi" w:cstheme="majorHAnsi"/>
                <w:lang w:val="en-US"/>
              </w:rPr>
              <w:t>)</w:t>
            </w:r>
            <w:r w:rsidRPr="00106689">
              <w:rPr>
                <w:rFonts w:asciiTheme="majorHAnsi" w:hAnsiTheme="majorHAnsi" w:cstheme="majorHAnsi"/>
                <w:lang w:val="en-US"/>
              </w:rPr>
              <w:t xml:space="preserve"> strategically to progress their </w:t>
            </w:r>
            <w:r w:rsidR="00672E07">
              <w:rPr>
                <w:rFonts w:asciiTheme="majorHAnsi" w:hAnsiTheme="majorHAnsi" w:cstheme="majorHAnsi"/>
                <w:lang w:val="en-US"/>
              </w:rPr>
              <w:t xml:space="preserve">human resource development </w:t>
            </w:r>
            <w:r w:rsidRPr="00106689">
              <w:rPr>
                <w:rFonts w:asciiTheme="majorHAnsi" w:hAnsiTheme="majorHAnsi" w:cstheme="majorHAnsi"/>
                <w:lang w:val="en-US"/>
              </w:rPr>
              <w:t xml:space="preserve">plans </w:t>
            </w:r>
            <w:r w:rsidR="00672E07">
              <w:rPr>
                <w:rFonts w:asciiTheme="majorHAnsi" w:hAnsiTheme="majorHAnsi" w:cstheme="majorHAnsi"/>
                <w:lang w:val="en-US"/>
              </w:rPr>
              <w:t xml:space="preserve">to </w:t>
            </w:r>
            <w:r w:rsidRPr="00106689">
              <w:rPr>
                <w:rFonts w:asciiTheme="majorHAnsi" w:hAnsiTheme="majorHAnsi" w:cstheme="majorHAnsi"/>
                <w:lang w:val="en-US"/>
              </w:rPr>
              <w:t>build critical mass</w:t>
            </w:r>
            <w:r>
              <w:rPr>
                <w:rFonts w:asciiTheme="majorHAnsi" w:hAnsiTheme="majorHAnsi" w:cstheme="majorHAnsi"/>
                <w:lang w:val="en-US"/>
              </w:rPr>
              <w:t>.</w:t>
            </w:r>
          </w:p>
        </w:tc>
        <w:tc>
          <w:tcPr>
            <w:tcW w:w="1227" w:type="dxa"/>
          </w:tcPr>
          <w:p w14:paraId="46336319" w14:textId="4957622D" w:rsidR="00D17443" w:rsidRPr="00CC0FBA" w:rsidRDefault="00BE36A2" w:rsidP="002D3257">
            <w:pPr>
              <w:rPr>
                <w:rFonts w:asciiTheme="majorHAnsi" w:hAnsiTheme="majorHAnsi" w:cstheme="majorHAnsi"/>
              </w:rPr>
            </w:pPr>
            <w:r>
              <w:rPr>
                <w:rFonts w:asciiTheme="majorHAnsi" w:hAnsiTheme="majorHAnsi" w:cstheme="majorHAnsi"/>
              </w:rPr>
              <w:t xml:space="preserve">Annually </w:t>
            </w:r>
          </w:p>
        </w:tc>
      </w:tr>
      <w:tr w:rsidR="00A06008" w:rsidRPr="00CC0FBA" w14:paraId="06FA623B" w14:textId="77777777" w:rsidTr="00D17443">
        <w:tc>
          <w:tcPr>
            <w:tcW w:w="704" w:type="dxa"/>
          </w:tcPr>
          <w:p w14:paraId="4A93DDCC" w14:textId="3BBE64A6" w:rsidR="00A06008" w:rsidRPr="00CC0FBA" w:rsidRDefault="00BB5F3B" w:rsidP="002D3257">
            <w:pPr>
              <w:rPr>
                <w:rFonts w:asciiTheme="majorHAnsi" w:hAnsiTheme="majorHAnsi" w:cstheme="majorHAnsi"/>
              </w:rPr>
            </w:pPr>
            <w:r w:rsidRPr="00CC0FBA">
              <w:rPr>
                <w:rFonts w:asciiTheme="majorHAnsi" w:hAnsiTheme="majorHAnsi" w:cstheme="majorHAnsi"/>
              </w:rPr>
              <w:t>3.</w:t>
            </w:r>
          </w:p>
        </w:tc>
        <w:tc>
          <w:tcPr>
            <w:tcW w:w="4253" w:type="dxa"/>
          </w:tcPr>
          <w:p w14:paraId="3F3824BB" w14:textId="3C0767A0" w:rsidR="00BB5F3B" w:rsidRDefault="00BB5F3B" w:rsidP="00C83707">
            <w:pPr>
              <w:rPr>
                <w:rFonts w:asciiTheme="majorHAnsi" w:hAnsiTheme="majorHAnsi" w:cstheme="majorHAnsi"/>
              </w:rPr>
            </w:pPr>
            <w:r w:rsidRPr="001C23D3">
              <w:rPr>
                <w:rFonts w:asciiTheme="majorHAnsi" w:hAnsiTheme="majorHAnsi" w:cstheme="majorHAnsi"/>
              </w:rPr>
              <w:t>Introduce fit-for-purpose and cost-effective modalities to expand access and relevance.</w:t>
            </w:r>
          </w:p>
          <w:p w14:paraId="618739E7" w14:textId="77777777" w:rsidR="00CC340B" w:rsidRPr="001C23D3" w:rsidRDefault="00CC340B" w:rsidP="001C23D3">
            <w:pPr>
              <w:rPr>
                <w:rFonts w:asciiTheme="majorHAnsi" w:hAnsiTheme="majorHAnsi" w:cstheme="majorHAnsi"/>
              </w:rPr>
            </w:pPr>
          </w:p>
          <w:p w14:paraId="67E5FEC9" w14:textId="77777777" w:rsidR="00BB5F3B" w:rsidRPr="00CC0FBA" w:rsidRDefault="00BB5F3B" w:rsidP="00BB5F3B">
            <w:pPr>
              <w:rPr>
                <w:rFonts w:asciiTheme="majorHAnsi" w:hAnsiTheme="majorHAnsi" w:cstheme="majorHAnsi"/>
              </w:rPr>
            </w:pPr>
            <w:r w:rsidRPr="00CC0FBA">
              <w:rPr>
                <w:rFonts w:asciiTheme="majorHAnsi" w:hAnsiTheme="majorHAnsi" w:cstheme="majorHAnsi"/>
              </w:rPr>
              <w:t>To reach more diverse professional cohorts and support inclusive participation, the next phase should adopt a suite of cost-effective, context-appropriate modalities, such as:</w:t>
            </w:r>
          </w:p>
          <w:p w14:paraId="1EB658EA" w14:textId="77777777" w:rsidR="00E21AE7" w:rsidRDefault="00BB5F3B" w:rsidP="00BB5F3B">
            <w:pPr>
              <w:pStyle w:val="ListParagraph"/>
              <w:numPr>
                <w:ilvl w:val="0"/>
                <w:numId w:val="7"/>
              </w:numPr>
              <w:rPr>
                <w:rFonts w:asciiTheme="majorHAnsi" w:hAnsiTheme="majorHAnsi" w:cstheme="majorHAnsi"/>
              </w:rPr>
            </w:pPr>
            <w:r w:rsidRPr="00E21AE7">
              <w:rPr>
                <w:rFonts w:asciiTheme="majorHAnsi" w:hAnsiTheme="majorHAnsi" w:cstheme="majorHAnsi"/>
              </w:rPr>
              <w:t>in-country or partially in-country scholarships for people with disabilities and Indigenous Cambodians, in partnership with accessible universities;</w:t>
            </w:r>
          </w:p>
          <w:p w14:paraId="2989D53C" w14:textId="77777777" w:rsidR="00E21AE7" w:rsidRDefault="00BB5F3B" w:rsidP="00BB5F3B">
            <w:pPr>
              <w:pStyle w:val="ListParagraph"/>
              <w:numPr>
                <w:ilvl w:val="0"/>
                <w:numId w:val="7"/>
              </w:numPr>
              <w:rPr>
                <w:rFonts w:asciiTheme="majorHAnsi" w:hAnsiTheme="majorHAnsi" w:cstheme="majorHAnsi"/>
              </w:rPr>
            </w:pPr>
            <w:r w:rsidRPr="00E21AE7">
              <w:rPr>
                <w:rFonts w:asciiTheme="majorHAnsi" w:hAnsiTheme="majorHAnsi" w:cstheme="majorHAnsi"/>
              </w:rPr>
              <w:t>targeted short courses for mid-career professionals and provincial staff unable to undertake long-term study;</w:t>
            </w:r>
          </w:p>
          <w:p w14:paraId="490A5DCB" w14:textId="77777777" w:rsidR="00E21AE7" w:rsidRDefault="00BB5F3B" w:rsidP="00BB5F3B">
            <w:pPr>
              <w:pStyle w:val="ListParagraph"/>
              <w:numPr>
                <w:ilvl w:val="0"/>
                <w:numId w:val="7"/>
              </w:numPr>
              <w:rPr>
                <w:rFonts w:asciiTheme="majorHAnsi" w:hAnsiTheme="majorHAnsi" w:cstheme="majorHAnsi"/>
              </w:rPr>
            </w:pPr>
            <w:r w:rsidRPr="00E21AE7">
              <w:rPr>
                <w:rFonts w:asciiTheme="majorHAnsi" w:hAnsiTheme="majorHAnsi" w:cstheme="majorHAnsi"/>
              </w:rPr>
              <w:t xml:space="preserve">extended English language pathways, including pre-IELTS preparation, </w:t>
            </w:r>
            <w:r w:rsidRPr="00E21AE7">
              <w:rPr>
                <w:rFonts w:asciiTheme="majorHAnsi" w:hAnsiTheme="majorHAnsi" w:cstheme="majorHAnsi"/>
              </w:rPr>
              <w:lastRenderedPageBreak/>
              <w:t>conditional offer arrangements, and inclusive testing accommodations;</w:t>
            </w:r>
          </w:p>
          <w:p w14:paraId="3240A897" w14:textId="2C07F9E4" w:rsidR="00BB5F3B" w:rsidRPr="00E21AE7" w:rsidRDefault="00BB5F3B" w:rsidP="00BB5F3B">
            <w:pPr>
              <w:pStyle w:val="ListParagraph"/>
              <w:numPr>
                <w:ilvl w:val="0"/>
                <w:numId w:val="7"/>
              </w:numPr>
              <w:rPr>
                <w:rFonts w:asciiTheme="majorHAnsi" w:hAnsiTheme="majorHAnsi" w:cstheme="majorHAnsi"/>
              </w:rPr>
            </w:pPr>
            <w:r w:rsidRPr="00E21AE7">
              <w:rPr>
                <w:rFonts w:asciiTheme="majorHAnsi" w:hAnsiTheme="majorHAnsi" w:cstheme="majorHAnsi"/>
              </w:rPr>
              <w:t>micro-credentials and online learning packages in priority thematic areas.</w:t>
            </w:r>
          </w:p>
          <w:p w14:paraId="25B0B7F3" w14:textId="7590768E" w:rsidR="00A06008" w:rsidRPr="00CC0FBA" w:rsidRDefault="00BB5F3B" w:rsidP="00BB5F3B">
            <w:pPr>
              <w:rPr>
                <w:rFonts w:asciiTheme="majorHAnsi" w:hAnsiTheme="majorHAnsi" w:cstheme="majorHAnsi"/>
              </w:rPr>
            </w:pPr>
            <w:r w:rsidRPr="00CC0FBA">
              <w:rPr>
                <w:rFonts w:asciiTheme="majorHAnsi" w:hAnsiTheme="majorHAnsi" w:cstheme="majorHAnsi"/>
              </w:rPr>
              <w:t>Modalities successfully used in Indonesia, Vietnam, and Timor-Leste (summarised in Annex A) provide adaptable models for Cambodia.</w:t>
            </w:r>
          </w:p>
        </w:tc>
        <w:tc>
          <w:tcPr>
            <w:tcW w:w="1843" w:type="dxa"/>
          </w:tcPr>
          <w:p w14:paraId="078D9AC8" w14:textId="29642517" w:rsidR="00A06008" w:rsidRPr="00CC0FBA" w:rsidRDefault="00B02C4F" w:rsidP="002D3257">
            <w:pPr>
              <w:rPr>
                <w:rFonts w:asciiTheme="majorHAnsi" w:hAnsiTheme="majorHAnsi" w:cstheme="majorHAnsi"/>
              </w:rPr>
            </w:pPr>
            <w:r>
              <w:rPr>
                <w:rFonts w:asciiTheme="majorHAnsi" w:hAnsiTheme="majorHAnsi" w:cstheme="majorHAnsi"/>
              </w:rPr>
              <w:lastRenderedPageBreak/>
              <w:t xml:space="preserve">Partially Agree </w:t>
            </w:r>
          </w:p>
        </w:tc>
        <w:tc>
          <w:tcPr>
            <w:tcW w:w="3472" w:type="dxa"/>
          </w:tcPr>
          <w:p w14:paraId="64220499" w14:textId="624AF069" w:rsidR="00A06008" w:rsidRDefault="008B4B67" w:rsidP="002D3257">
            <w:pPr>
              <w:rPr>
                <w:rFonts w:asciiTheme="majorHAnsi" w:hAnsiTheme="majorHAnsi" w:cstheme="majorHAnsi"/>
              </w:rPr>
            </w:pPr>
            <w:r>
              <w:rPr>
                <w:rFonts w:asciiTheme="majorHAnsi" w:hAnsiTheme="majorHAnsi" w:cstheme="majorHAnsi"/>
              </w:rPr>
              <w:t xml:space="preserve">Fully implementing this recommendation would </w:t>
            </w:r>
            <w:r w:rsidR="000060CE">
              <w:rPr>
                <w:rFonts w:asciiTheme="majorHAnsi" w:hAnsiTheme="majorHAnsi" w:cstheme="majorHAnsi"/>
              </w:rPr>
              <w:t>expose the AAC to risks of</w:t>
            </w:r>
            <w:r w:rsidR="00C02B15" w:rsidRPr="00C02B15">
              <w:rPr>
                <w:rFonts w:asciiTheme="majorHAnsi" w:hAnsiTheme="majorHAnsi" w:cstheme="majorHAnsi"/>
              </w:rPr>
              <w:t xml:space="preserve"> diluting the </w:t>
            </w:r>
            <w:r w:rsidR="00FA5204" w:rsidRPr="00FA5204">
              <w:rPr>
                <w:rFonts w:asciiTheme="majorHAnsi" w:hAnsiTheme="majorHAnsi" w:cstheme="majorHAnsi"/>
              </w:rPr>
              <w:t>prestigiousness</w:t>
            </w:r>
            <w:r w:rsidR="00FA5204">
              <w:rPr>
                <w:rFonts w:asciiTheme="majorHAnsi" w:hAnsiTheme="majorHAnsi" w:cstheme="majorHAnsi"/>
              </w:rPr>
              <w:t xml:space="preserve"> </w:t>
            </w:r>
            <w:r w:rsidR="00C02B15" w:rsidRPr="00C02B15">
              <w:rPr>
                <w:rFonts w:asciiTheme="majorHAnsi" w:hAnsiTheme="majorHAnsi" w:cstheme="majorHAnsi"/>
              </w:rPr>
              <w:t>of full scholarships</w:t>
            </w:r>
            <w:r w:rsidR="000060CE">
              <w:rPr>
                <w:rFonts w:asciiTheme="majorHAnsi" w:hAnsiTheme="majorHAnsi" w:cstheme="majorHAnsi"/>
              </w:rPr>
              <w:t xml:space="preserve">. </w:t>
            </w:r>
            <w:r w:rsidR="000C6F89">
              <w:rPr>
                <w:rFonts w:asciiTheme="majorHAnsi" w:hAnsiTheme="majorHAnsi" w:cstheme="majorHAnsi"/>
              </w:rPr>
              <w:t xml:space="preserve">Flexible modalities </w:t>
            </w:r>
            <w:r w:rsidR="007C2943">
              <w:rPr>
                <w:rFonts w:asciiTheme="majorHAnsi" w:hAnsiTheme="majorHAnsi" w:cstheme="majorHAnsi"/>
              </w:rPr>
              <w:t xml:space="preserve">also </w:t>
            </w:r>
            <w:r w:rsidR="000C6F89">
              <w:rPr>
                <w:rFonts w:asciiTheme="majorHAnsi" w:hAnsiTheme="majorHAnsi" w:cstheme="majorHAnsi"/>
              </w:rPr>
              <w:t>increase</w:t>
            </w:r>
            <w:r w:rsidR="00E166E3">
              <w:rPr>
                <w:rFonts w:asciiTheme="majorHAnsi" w:hAnsiTheme="majorHAnsi" w:cstheme="majorHAnsi"/>
              </w:rPr>
              <w:t xml:space="preserve"> the</w:t>
            </w:r>
            <w:r w:rsidR="000C6F89">
              <w:rPr>
                <w:rFonts w:asciiTheme="majorHAnsi" w:hAnsiTheme="majorHAnsi" w:cstheme="majorHAnsi"/>
              </w:rPr>
              <w:t xml:space="preserve"> administrative burden.</w:t>
            </w:r>
          </w:p>
          <w:p w14:paraId="491B6359" w14:textId="77777777" w:rsidR="00A83960" w:rsidRDefault="00A83960" w:rsidP="002D3257">
            <w:pPr>
              <w:rPr>
                <w:rFonts w:asciiTheme="majorHAnsi" w:hAnsiTheme="majorHAnsi" w:cstheme="majorHAnsi"/>
              </w:rPr>
            </w:pPr>
          </w:p>
          <w:p w14:paraId="2D38C751" w14:textId="7646FA03" w:rsidR="008815BC" w:rsidRDefault="008815BC" w:rsidP="002D3257">
            <w:pPr>
              <w:rPr>
                <w:rFonts w:asciiTheme="majorHAnsi" w:hAnsiTheme="majorHAnsi" w:cstheme="majorHAnsi"/>
              </w:rPr>
            </w:pPr>
            <w:r>
              <w:rPr>
                <w:rFonts w:asciiTheme="majorHAnsi" w:hAnsiTheme="majorHAnsi" w:cstheme="majorHAnsi"/>
              </w:rPr>
              <w:t xml:space="preserve">DFAT also </w:t>
            </w:r>
            <w:r w:rsidR="009908EF">
              <w:rPr>
                <w:rFonts w:asciiTheme="majorHAnsi" w:hAnsiTheme="majorHAnsi" w:cstheme="majorHAnsi"/>
              </w:rPr>
              <w:t xml:space="preserve">values </w:t>
            </w:r>
            <w:r>
              <w:rPr>
                <w:rFonts w:asciiTheme="majorHAnsi" w:hAnsiTheme="majorHAnsi" w:cstheme="majorHAnsi"/>
              </w:rPr>
              <w:t xml:space="preserve">the benefits of having awardees exposed to the in Australia experience, as AAS is more than just classroom study. </w:t>
            </w:r>
          </w:p>
          <w:p w14:paraId="4FA10C7B" w14:textId="77777777" w:rsidR="008815BC" w:rsidRDefault="008815BC" w:rsidP="002D3257">
            <w:pPr>
              <w:rPr>
                <w:rFonts w:asciiTheme="majorHAnsi" w:hAnsiTheme="majorHAnsi" w:cstheme="majorHAnsi"/>
              </w:rPr>
            </w:pPr>
          </w:p>
          <w:p w14:paraId="4FDED0B8" w14:textId="1F3DCCC8" w:rsidR="00A83960" w:rsidRDefault="00C25DEA" w:rsidP="002D3257">
            <w:pPr>
              <w:rPr>
                <w:rFonts w:asciiTheme="majorHAnsi" w:hAnsiTheme="majorHAnsi" w:cstheme="majorHAnsi"/>
              </w:rPr>
            </w:pPr>
            <w:r>
              <w:rPr>
                <w:rFonts w:asciiTheme="majorHAnsi" w:hAnsiTheme="majorHAnsi" w:cstheme="majorHAnsi"/>
              </w:rPr>
              <w:t xml:space="preserve">AAC will </w:t>
            </w:r>
            <w:r w:rsidR="007A74A6">
              <w:rPr>
                <w:rFonts w:asciiTheme="majorHAnsi" w:hAnsiTheme="majorHAnsi" w:cstheme="majorHAnsi"/>
              </w:rPr>
              <w:t>continue</w:t>
            </w:r>
            <w:r>
              <w:rPr>
                <w:rFonts w:asciiTheme="majorHAnsi" w:hAnsiTheme="majorHAnsi" w:cstheme="majorHAnsi"/>
              </w:rPr>
              <w:t xml:space="preserve"> targeted short courses and professional development opportunities </w:t>
            </w:r>
            <w:r w:rsidR="00587CDA">
              <w:rPr>
                <w:rFonts w:asciiTheme="majorHAnsi" w:hAnsiTheme="majorHAnsi" w:cstheme="majorHAnsi"/>
              </w:rPr>
              <w:t xml:space="preserve">for </w:t>
            </w:r>
            <w:r w:rsidR="00587CDA">
              <w:rPr>
                <w:rFonts w:asciiTheme="majorHAnsi" w:hAnsiTheme="majorHAnsi" w:cstheme="majorHAnsi"/>
              </w:rPr>
              <w:lastRenderedPageBreak/>
              <w:t xml:space="preserve">scholars, alumni and EPP participants. </w:t>
            </w:r>
          </w:p>
          <w:p w14:paraId="7E6C2E9C" w14:textId="77777777" w:rsidR="000C6F89" w:rsidRDefault="000C6F89" w:rsidP="002D3257">
            <w:pPr>
              <w:rPr>
                <w:rFonts w:asciiTheme="majorHAnsi" w:hAnsiTheme="majorHAnsi" w:cstheme="majorHAnsi"/>
              </w:rPr>
            </w:pPr>
          </w:p>
          <w:p w14:paraId="5E77924B" w14:textId="5CF04FA5" w:rsidR="000C6F89" w:rsidRPr="00CC0FBA" w:rsidRDefault="000C6F89" w:rsidP="002D3257">
            <w:pPr>
              <w:rPr>
                <w:rFonts w:asciiTheme="majorHAnsi" w:hAnsiTheme="majorHAnsi" w:cstheme="majorHAnsi"/>
              </w:rPr>
            </w:pPr>
          </w:p>
        </w:tc>
        <w:tc>
          <w:tcPr>
            <w:tcW w:w="2507" w:type="dxa"/>
          </w:tcPr>
          <w:p w14:paraId="5B985EE0" w14:textId="3548904C" w:rsidR="00A06008" w:rsidRDefault="00843DAC" w:rsidP="00A06008">
            <w:pPr>
              <w:rPr>
                <w:rFonts w:asciiTheme="majorHAnsi" w:hAnsiTheme="majorHAnsi" w:cstheme="majorHAnsi"/>
              </w:rPr>
            </w:pPr>
            <w:r>
              <w:rPr>
                <w:rFonts w:asciiTheme="majorHAnsi" w:hAnsiTheme="majorHAnsi" w:cstheme="majorHAnsi"/>
              </w:rPr>
              <w:lastRenderedPageBreak/>
              <w:t xml:space="preserve">DFAT and AAC will review the </w:t>
            </w:r>
            <w:r w:rsidR="00CC49BA">
              <w:rPr>
                <w:rFonts w:asciiTheme="majorHAnsi" w:hAnsiTheme="majorHAnsi" w:cstheme="majorHAnsi"/>
              </w:rPr>
              <w:t>Equity Pathways Plan</w:t>
            </w:r>
            <w:r w:rsidR="00412D97">
              <w:rPr>
                <w:rFonts w:asciiTheme="majorHAnsi" w:hAnsiTheme="majorHAnsi" w:cstheme="majorHAnsi"/>
              </w:rPr>
              <w:t xml:space="preserve"> (EPP)</w:t>
            </w:r>
            <w:r w:rsidR="00CC49BA">
              <w:rPr>
                <w:rFonts w:asciiTheme="majorHAnsi" w:hAnsiTheme="majorHAnsi" w:cstheme="majorHAnsi"/>
              </w:rPr>
              <w:t xml:space="preserve"> </w:t>
            </w:r>
            <w:r w:rsidR="00351851">
              <w:rPr>
                <w:rFonts w:asciiTheme="majorHAnsi" w:hAnsiTheme="majorHAnsi" w:cstheme="majorHAnsi"/>
              </w:rPr>
              <w:t xml:space="preserve">and Alumni Engagement Strategy. </w:t>
            </w:r>
          </w:p>
          <w:p w14:paraId="4A2B36A5" w14:textId="77777777" w:rsidR="00382CEA" w:rsidRDefault="00382CEA" w:rsidP="00A06008">
            <w:pPr>
              <w:rPr>
                <w:rFonts w:asciiTheme="majorHAnsi" w:hAnsiTheme="majorHAnsi" w:cstheme="majorHAnsi"/>
              </w:rPr>
            </w:pPr>
          </w:p>
          <w:p w14:paraId="6A3BC129" w14:textId="4B8522AC" w:rsidR="00382CEA" w:rsidRDefault="00412D97" w:rsidP="00A06008">
            <w:pPr>
              <w:rPr>
                <w:rFonts w:asciiTheme="majorHAnsi" w:hAnsiTheme="majorHAnsi" w:cstheme="majorHAnsi"/>
              </w:rPr>
            </w:pPr>
            <w:r>
              <w:rPr>
                <w:rFonts w:asciiTheme="majorHAnsi" w:hAnsiTheme="majorHAnsi" w:cstheme="majorHAnsi"/>
              </w:rPr>
              <w:t xml:space="preserve">Under the EPP streams, AAC currently offers English language pathways including </w:t>
            </w:r>
            <w:r w:rsidRPr="00412D97">
              <w:rPr>
                <w:rFonts w:asciiTheme="majorHAnsi" w:hAnsiTheme="majorHAnsi" w:cstheme="majorHAnsi"/>
              </w:rPr>
              <w:t>pre-IELTS preparation, conditional offer arrangements and inclusive accommodation</w:t>
            </w:r>
            <w:r w:rsidR="007F136C">
              <w:rPr>
                <w:rFonts w:asciiTheme="majorHAnsi" w:hAnsiTheme="majorHAnsi" w:cstheme="majorHAnsi"/>
              </w:rPr>
              <w:t xml:space="preserve"> </w:t>
            </w:r>
            <w:r w:rsidR="007F136C" w:rsidRPr="00412D97">
              <w:rPr>
                <w:rFonts w:asciiTheme="majorHAnsi" w:hAnsiTheme="majorHAnsi" w:cstheme="majorHAnsi"/>
              </w:rPr>
              <w:t>testing</w:t>
            </w:r>
            <w:r w:rsidR="007F136C">
              <w:rPr>
                <w:rFonts w:asciiTheme="majorHAnsi" w:hAnsiTheme="majorHAnsi" w:cstheme="majorHAnsi"/>
              </w:rPr>
              <w:t>.</w:t>
            </w:r>
          </w:p>
          <w:p w14:paraId="34F40DFB" w14:textId="77777777" w:rsidR="00D44A6E" w:rsidRDefault="00D44A6E" w:rsidP="00A06008">
            <w:pPr>
              <w:rPr>
                <w:rFonts w:asciiTheme="majorHAnsi" w:hAnsiTheme="majorHAnsi" w:cstheme="majorHAnsi"/>
              </w:rPr>
            </w:pPr>
          </w:p>
          <w:p w14:paraId="2C342475" w14:textId="004EE317" w:rsidR="00D44A6E" w:rsidRPr="00CC0FBA" w:rsidRDefault="00D44A6E" w:rsidP="00A06008">
            <w:pPr>
              <w:rPr>
                <w:rFonts w:asciiTheme="majorHAnsi" w:hAnsiTheme="majorHAnsi" w:cstheme="majorHAnsi"/>
              </w:rPr>
            </w:pPr>
          </w:p>
        </w:tc>
        <w:tc>
          <w:tcPr>
            <w:tcW w:w="1227" w:type="dxa"/>
          </w:tcPr>
          <w:p w14:paraId="676774D8" w14:textId="02BE328C" w:rsidR="00A06008" w:rsidRPr="00CC0FBA" w:rsidRDefault="004A458C" w:rsidP="002D3257">
            <w:pPr>
              <w:rPr>
                <w:rFonts w:asciiTheme="majorHAnsi" w:hAnsiTheme="majorHAnsi" w:cstheme="majorHAnsi"/>
              </w:rPr>
            </w:pPr>
            <w:r>
              <w:rPr>
                <w:rFonts w:asciiTheme="majorHAnsi" w:hAnsiTheme="majorHAnsi" w:cstheme="majorHAnsi"/>
              </w:rPr>
              <w:t>31 October 2026</w:t>
            </w:r>
          </w:p>
        </w:tc>
      </w:tr>
      <w:tr w:rsidR="000E5A2C" w:rsidRPr="00CC0FBA" w14:paraId="3477C9E7" w14:textId="77777777" w:rsidTr="00D17443">
        <w:tc>
          <w:tcPr>
            <w:tcW w:w="704" w:type="dxa"/>
          </w:tcPr>
          <w:p w14:paraId="7FDDF603" w14:textId="7C68EC68" w:rsidR="000E5A2C" w:rsidRPr="00CC0FBA" w:rsidRDefault="00790F10" w:rsidP="002D3257">
            <w:pPr>
              <w:rPr>
                <w:rFonts w:asciiTheme="majorHAnsi" w:hAnsiTheme="majorHAnsi" w:cstheme="majorHAnsi"/>
              </w:rPr>
            </w:pPr>
            <w:r w:rsidRPr="00CC0FBA">
              <w:rPr>
                <w:rFonts w:asciiTheme="majorHAnsi" w:hAnsiTheme="majorHAnsi" w:cstheme="majorHAnsi"/>
              </w:rPr>
              <w:t>4.</w:t>
            </w:r>
          </w:p>
        </w:tc>
        <w:tc>
          <w:tcPr>
            <w:tcW w:w="4253" w:type="dxa"/>
          </w:tcPr>
          <w:p w14:paraId="30ADDC16" w14:textId="77777777" w:rsidR="00265ABD" w:rsidRPr="00CC0FBA" w:rsidRDefault="00265ABD" w:rsidP="007A74A6">
            <w:pPr>
              <w:spacing w:line="276" w:lineRule="auto"/>
              <w:rPr>
                <w:rFonts w:asciiTheme="majorHAnsi" w:hAnsiTheme="majorHAnsi" w:cstheme="majorHAnsi"/>
              </w:rPr>
            </w:pPr>
            <w:r w:rsidRPr="00CC0FBA">
              <w:rPr>
                <w:rFonts w:asciiTheme="majorHAnsi" w:hAnsiTheme="majorHAnsi" w:cstheme="majorHAnsi"/>
              </w:rPr>
              <w:t>Strengthen the alumni ecosystem and position alumni as long-term partners in development and diplomacy.</w:t>
            </w:r>
          </w:p>
          <w:p w14:paraId="0B6CDC9B" w14:textId="77777777" w:rsidR="00C83707" w:rsidRDefault="00C83707" w:rsidP="00C83707">
            <w:pPr>
              <w:rPr>
                <w:rFonts w:asciiTheme="majorHAnsi" w:hAnsiTheme="majorHAnsi" w:cstheme="majorHAnsi"/>
              </w:rPr>
            </w:pPr>
          </w:p>
          <w:p w14:paraId="0133BC9E" w14:textId="4DC556A8" w:rsidR="000E5A2C" w:rsidRPr="00CC0FBA" w:rsidRDefault="00265ABD" w:rsidP="001C23D3">
            <w:pPr>
              <w:rPr>
                <w:rFonts w:asciiTheme="majorHAnsi" w:hAnsiTheme="majorHAnsi" w:cstheme="majorHAnsi"/>
              </w:rPr>
            </w:pPr>
            <w:r w:rsidRPr="00CC0FBA">
              <w:rPr>
                <w:rFonts w:asciiTheme="majorHAnsi" w:hAnsiTheme="majorHAnsi" w:cstheme="majorHAnsi"/>
              </w:rPr>
              <w:t xml:space="preserve">The next phase should adopt a more deliberate and structured strategy for alumni engagement, including older cohorts, AAF/ACIAR alumni and self-funded graduates.  </w:t>
            </w:r>
          </w:p>
        </w:tc>
        <w:tc>
          <w:tcPr>
            <w:tcW w:w="1843" w:type="dxa"/>
          </w:tcPr>
          <w:p w14:paraId="38D79FB0" w14:textId="5981BABF" w:rsidR="000E5A2C" w:rsidRPr="00CC0FBA" w:rsidRDefault="00576E4F" w:rsidP="002D3257">
            <w:pPr>
              <w:rPr>
                <w:rFonts w:asciiTheme="majorHAnsi" w:hAnsiTheme="majorHAnsi" w:cstheme="majorHAnsi"/>
              </w:rPr>
            </w:pPr>
            <w:r>
              <w:rPr>
                <w:rFonts w:asciiTheme="majorHAnsi" w:hAnsiTheme="majorHAnsi" w:cstheme="majorHAnsi"/>
              </w:rPr>
              <w:t xml:space="preserve">Partially Agree </w:t>
            </w:r>
          </w:p>
        </w:tc>
        <w:tc>
          <w:tcPr>
            <w:tcW w:w="3472" w:type="dxa"/>
          </w:tcPr>
          <w:p w14:paraId="65B9FCFC" w14:textId="77777777" w:rsidR="000E5A2C" w:rsidRDefault="00227573" w:rsidP="002D3257">
            <w:pPr>
              <w:rPr>
                <w:rFonts w:asciiTheme="majorHAnsi" w:hAnsiTheme="majorHAnsi" w:cstheme="majorHAnsi"/>
              </w:rPr>
            </w:pPr>
            <w:r>
              <w:rPr>
                <w:rFonts w:asciiTheme="majorHAnsi" w:hAnsiTheme="majorHAnsi" w:cstheme="majorHAnsi"/>
              </w:rPr>
              <w:t xml:space="preserve">AAC will </w:t>
            </w:r>
            <w:r w:rsidR="00311501">
              <w:rPr>
                <w:rFonts w:asciiTheme="majorHAnsi" w:hAnsiTheme="majorHAnsi" w:cstheme="majorHAnsi"/>
              </w:rPr>
              <w:t>continue</w:t>
            </w:r>
            <w:r>
              <w:rPr>
                <w:rFonts w:asciiTheme="majorHAnsi" w:hAnsiTheme="majorHAnsi" w:cstheme="majorHAnsi"/>
              </w:rPr>
              <w:t xml:space="preserve"> to provide reintegration support</w:t>
            </w:r>
            <w:r w:rsidR="00311501">
              <w:rPr>
                <w:rFonts w:asciiTheme="majorHAnsi" w:hAnsiTheme="majorHAnsi" w:cstheme="majorHAnsi"/>
              </w:rPr>
              <w:t xml:space="preserve">. </w:t>
            </w:r>
          </w:p>
          <w:p w14:paraId="379F4A6C" w14:textId="77777777" w:rsidR="00CB2F0B" w:rsidRDefault="00CB2F0B" w:rsidP="002D3257">
            <w:pPr>
              <w:rPr>
                <w:rFonts w:asciiTheme="majorHAnsi" w:hAnsiTheme="majorHAnsi" w:cstheme="majorHAnsi"/>
              </w:rPr>
            </w:pPr>
          </w:p>
          <w:p w14:paraId="56A78FA3" w14:textId="269A555B" w:rsidR="00CB2F0B" w:rsidRDefault="00CB2F0B" w:rsidP="002D3257">
            <w:pPr>
              <w:rPr>
                <w:rFonts w:asciiTheme="majorHAnsi" w:hAnsiTheme="majorHAnsi" w:cstheme="majorHAnsi"/>
              </w:rPr>
            </w:pPr>
            <w:r>
              <w:rPr>
                <w:rFonts w:asciiTheme="majorHAnsi" w:hAnsiTheme="majorHAnsi" w:cstheme="majorHAnsi"/>
              </w:rPr>
              <w:t xml:space="preserve">AAC </w:t>
            </w:r>
            <w:r w:rsidR="00985191">
              <w:rPr>
                <w:rFonts w:asciiTheme="majorHAnsi" w:hAnsiTheme="majorHAnsi" w:cstheme="majorHAnsi"/>
              </w:rPr>
              <w:t xml:space="preserve">will continue to provide </w:t>
            </w:r>
            <w:r w:rsidR="00CB7284" w:rsidRPr="00CB7284">
              <w:t>A</w:t>
            </w:r>
            <w:r w:rsidR="00CB7284" w:rsidRPr="00CB7284">
              <w:rPr>
                <w:rFonts w:asciiTheme="majorHAnsi" w:hAnsiTheme="majorHAnsi" w:cstheme="majorHAnsi"/>
              </w:rPr>
              <w:t>lumni Research Grants</w:t>
            </w:r>
            <w:r w:rsidR="00985191" w:rsidRPr="00985191">
              <w:rPr>
                <w:rFonts w:asciiTheme="majorHAnsi" w:hAnsiTheme="majorHAnsi" w:cstheme="majorHAnsi"/>
              </w:rPr>
              <w:t xml:space="preserve"> (A</w:t>
            </w:r>
            <w:r w:rsidR="009F2C6B">
              <w:rPr>
                <w:rFonts w:asciiTheme="majorHAnsi" w:hAnsiTheme="majorHAnsi" w:cstheme="majorHAnsi"/>
              </w:rPr>
              <w:t>R</w:t>
            </w:r>
            <w:r w:rsidR="00985191" w:rsidRPr="00985191">
              <w:rPr>
                <w:rFonts w:asciiTheme="majorHAnsi" w:hAnsiTheme="majorHAnsi" w:cstheme="majorHAnsi"/>
              </w:rPr>
              <w:t xml:space="preserve">G) to support targeted projects that align directly with both Australia's and </w:t>
            </w:r>
            <w:r w:rsidR="00985191">
              <w:rPr>
                <w:rFonts w:asciiTheme="majorHAnsi" w:hAnsiTheme="majorHAnsi" w:cstheme="majorHAnsi"/>
              </w:rPr>
              <w:t xml:space="preserve">Cambodia’s </w:t>
            </w:r>
            <w:r w:rsidR="00985191" w:rsidRPr="00985191">
              <w:rPr>
                <w:rFonts w:asciiTheme="majorHAnsi" w:hAnsiTheme="majorHAnsi" w:cstheme="majorHAnsi"/>
              </w:rPr>
              <w:t>development priorities.</w:t>
            </w:r>
          </w:p>
          <w:p w14:paraId="72A735D4" w14:textId="77777777" w:rsidR="00713869" w:rsidRDefault="00713869" w:rsidP="002D3257">
            <w:pPr>
              <w:rPr>
                <w:rFonts w:asciiTheme="majorHAnsi" w:hAnsiTheme="majorHAnsi" w:cstheme="majorHAnsi"/>
              </w:rPr>
            </w:pPr>
          </w:p>
          <w:p w14:paraId="4315F5CF" w14:textId="3D69EA01" w:rsidR="00713869" w:rsidRPr="00CC0FBA" w:rsidRDefault="00264BE9" w:rsidP="002D3257">
            <w:pPr>
              <w:rPr>
                <w:rFonts w:asciiTheme="majorHAnsi" w:hAnsiTheme="majorHAnsi" w:cstheme="majorHAnsi"/>
              </w:rPr>
            </w:pPr>
            <w:r>
              <w:rPr>
                <w:rFonts w:asciiTheme="majorHAnsi" w:hAnsiTheme="majorHAnsi" w:cstheme="majorHAnsi"/>
              </w:rPr>
              <w:t xml:space="preserve">DFAT is currently developing a </w:t>
            </w:r>
            <w:r w:rsidRPr="00264BE9">
              <w:rPr>
                <w:rFonts w:asciiTheme="majorHAnsi" w:hAnsiTheme="majorHAnsi" w:cstheme="majorHAnsi"/>
              </w:rPr>
              <w:t>Guidance Note for Southeast Asian posts on alumni strategy development. </w:t>
            </w:r>
            <w:r w:rsidR="00030EF8">
              <w:rPr>
                <w:rFonts w:asciiTheme="majorHAnsi" w:hAnsiTheme="majorHAnsi" w:cstheme="majorHAnsi"/>
              </w:rPr>
              <w:t xml:space="preserve">This new guidance will be </w:t>
            </w:r>
            <w:r w:rsidR="00D42E11">
              <w:rPr>
                <w:rFonts w:asciiTheme="majorHAnsi" w:hAnsiTheme="majorHAnsi" w:cstheme="majorHAnsi"/>
              </w:rPr>
              <w:t xml:space="preserve">considered in the new phase. </w:t>
            </w:r>
          </w:p>
        </w:tc>
        <w:tc>
          <w:tcPr>
            <w:tcW w:w="2507" w:type="dxa"/>
          </w:tcPr>
          <w:p w14:paraId="1853358D" w14:textId="0BB142EA" w:rsidR="00FD78BA" w:rsidRDefault="00576E4F" w:rsidP="00A06008">
            <w:pPr>
              <w:rPr>
                <w:rFonts w:asciiTheme="majorHAnsi" w:hAnsiTheme="majorHAnsi" w:cstheme="majorHAnsi"/>
              </w:rPr>
            </w:pPr>
            <w:r>
              <w:rPr>
                <w:rFonts w:asciiTheme="majorHAnsi" w:hAnsiTheme="majorHAnsi" w:cstheme="majorHAnsi"/>
              </w:rPr>
              <w:t xml:space="preserve">DFAT, AAC and </w:t>
            </w:r>
            <w:r w:rsidR="00B74915">
              <w:rPr>
                <w:rFonts w:asciiTheme="majorHAnsi" w:hAnsiTheme="majorHAnsi" w:cstheme="majorHAnsi"/>
              </w:rPr>
              <w:t xml:space="preserve">the </w:t>
            </w:r>
            <w:r>
              <w:rPr>
                <w:rFonts w:asciiTheme="majorHAnsi" w:hAnsiTheme="majorHAnsi" w:cstheme="majorHAnsi"/>
              </w:rPr>
              <w:t>A</w:t>
            </w:r>
            <w:r w:rsidR="00C06132">
              <w:rPr>
                <w:rFonts w:asciiTheme="majorHAnsi" w:hAnsiTheme="majorHAnsi" w:cstheme="majorHAnsi"/>
              </w:rPr>
              <w:t>ustralia</w:t>
            </w:r>
            <w:r w:rsidR="00AE7791">
              <w:rPr>
                <w:rFonts w:asciiTheme="majorHAnsi" w:hAnsiTheme="majorHAnsi" w:cstheme="majorHAnsi"/>
              </w:rPr>
              <w:t>n</w:t>
            </w:r>
            <w:r w:rsidR="00C06132">
              <w:rPr>
                <w:rFonts w:asciiTheme="majorHAnsi" w:hAnsiTheme="majorHAnsi" w:cstheme="majorHAnsi"/>
              </w:rPr>
              <w:t xml:space="preserve"> </w:t>
            </w:r>
            <w:r>
              <w:rPr>
                <w:rFonts w:asciiTheme="majorHAnsi" w:hAnsiTheme="majorHAnsi" w:cstheme="majorHAnsi"/>
              </w:rPr>
              <w:t>A</w:t>
            </w:r>
            <w:r w:rsidR="00AE7791">
              <w:rPr>
                <w:rFonts w:asciiTheme="majorHAnsi" w:hAnsiTheme="majorHAnsi" w:cstheme="majorHAnsi"/>
              </w:rPr>
              <w:t xml:space="preserve">lumni </w:t>
            </w:r>
            <w:r>
              <w:rPr>
                <w:rFonts w:asciiTheme="majorHAnsi" w:hAnsiTheme="majorHAnsi" w:cstheme="majorHAnsi"/>
              </w:rPr>
              <w:t>A</w:t>
            </w:r>
            <w:r w:rsidR="00AE7791">
              <w:rPr>
                <w:rFonts w:asciiTheme="majorHAnsi" w:hAnsiTheme="majorHAnsi" w:cstheme="majorHAnsi"/>
              </w:rPr>
              <w:t xml:space="preserve">ssociation of </w:t>
            </w:r>
            <w:r>
              <w:rPr>
                <w:rFonts w:asciiTheme="majorHAnsi" w:hAnsiTheme="majorHAnsi" w:cstheme="majorHAnsi"/>
              </w:rPr>
              <w:t>C</w:t>
            </w:r>
            <w:r w:rsidR="00AE7791">
              <w:rPr>
                <w:rFonts w:asciiTheme="majorHAnsi" w:hAnsiTheme="majorHAnsi" w:cstheme="majorHAnsi"/>
              </w:rPr>
              <w:t>ambodia</w:t>
            </w:r>
            <w:r>
              <w:rPr>
                <w:rFonts w:asciiTheme="majorHAnsi" w:hAnsiTheme="majorHAnsi" w:cstheme="majorHAnsi"/>
              </w:rPr>
              <w:t xml:space="preserve"> will </w:t>
            </w:r>
            <w:r w:rsidR="004F6AC6">
              <w:rPr>
                <w:rFonts w:asciiTheme="majorHAnsi" w:hAnsiTheme="majorHAnsi" w:cstheme="majorHAnsi"/>
              </w:rPr>
              <w:t>hold</w:t>
            </w:r>
            <w:r w:rsidR="00E5275D">
              <w:rPr>
                <w:rFonts w:asciiTheme="majorHAnsi" w:hAnsiTheme="majorHAnsi" w:cstheme="majorHAnsi"/>
              </w:rPr>
              <w:t xml:space="preserve"> a workshop to </w:t>
            </w:r>
            <w:r w:rsidR="00CB2F0B">
              <w:rPr>
                <w:rFonts w:asciiTheme="majorHAnsi" w:hAnsiTheme="majorHAnsi" w:cstheme="majorHAnsi"/>
              </w:rPr>
              <w:t>discuss the refresh of the</w:t>
            </w:r>
            <w:r>
              <w:rPr>
                <w:rFonts w:asciiTheme="majorHAnsi" w:hAnsiTheme="majorHAnsi" w:cstheme="majorHAnsi"/>
              </w:rPr>
              <w:t xml:space="preserve"> Alumni Engagement </w:t>
            </w:r>
            <w:r w:rsidR="00FD78BA">
              <w:rPr>
                <w:rFonts w:asciiTheme="majorHAnsi" w:hAnsiTheme="majorHAnsi" w:cstheme="majorHAnsi"/>
              </w:rPr>
              <w:t xml:space="preserve">Strategy. </w:t>
            </w:r>
          </w:p>
          <w:p w14:paraId="11FCDC0F" w14:textId="77777777" w:rsidR="00FD78BA" w:rsidRDefault="00FD78BA" w:rsidP="00A06008">
            <w:pPr>
              <w:rPr>
                <w:rFonts w:asciiTheme="majorHAnsi" w:hAnsiTheme="majorHAnsi" w:cstheme="majorHAnsi"/>
              </w:rPr>
            </w:pPr>
          </w:p>
          <w:p w14:paraId="4FDC706B" w14:textId="2312C166" w:rsidR="000E5A2C" w:rsidRDefault="00FD78BA" w:rsidP="00A06008">
            <w:pPr>
              <w:rPr>
                <w:rFonts w:asciiTheme="majorHAnsi" w:hAnsiTheme="majorHAnsi" w:cstheme="majorHAnsi"/>
              </w:rPr>
            </w:pPr>
            <w:r>
              <w:rPr>
                <w:rFonts w:asciiTheme="majorHAnsi" w:hAnsiTheme="majorHAnsi" w:cstheme="majorHAnsi"/>
              </w:rPr>
              <w:t xml:space="preserve">As part of reintegration </w:t>
            </w:r>
            <w:r w:rsidR="00520E96">
              <w:rPr>
                <w:rFonts w:asciiTheme="majorHAnsi" w:hAnsiTheme="majorHAnsi" w:cstheme="majorHAnsi"/>
              </w:rPr>
              <w:t xml:space="preserve">planning, </w:t>
            </w:r>
            <w:r>
              <w:rPr>
                <w:rFonts w:asciiTheme="majorHAnsi" w:hAnsiTheme="majorHAnsi" w:cstheme="majorHAnsi"/>
              </w:rPr>
              <w:t>AAC will re-</w:t>
            </w:r>
            <w:r w:rsidR="00520E96">
              <w:rPr>
                <w:rFonts w:asciiTheme="majorHAnsi" w:hAnsiTheme="majorHAnsi" w:cstheme="majorHAnsi"/>
              </w:rPr>
              <w:t>introduce</w:t>
            </w:r>
            <w:r w:rsidR="0095300A">
              <w:rPr>
                <w:rFonts w:asciiTheme="majorHAnsi" w:hAnsiTheme="majorHAnsi" w:cstheme="majorHAnsi"/>
              </w:rPr>
              <w:t xml:space="preserve"> </w:t>
            </w:r>
            <w:r w:rsidR="00311501" w:rsidRPr="00311501">
              <w:rPr>
                <w:rFonts w:asciiTheme="majorHAnsi" w:hAnsiTheme="majorHAnsi" w:cstheme="majorHAnsi"/>
              </w:rPr>
              <w:t xml:space="preserve">'Development Impact </w:t>
            </w:r>
            <w:r w:rsidR="0095300A">
              <w:rPr>
                <w:rFonts w:asciiTheme="majorHAnsi" w:hAnsiTheme="majorHAnsi" w:cstheme="majorHAnsi"/>
              </w:rPr>
              <w:t xml:space="preserve">Plans’. </w:t>
            </w:r>
          </w:p>
          <w:p w14:paraId="43042A1F" w14:textId="77777777" w:rsidR="00FD78BA" w:rsidRDefault="00FD78BA" w:rsidP="00A06008">
            <w:pPr>
              <w:rPr>
                <w:rFonts w:asciiTheme="majorHAnsi" w:hAnsiTheme="majorHAnsi" w:cstheme="majorHAnsi"/>
              </w:rPr>
            </w:pPr>
          </w:p>
          <w:p w14:paraId="3C83E775" w14:textId="66FC4575" w:rsidR="00E5275D" w:rsidRPr="00CC0FBA" w:rsidRDefault="00E5275D" w:rsidP="00A06008">
            <w:pPr>
              <w:rPr>
                <w:rFonts w:asciiTheme="majorHAnsi" w:hAnsiTheme="majorHAnsi" w:cstheme="majorHAnsi"/>
              </w:rPr>
            </w:pPr>
            <w:r>
              <w:rPr>
                <w:rFonts w:asciiTheme="majorHAnsi" w:hAnsiTheme="majorHAnsi" w:cstheme="majorHAnsi"/>
              </w:rPr>
              <w:t xml:space="preserve">AAC has </w:t>
            </w:r>
            <w:r w:rsidR="00520E96">
              <w:rPr>
                <w:rFonts w:asciiTheme="majorHAnsi" w:hAnsiTheme="majorHAnsi" w:cstheme="majorHAnsi"/>
              </w:rPr>
              <w:t xml:space="preserve">developed </w:t>
            </w:r>
            <w:r>
              <w:rPr>
                <w:rFonts w:asciiTheme="majorHAnsi" w:hAnsiTheme="majorHAnsi" w:cstheme="majorHAnsi"/>
              </w:rPr>
              <w:t xml:space="preserve">an Alumni Database to support easier tracking of </w:t>
            </w:r>
            <w:r w:rsidR="00782BCA">
              <w:rPr>
                <w:rFonts w:asciiTheme="majorHAnsi" w:hAnsiTheme="majorHAnsi" w:cstheme="majorHAnsi"/>
              </w:rPr>
              <w:t>career milestones</w:t>
            </w:r>
            <w:r w:rsidR="00322C58">
              <w:rPr>
                <w:rFonts w:asciiTheme="majorHAnsi" w:hAnsiTheme="majorHAnsi" w:cstheme="majorHAnsi"/>
              </w:rPr>
              <w:t xml:space="preserve"> of alumni. </w:t>
            </w:r>
          </w:p>
        </w:tc>
        <w:tc>
          <w:tcPr>
            <w:tcW w:w="1227" w:type="dxa"/>
          </w:tcPr>
          <w:p w14:paraId="2B534481" w14:textId="6BF82B9B" w:rsidR="000E5A2C" w:rsidRPr="00CC0FBA" w:rsidRDefault="00FD78BA" w:rsidP="002D3257">
            <w:pPr>
              <w:rPr>
                <w:rFonts w:asciiTheme="majorHAnsi" w:hAnsiTheme="majorHAnsi" w:cstheme="majorHAnsi"/>
              </w:rPr>
            </w:pPr>
            <w:r>
              <w:rPr>
                <w:rFonts w:asciiTheme="majorHAnsi" w:hAnsiTheme="majorHAnsi" w:cstheme="majorHAnsi"/>
              </w:rPr>
              <w:t>31 October 2026.</w:t>
            </w:r>
          </w:p>
        </w:tc>
      </w:tr>
      <w:tr w:rsidR="00265ABD" w:rsidRPr="00CC0FBA" w14:paraId="613D9F07" w14:textId="77777777" w:rsidTr="00D17443">
        <w:tc>
          <w:tcPr>
            <w:tcW w:w="704" w:type="dxa"/>
          </w:tcPr>
          <w:p w14:paraId="4D13649B" w14:textId="638C69A3" w:rsidR="00265ABD" w:rsidRPr="00CC0FBA" w:rsidRDefault="00790F10" w:rsidP="002D3257">
            <w:pPr>
              <w:rPr>
                <w:rFonts w:asciiTheme="majorHAnsi" w:hAnsiTheme="majorHAnsi" w:cstheme="majorHAnsi"/>
              </w:rPr>
            </w:pPr>
            <w:r w:rsidRPr="00CC0FBA">
              <w:rPr>
                <w:rFonts w:asciiTheme="majorHAnsi" w:hAnsiTheme="majorHAnsi" w:cstheme="majorHAnsi"/>
              </w:rPr>
              <w:t>5.</w:t>
            </w:r>
          </w:p>
        </w:tc>
        <w:tc>
          <w:tcPr>
            <w:tcW w:w="4253" w:type="dxa"/>
          </w:tcPr>
          <w:p w14:paraId="03A60999" w14:textId="77777777" w:rsidR="00790F10" w:rsidRPr="00CC0FBA" w:rsidRDefault="00790F10" w:rsidP="00235BD4">
            <w:pPr>
              <w:spacing w:before="160" w:line="276" w:lineRule="auto"/>
              <w:rPr>
                <w:rFonts w:asciiTheme="majorHAnsi" w:hAnsiTheme="majorHAnsi" w:cstheme="majorHAnsi"/>
                <w:color w:val="657C9C" w:themeColor="text2" w:themeTint="BF"/>
              </w:rPr>
            </w:pPr>
            <w:r w:rsidRPr="00CC0FBA">
              <w:rPr>
                <w:rFonts w:asciiTheme="majorHAnsi" w:hAnsiTheme="majorHAnsi" w:cstheme="majorHAnsi"/>
              </w:rPr>
              <w:t>Explore co-funding and cost-sharing with the Royal Government of Cambodia.</w:t>
            </w:r>
          </w:p>
          <w:p w14:paraId="7C077448" w14:textId="781A330A" w:rsidR="00265ABD" w:rsidRPr="00CC0FBA" w:rsidRDefault="00790F10" w:rsidP="0052487F">
            <w:pPr>
              <w:spacing w:before="160"/>
              <w:ind w:left="714"/>
              <w:rPr>
                <w:rFonts w:asciiTheme="majorHAnsi" w:hAnsiTheme="majorHAnsi" w:cstheme="majorHAnsi"/>
              </w:rPr>
            </w:pPr>
            <w:r w:rsidRPr="00CC0FBA">
              <w:rPr>
                <w:rFonts w:asciiTheme="majorHAnsi" w:hAnsiTheme="majorHAnsi" w:cstheme="majorHAnsi"/>
              </w:rPr>
              <w:lastRenderedPageBreak/>
              <w:t>In line with the Invested: Australia’s Southeast Asia Economic Strategy to 2040, initiate dialogue with the RGC to establish co-investment and cost-sharing arrangements. Co-funding can demonstrate mutual commitment and create pathways for eventual financial sustainability, while cost-sharing arrangements can broaden institutional engagement without compromising merit or equity. Models such as Indonesia’s LPDP–Australia Awards collaborations offer useful precedents.</w:t>
            </w:r>
          </w:p>
        </w:tc>
        <w:tc>
          <w:tcPr>
            <w:tcW w:w="1843" w:type="dxa"/>
          </w:tcPr>
          <w:p w14:paraId="4504F687" w14:textId="6EE10735" w:rsidR="00265ABD" w:rsidRPr="00CC0FBA" w:rsidRDefault="007935E8" w:rsidP="002D3257">
            <w:pPr>
              <w:rPr>
                <w:rFonts w:asciiTheme="majorHAnsi" w:hAnsiTheme="majorHAnsi" w:cstheme="majorHAnsi"/>
              </w:rPr>
            </w:pPr>
            <w:r>
              <w:rPr>
                <w:rFonts w:asciiTheme="majorHAnsi" w:hAnsiTheme="majorHAnsi" w:cstheme="majorHAnsi"/>
              </w:rPr>
              <w:lastRenderedPageBreak/>
              <w:t xml:space="preserve">Disagree </w:t>
            </w:r>
          </w:p>
        </w:tc>
        <w:tc>
          <w:tcPr>
            <w:tcW w:w="3472" w:type="dxa"/>
          </w:tcPr>
          <w:p w14:paraId="3911AD6F" w14:textId="05E4C4A1" w:rsidR="00EE0EC7" w:rsidRDefault="00D12D43" w:rsidP="002D3257">
            <w:pPr>
              <w:rPr>
                <w:rFonts w:asciiTheme="majorHAnsi" w:hAnsiTheme="majorHAnsi" w:cstheme="majorHAnsi"/>
              </w:rPr>
            </w:pPr>
            <w:r>
              <w:rPr>
                <w:rFonts w:asciiTheme="majorHAnsi" w:hAnsiTheme="majorHAnsi" w:cstheme="majorHAnsi"/>
              </w:rPr>
              <w:t>C</w:t>
            </w:r>
            <w:r w:rsidRPr="00D12D43">
              <w:rPr>
                <w:rFonts w:asciiTheme="majorHAnsi" w:hAnsiTheme="majorHAnsi" w:cstheme="majorHAnsi"/>
              </w:rPr>
              <w:t xml:space="preserve">o-funding and cost-sharing scholarships with the Royal Government of Cambodia (RGC) can accelerate human capital </w:t>
            </w:r>
            <w:r w:rsidRPr="00D12D43">
              <w:rPr>
                <w:rFonts w:asciiTheme="majorHAnsi" w:hAnsiTheme="majorHAnsi" w:cstheme="majorHAnsi"/>
              </w:rPr>
              <w:lastRenderedPageBreak/>
              <w:t>development but carry</w:t>
            </w:r>
            <w:r w:rsidR="00483AFA">
              <w:rPr>
                <w:rFonts w:asciiTheme="majorHAnsi" w:hAnsiTheme="majorHAnsi" w:cstheme="majorHAnsi"/>
              </w:rPr>
              <w:t xml:space="preserve"> </w:t>
            </w:r>
            <w:r w:rsidRPr="00D12D43">
              <w:rPr>
                <w:rFonts w:asciiTheme="majorHAnsi" w:hAnsiTheme="majorHAnsi" w:cstheme="majorHAnsi"/>
              </w:rPr>
              <w:t>administrative and financial risks.</w:t>
            </w:r>
          </w:p>
          <w:p w14:paraId="4E0C2D79" w14:textId="77777777" w:rsidR="00952E7D" w:rsidRDefault="00952E7D" w:rsidP="002D3257">
            <w:pPr>
              <w:rPr>
                <w:rFonts w:asciiTheme="majorHAnsi" w:hAnsiTheme="majorHAnsi" w:cstheme="majorHAnsi"/>
              </w:rPr>
            </w:pPr>
          </w:p>
          <w:p w14:paraId="6A7262FF" w14:textId="6CCFB408" w:rsidR="00B17274" w:rsidRPr="00CC0FBA" w:rsidRDefault="00952E7D" w:rsidP="002D3257">
            <w:pPr>
              <w:rPr>
                <w:rFonts w:asciiTheme="majorHAnsi" w:hAnsiTheme="majorHAnsi" w:cstheme="majorHAnsi"/>
              </w:rPr>
            </w:pPr>
            <w:r>
              <w:rPr>
                <w:rFonts w:asciiTheme="majorHAnsi" w:hAnsiTheme="majorHAnsi" w:cstheme="majorHAnsi"/>
              </w:rPr>
              <w:t>This recommendation will be revisited</w:t>
            </w:r>
            <w:r w:rsidR="00250DE4">
              <w:rPr>
                <w:rFonts w:asciiTheme="majorHAnsi" w:hAnsiTheme="majorHAnsi" w:cstheme="majorHAnsi"/>
              </w:rPr>
              <w:t xml:space="preserve"> </w:t>
            </w:r>
            <w:r w:rsidR="00BE2D4A">
              <w:rPr>
                <w:rFonts w:asciiTheme="majorHAnsi" w:hAnsiTheme="majorHAnsi" w:cstheme="majorHAnsi"/>
              </w:rPr>
              <w:t xml:space="preserve">when the settings are more </w:t>
            </w:r>
            <w:r w:rsidR="00E0769A">
              <w:rPr>
                <w:rFonts w:asciiTheme="majorHAnsi" w:hAnsiTheme="majorHAnsi" w:cstheme="majorHAnsi"/>
              </w:rPr>
              <w:t>suited to</w:t>
            </w:r>
            <w:r w:rsidR="00BE2D4A">
              <w:rPr>
                <w:rFonts w:asciiTheme="majorHAnsi" w:hAnsiTheme="majorHAnsi" w:cstheme="majorHAnsi"/>
              </w:rPr>
              <w:t xml:space="preserve"> this </w:t>
            </w:r>
            <w:r w:rsidR="00E0769A">
              <w:rPr>
                <w:rFonts w:asciiTheme="majorHAnsi" w:hAnsiTheme="majorHAnsi" w:cstheme="majorHAnsi"/>
              </w:rPr>
              <w:t>approach.</w:t>
            </w:r>
          </w:p>
        </w:tc>
        <w:tc>
          <w:tcPr>
            <w:tcW w:w="2507" w:type="dxa"/>
          </w:tcPr>
          <w:p w14:paraId="414CB531" w14:textId="309A0486" w:rsidR="00265ABD" w:rsidRPr="00CC0FBA" w:rsidRDefault="000B344B" w:rsidP="00A06008">
            <w:pPr>
              <w:rPr>
                <w:rFonts w:asciiTheme="majorHAnsi" w:hAnsiTheme="majorHAnsi" w:cstheme="majorHAnsi"/>
              </w:rPr>
            </w:pPr>
            <w:r>
              <w:rPr>
                <w:rFonts w:asciiTheme="majorHAnsi" w:hAnsiTheme="majorHAnsi" w:cstheme="majorHAnsi"/>
              </w:rPr>
              <w:lastRenderedPageBreak/>
              <w:t xml:space="preserve">N/A </w:t>
            </w:r>
          </w:p>
        </w:tc>
        <w:tc>
          <w:tcPr>
            <w:tcW w:w="1227" w:type="dxa"/>
          </w:tcPr>
          <w:p w14:paraId="36CFE980" w14:textId="69194E85" w:rsidR="00265ABD" w:rsidRPr="00CC0FBA" w:rsidRDefault="000B344B" w:rsidP="002D3257">
            <w:pPr>
              <w:rPr>
                <w:rFonts w:asciiTheme="majorHAnsi" w:hAnsiTheme="majorHAnsi" w:cstheme="majorHAnsi"/>
              </w:rPr>
            </w:pPr>
            <w:r>
              <w:rPr>
                <w:rFonts w:asciiTheme="majorHAnsi" w:hAnsiTheme="majorHAnsi" w:cstheme="majorHAnsi"/>
              </w:rPr>
              <w:t xml:space="preserve">N/A </w:t>
            </w:r>
          </w:p>
        </w:tc>
      </w:tr>
    </w:tbl>
    <w:p w14:paraId="5FDE89DE" w14:textId="77777777" w:rsidR="006B30F2" w:rsidRPr="00CC0FBA" w:rsidRDefault="006B30F2" w:rsidP="00E872DF">
      <w:pPr>
        <w:rPr>
          <w:rFonts w:asciiTheme="majorHAnsi" w:hAnsiTheme="majorHAnsi" w:cstheme="majorHAnsi"/>
        </w:rPr>
      </w:pPr>
    </w:p>
    <w:sectPr w:rsidR="006B30F2" w:rsidRPr="00CC0FBA" w:rsidSect="00786F96">
      <w:headerReference w:type="even"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453F" w14:textId="77777777" w:rsidR="00DB4530" w:rsidRDefault="00DB4530" w:rsidP="009B2300">
      <w:pPr>
        <w:spacing w:after="0" w:line="240" w:lineRule="auto"/>
      </w:pPr>
      <w:r>
        <w:separator/>
      </w:r>
    </w:p>
  </w:endnote>
  <w:endnote w:type="continuationSeparator" w:id="0">
    <w:p w14:paraId="6096C59F" w14:textId="77777777" w:rsidR="00DB4530" w:rsidRDefault="00DB4530" w:rsidP="009B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CE59" w14:textId="359AA5E9" w:rsidR="00920A12" w:rsidRDefault="00920A12">
    <w:pPr>
      <w:pStyle w:val="Footer"/>
    </w:pPr>
    <w:r>
      <w:rPr>
        <w:noProof/>
      </w:rPr>
      <mc:AlternateContent>
        <mc:Choice Requires="wps">
          <w:drawing>
            <wp:anchor distT="0" distB="0" distL="0" distR="0" simplePos="0" relativeHeight="251658243" behindDoc="0" locked="0" layoutInCell="1" allowOverlap="1" wp14:anchorId="08DB9FE8" wp14:editId="22F0F9DA">
              <wp:simplePos x="635" y="635"/>
              <wp:positionH relativeFrom="page">
                <wp:align>center</wp:align>
              </wp:positionH>
              <wp:positionV relativeFrom="page">
                <wp:align>bottom</wp:align>
              </wp:positionV>
              <wp:extent cx="622300" cy="391160"/>
              <wp:effectExtent l="0" t="0" r="6350" b="0"/>
              <wp:wrapNone/>
              <wp:docPr id="12035659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9A6CB3" w14:textId="5A48F288"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B9FE8"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79A6CB3" w14:textId="5A48F288"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B484" w14:textId="585E53F6" w:rsidR="00920A12" w:rsidRDefault="00920A12">
    <w:pPr>
      <w:pStyle w:val="Footer"/>
    </w:pPr>
    <w:r>
      <w:rPr>
        <w:noProof/>
      </w:rPr>
      <mc:AlternateContent>
        <mc:Choice Requires="wps">
          <w:drawing>
            <wp:anchor distT="0" distB="0" distL="0" distR="0" simplePos="0" relativeHeight="251658244" behindDoc="0" locked="0" layoutInCell="1" allowOverlap="1" wp14:anchorId="35C7E267" wp14:editId="094015CB">
              <wp:simplePos x="914400" y="6943725"/>
              <wp:positionH relativeFrom="page">
                <wp:align>center</wp:align>
              </wp:positionH>
              <wp:positionV relativeFrom="page">
                <wp:align>bottom</wp:align>
              </wp:positionV>
              <wp:extent cx="622300" cy="391160"/>
              <wp:effectExtent l="0" t="0" r="6350" b="0"/>
              <wp:wrapNone/>
              <wp:docPr id="127140109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0E85FD" w14:textId="15BC058A" w:rsidR="00920A12" w:rsidRPr="00920A12" w:rsidRDefault="00920A12" w:rsidP="00920A12">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7E267" id="_x0000_t202" coordsize="21600,21600" o:spt="202" path="m,l,21600r21600,l21600,xe">
              <v:stroke joinstyle="miter"/>
              <v:path gradientshapeok="t" o:connecttype="rect"/>
            </v:shapetype>
            <v:shape id="Text Box 7" o:spid="_x0000_s1030"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textbox style="mso-fit-shape-to-text:t" inset="0,0,0,15pt">
                <w:txbxContent>
                  <w:p w14:paraId="630E85FD" w14:textId="15BC058A" w:rsidR="00920A12" w:rsidRPr="00920A12" w:rsidRDefault="00920A12" w:rsidP="00920A12">
                    <w:pPr>
                      <w:spacing w:after="0"/>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BD9" w14:textId="7C8FABE1" w:rsidR="00920A12" w:rsidRDefault="00920A12">
    <w:pPr>
      <w:pStyle w:val="Footer"/>
    </w:pPr>
    <w:r>
      <w:rPr>
        <w:noProof/>
      </w:rPr>
      <mc:AlternateContent>
        <mc:Choice Requires="wps">
          <w:drawing>
            <wp:anchor distT="0" distB="0" distL="0" distR="0" simplePos="0" relativeHeight="251658246" behindDoc="0" locked="0" layoutInCell="1" allowOverlap="1" wp14:anchorId="2EC1D332" wp14:editId="0284FE0A">
              <wp:simplePos x="635" y="635"/>
              <wp:positionH relativeFrom="page">
                <wp:align>center</wp:align>
              </wp:positionH>
              <wp:positionV relativeFrom="page">
                <wp:align>bottom</wp:align>
              </wp:positionV>
              <wp:extent cx="622300" cy="391160"/>
              <wp:effectExtent l="0" t="0" r="6350" b="0"/>
              <wp:wrapNone/>
              <wp:docPr id="17488820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E4760F" w14:textId="70920034"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1D332" id="_x0000_t202" coordsize="21600,21600" o:spt="202" path="m,l,21600r21600,l21600,xe">
              <v:stroke joinstyle="miter"/>
              <v:path gradientshapeok="t" o:connecttype="rect"/>
            </v:shapetype>
            <v:shape id="Text Box 5" o:spid="_x0000_s1032" type="#_x0000_t202" alt="OFFICIAL" style="position:absolute;margin-left:0;margin-top:0;width:49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filled="f" stroked="f">
              <v:textbox style="mso-fit-shape-to-text:t" inset="0,0,0,15pt">
                <w:txbxContent>
                  <w:p w14:paraId="6DE4760F" w14:textId="70920034"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E614" w14:textId="77777777" w:rsidR="00DB4530" w:rsidRDefault="00DB4530" w:rsidP="009B2300">
      <w:pPr>
        <w:spacing w:after="0" w:line="240" w:lineRule="auto"/>
      </w:pPr>
      <w:r>
        <w:separator/>
      </w:r>
    </w:p>
  </w:footnote>
  <w:footnote w:type="continuationSeparator" w:id="0">
    <w:p w14:paraId="7092D129" w14:textId="77777777" w:rsidR="00DB4530" w:rsidRDefault="00DB4530" w:rsidP="009B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632A" w14:textId="532FA1F9" w:rsidR="00920A12" w:rsidRDefault="00920A12">
    <w:pPr>
      <w:pStyle w:val="Header"/>
    </w:pPr>
    <w:r>
      <w:rPr>
        <w:noProof/>
      </w:rPr>
      <mc:AlternateContent>
        <mc:Choice Requires="wps">
          <w:drawing>
            <wp:anchor distT="0" distB="0" distL="0" distR="0" simplePos="0" relativeHeight="251658242" behindDoc="0" locked="0" layoutInCell="1" allowOverlap="1" wp14:anchorId="6565BEAC" wp14:editId="60D686EC">
              <wp:simplePos x="635" y="635"/>
              <wp:positionH relativeFrom="page">
                <wp:align>center</wp:align>
              </wp:positionH>
              <wp:positionV relativeFrom="page">
                <wp:align>top</wp:align>
              </wp:positionV>
              <wp:extent cx="622300" cy="391160"/>
              <wp:effectExtent l="0" t="0" r="6350" b="8890"/>
              <wp:wrapNone/>
              <wp:docPr id="19411190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4829F59" w14:textId="1227F2E0"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5BEAC" id="_x0000_t202" coordsize="21600,21600" o:spt="202" path="m,l,21600r21600,l21600,xe">
              <v:stroke joinstyle="miter"/>
              <v:path gradientshapeok="t" o:connecttype="rect"/>
            </v:shapetype>
            <v:shape id="Text Box 3" o:spid="_x0000_s1026"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4829F59" w14:textId="1227F2E0"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B00A" w14:textId="5F3C4BB8" w:rsidR="00920A12" w:rsidRDefault="00920A12">
    <w:pPr>
      <w:pStyle w:val="Header"/>
    </w:pPr>
    <w:r>
      <w:rPr>
        <w:noProof/>
      </w:rPr>
      <mc:AlternateContent>
        <mc:Choice Requires="wps">
          <w:drawing>
            <wp:anchor distT="0" distB="0" distL="0" distR="0" simplePos="0" relativeHeight="251658245" behindDoc="0" locked="0" layoutInCell="1" allowOverlap="1" wp14:anchorId="2731B414" wp14:editId="48A51381">
              <wp:simplePos x="635" y="635"/>
              <wp:positionH relativeFrom="page">
                <wp:align>center</wp:align>
              </wp:positionH>
              <wp:positionV relativeFrom="page">
                <wp:align>top</wp:align>
              </wp:positionV>
              <wp:extent cx="622300" cy="391160"/>
              <wp:effectExtent l="0" t="0" r="6350" b="8890"/>
              <wp:wrapNone/>
              <wp:docPr id="5826785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EE664BB" w14:textId="37B31AE6"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1B414" id="_x0000_t202" coordsize="21600,21600" o:spt="202" path="m,l,21600r21600,l21600,xe">
              <v:stroke joinstyle="miter"/>
              <v:path gradientshapeok="t" o:connecttype="rect"/>
            </v:shapetype>
            <v:shape id="Text Box 2" o:spid="_x0000_s1031"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textbox style="mso-fit-shape-to-text:t" inset="0,15pt,0,0">
                <w:txbxContent>
                  <w:p w14:paraId="0EE664BB" w14:textId="37B31AE6" w:rsidR="00920A12" w:rsidRPr="00920A12" w:rsidRDefault="00920A12" w:rsidP="00920A12">
                    <w:pPr>
                      <w:spacing w:after="0"/>
                      <w:rPr>
                        <w:rFonts w:ascii="Aptos" w:eastAsia="Aptos" w:hAnsi="Aptos" w:cs="Aptos"/>
                        <w:noProof/>
                        <w:color w:val="FF0000"/>
                        <w:sz w:val="24"/>
                        <w:szCs w:val="24"/>
                      </w:rPr>
                    </w:pPr>
                    <w:r w:rsidRPr="00920A1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75E"/>
    <w:multiLevelType w:val="multilevel"/>
    <w:tmpl w:val="A63E4BC0"/>
    <w:lvl w:ilvl="0">
      <w:start w:val="1"/>
      <w:numFmt w:val="decimal"/>
      <w:lvlText w:val="%1."/>
      <w:lvlJc w:val="left"/>
      <w:pPr>
        <w:ind w:left="-288" w:hanging="432"/>
      </w:pPr>
    </w:lvl>
    <w:lvl w:ilvl="1">
      <w:start w:val="1"/>
      <w:numFmt w:val="decimal"/>
      <w:lvlText w:val="2.%2"/>
      <w:lvlJc w:val="left"/>
      <w:pPr>
        <w:ind w:left="-1136" w:hanging="576"/>
      </w:pPr>
    </w:lvl>
    <w:lvl w:ilvl="2">
      <w:start w:val="1"/>
      <w:numFmt w:val="decimal"/>
      <w:lvlText w:val="%1.%2.%3"/>
      <w:lvlJc w:val="left"/>
      <w:pPr>
        <w:ind w:left="-992" w:hanging="720"/>
      </w:pPr>
    </w:lvl>
    <w:lvl w:ilvl="3">
      <w:start w:val="1"/>
      <w:numFmt w:val="decimal"/>
      <w:lvlText w:val="%1.%2.%3.%4"/>
      <w:lvlJc w:val="left"/>
      <w:pPr>
        <w:ind w:left="-848" w:hanging="864"/>
      </w:pPr>
    </w:lvl>
    <w:lvl w:ilvl="4">
      <w:start w:val="1"/>
      <w:numFmt w:val="decimal"/>
      <w:lvlText w:val="%1.%2.%3.%4.%5"/>
      <w:lvlJc w:val="left"/>
      <w:pPr>
        <w:ind w:left="-704" w:hanging="1008"/>
      </w:pPr>
    </w:lvl>
    <w:lvl w:ilvl="5">
      <w:start w:val="1"/>
      <w:numFmt w:val="decimal"/>
      <w:lvlText w:val="%1.%2.%3.%4.%5.%6"/>
      <w:lvlJc w:val="left"/>
      <w:pPr>
        <w:ind w:left="-560" w:hanging="1152"/>
      </w:pPr>
    </w:lvl>
    <w:lvl w:ilvl="6">
      <w:start w:val="1"/>
      <w:numFmt w:val="decimal"/>
      <w:lvlText w:val="%1.%2.%3.%4.%5.%6.%7"/>
      <w:lvlJc w:val="left"/>
      <w:pPr>
        <w:ind w:left="-416" w:hanging="1296"/>
      </w:pPr>
    </w:lvl>
    <w:lvl w:ilvl="7">
      <w:start w:val="1"/>
      <w:numFmt w:val="decimal"/>
      <w:lvlText w:val="%1.%2.%3.%4.%5.%6.%7.%8"/>
      <w:lvlJc w:val="left"/>
      <w:pPr>
        <w:ind w:left="-272" w:hanging="1440"/>
      </w:pPr>
    </w:lvl>
    <w:lvl w:ilvl="8">
      <w:start w:val="1"/>
      <w:numFmt w:val="decimal"/>
      <w:lvlText w:val="%1.%2.%3.%4.%5.%6.%7.%8.%9"/>
      <w:lvlJc w:val="left"/>
      <w:pPr>
        <w:ind w:left="-128" w:hanging="1584"/>
      </w:pPr>
    </w:lvl>
  </w:abstractNum>
  <w:abstractNum w:abstractNumId="1" w15:restartNumberingAfterBreak="0">
    <w:nsid w:val="13B40EAF"/>
    <w:multiLevelType w:val="hybridMultilevel"/>
    <w:tmpl w:val="F5124168"/>
    <w:lvl w:ilvl="0" w:tplc="A5120DA4">
      <w:start w:val="1"/>
      <w:numFmt w:val="decimal"/>
      <w:lvlText w:val="%1."/>
      <w:lvlJc w:val="left"/>
      <w:pPr>
        <w:ind w:left="1020" w:hanging="360"/>
      </w:pPr>
    </w:lvl>
    <w:lvl w:ilvl="1" w:tplc="8C460638">
      <w:start w:val="1"/>
      <w:numFmt w:val="decimal"/>
      <w:lvlText w:val="%2."/>
      <w:lvlJc w:val="left"/>
      <w:pPr>
        <w:ind w:left="1020" w:hanging="360"/>
      </w:pPr>
    </w:lvl>
    <w:lvl w:ilvl="2" w:tplc="0F129B2C">
      <w:start w:val="1"/>
      <w:numFmt w:val="decimal"/>
      <w:lvlText w:val="%3."/>
      <w:lvlJc w:val="left"/>
      <w:pPr>
        <w:ind w:left="1020" w:hanging="360"/>
      </w:pPr>
    </w:lvl>
    <w:lvl w:ilvl="3" w:tplc="8B3E63CA">
      <w:start w:val="1"/>
      <w:numFmt w:val="decimal"/>
      <w:lvlText w:val="%4."/>
      <w:lvlJc w:val="left"/>
      <w:pPr>
        <w:ind w:left="1020" w:hanging="360"/>
      </w:pPr>
    </w:lvl>
    <w:lvl w:ilvl="4" w:tplc="C630A1C8">
      <w:start w:val="1"/>
      <w:numFmt w:val="decimal"/>
      <w:lvlText w:val="%5."/>
      <w:lvlJc w:val="left"/>
      <w:pPr>
        <w:ind w:left="1020" w:hanging="360"/>
      </w:pPr>
    </w:lvl>
    <w:lvl w:ilvl="5" w:tplc="1BAC2082">
      <w:start w:val="1"/>
      <w:numFmt w:val="decimal"/>
      <w:lvlText w:val="%6."/>
      <w:lvlJc w:val="left"/>
      <w:pPr>
        <w:ind w:left="1020" w:hanging="360"/>
      </w:pPr>
    </w:lvl>
    <w:lvl w:ilvl="6" w:tplc="736EC7D0">
      <w:start w:val="1"/>
      <w:numFmt w:val="decimal"/>
      <w:lvlText w:val="%7."/>
      <w:lvlJc w:val="left"/>
      <w:pPr>
        <w:ind w:left="1020" w:hanging="360"/>
      </w:pPr>
    </w:lvl>
    <w:lvl w:ilvl="7" w:tplc="0C4E89AA">
      <w:start w:val="1"/>
      <w:numFmt w:val="decimal"/>
      <w:lvlText w:val="%8."/>
      <w:lvlJc w:val="left"/>
      <w:pPr>
        <w:ind w:left="1020" w:hanging="360"/>
      </w:pPr>
    </w:lvl>
    <w:lvl w:ilvl="8" w:tplc="E7FE9ABE">
      <w:start w:val="1"/>
      <w:numFmt w:val="decimal"/>
      <w:lvlText w:val="%9."/>
      <w:lvlJc w:val="left"/>
      <w:pPr>
        <w:ind w:left="1020" w:hanging="360"/>
      </w:pPr>
    </w:lvl>
  </w:abstractNum>
  <w:abstractNum w:abstractNumId="2" w15:restartNumberingAfterBreak="0">
    <w:nsid w:val="1DFA359A"/>
    <w:multiLevelType w:val="multilevel"/>
    <w:tmpl w:val="6850549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B4822"/>
    <w:multiLevelType w:val="hybridMultilevel"/>
    <w:tmpl w:val="E9DE7E98"/>
    <w:lvl w:ilvl="0" w:tplc="2320FBD4">
      <w:start w:val="1"/>
      <w:numFmt w:val="decimal"/>
      <w:lvlText w:val="%1."/>
      <w:lvlJc w:val="left"/>
      <w:pPr>
        <w:ind w:left="1260" w:hanging="360"/>
      </w:pPr>
    </w:lvl>
    <w:lvl w:ilvl="1" w:tplc="AE4644E8">
      <w:start w:val="1"/>
      <w:numFmt w:val="decimal"/>
      <w:lvlText w:val="%2."/>
      <w:lvlJc w:val="left"/>
      <w:pPr>
        <w:ind w:left="1260" w:hanging="360"/>
      </w:pPr>
    </w:lvl>
    <w:lvl w:ilvl="2" w:tplc="F12E2402">
      <w:start w:val="1"/>
      <w:numFmt w:val="decimal"/>
      <w:lvlText w:val="%3."/>
      <w:lvlJc w:val="left"/>
      <w:pPr>
        <w:ind w:left="1260" w:hanging="360"/>
      </w:pPr>
    </w:lvl>
    <w:lvl w:ilvl="3" w:tplc="DE7A8C46">
      <w:start w:val="1"/>
      <w:numFmt w:val="decimal"/>
      <w:lvlText w:val="%4."/>
      <w:lvlJc w:val="left"/>
      <w:pPr>
        <w:ind w:left="1260" w:hanging="360"/>
      </w:pPr>
    </w:lvl>
    <w:lvl w:ilvl="4" w:tplc="E98E9A2C">
      <w:start w:val="1"/>
      <w:numFmt w:val="decimal"/>
      <w:lvlText w:val="%5."/>
      <w:lvlJc w:val="left"/>
      <w:pPr>
        <w:ind w:left="1260" w:hanging="360"/>
      </w:pPr>
    </w:lvl>
    <w:lvl w:ilvl="5" w:tplc="FBFEC380">
      <w:start w:val="1"/>
      <w:numFmt w:val="decimal"/>
      <w:lvlText w:val="%6."/>
      <w:lvlJc w:val="left"/>
      <w:pPr>
        <w:ind w:left="1260" w:hanging="360"/>
      </w:pPr>
    </w:lvl>
    <w:lvl w:ilvl="6" w:tplc="826E2124">
      <w:start w:val="1"/>
      <w:numFmt w:val="decimal"/>
      <w:lvlText w:val="%7."/>
      <w:lvlJc w:val="left"/>
      <w:pPr>
        <w:ind w:left="1260" w:hanging="360"/>
      </w:pPr>
    </w:lvl>
    <w:lvl w:ilvl="7" w:tplc="E85CBC46">
      <w:start w:val="1"/>
      <w:numFmt w:val="decimal"/>
      <w:lvlText w:val="%8."/>
      <w:lvlJc w:val="left"/>
      <w:pPr>
        <w:ind w:left="1260" w:hanging="360"/>
      </w:pPr>
    </w:lvl>
    <w:lvl w:ilvl="8" w:tplc="66D44D66">
      <w:start w:val="1"/>
      <w:numFmt w:val="decimal"/>
      <w:lvlText w:val="%9."/>
      <w:lvlJc w:val="left"/>
      <w:pPr>
        <w:ind w:left="1260" w:hanging="360"/>
      </w:pPr>
    </w:lvl>
  </w:abstractNum>
  <w:abstractNum w:abstractNumId="4" w15:restartNumberingAfterBreak="0">
    <w:nsid w:val="31FC50C2"/>
    <w:multiLevelType w:val="multilevel"/>
    <w:tmpl w:val="6850549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179B9"/>
    <w:multiLevelType w:val="multilevel"/>
    <w:tmpl w:val="6850549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A7326"/>
    <w:multiLevelType w:val="hybridMultilevel"/>
    <w:tmpl w:val="83886D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2310988">
    <w:abstractNumId w:val="2"/>
    <w:lvlOverride w:ilvl="0">
      <w:startOverride w:val="1"/>
    </w:lvlOverride>
    <w:lvlOverride w:ilvl="1"/>
    <w:lvlOverride w:ilvl="2"/>
    <w:lvlOverride w:ilvl="3"/>
    <w:lvlOverride w:ilvl="4"/>
    <w:lvlOverride w:ilvl="5"/>
    <w:lvlOverride w:ilvl="6"/>
    <w:lvlOverride w:ilvl="7"/>
    <w:lvlOverride w:ilvl="8"/>
  </w:num>
  <w:num w:numId="2" w16cid:durableId="231081016">
    <w:abstractNumId w:val="5"/>
  </w:num>
  <w:num w:numId="3" w16cid:durableId="1749427552">
    <w:abstractNumId w:val="4"/>
  </w:num>
  <w:num w:numId="4" w16cid:durableId="433864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014247">
    <w:abstractNumId w:val="3"/>
  </w:num>
  <w:num w:numId="6" w16cid:durableId="2075272124">
    <w:abstractNumId w:val="1"/>
  </w:num>
  <w:num w:numId="7" w16cid:durableId="218329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01"/>
    <w:rsid w:val="00004B6C"/>
    <w:rsid w:val="000060CE"/>
    <w:rsid w:val="00027C9D"/>
    <w:rsid w:val="000308C3"/>
    <w:rsid w:val="00030EF8"/>
    <w:rsid w:val="000349D3"/>
    <w:rsid w:val="00042655"/>
    <w:rsid w:val="00042CAB"/>
    <w:rsid w:val="0006044D"/>
    <w:rsid w:val="00062943"/>
    <w:rsid w:val="000671DC"/>
    <w:rsid w:val="00077B6D"/>
    <w:rsid w:val="00087FF9"/>
    <w:rsid w:val="00091859"/>
    <w:rsid w:val="000B344B"/>
    <w:rsid w:val="000B53BA"/>
    <w:rsid w:val="000B70AD"/>
    <w:rsid w:val="000B7964"/>
    <w:rsid w:val="000C6F89"/>
    <w:rsid w:val="000D129B"/>
    <w:rsid w:val="000D14D8"/>
    <w:rsid w:val="000E5A2C"/>
    <w:rsid w:val="00126154"/>
    <w:rsid w:val="00127D56"/>
    <w:rsid w:val="0013044C"/>
    <w:rsid w:val="001446CF"/>
    <w:rsid w:val="00145DAB"/>
    <w:rsid w:val="001742CC"/>
    <w:rsid w:val="001822D5"/>
    <w:rsid w:val="001956FD"/>
    <w:rsid w:val="001A373B"/>
    <w:rsid w:val="001B5C44"/>
    <w:rsid w:val="001C23D3"/>
    <w:rsid w:val="001C6B26"/>
    <w:rsid w:val="001C730A"/>
    <w:rsid w:val="001E0238"/>
    <w:rsid w:val="001E1B0C"/>
    <w:rsid w:val="001F1C20"/>
    <w:rsid w:val="001F3847"/>
    <w:rsid w:val="00216D8C"/>
    <w:rsid w:val="002221FD"/>
    <w:rsid w:val="00222427"/>
    <w:rsid w:val="00223967"/>
    <w:rsid w:val="00227573"/>
    <w:rsid w:val="0023146E"/>
    <w:rsid w:val="00233536"/>
    <w:rsid w:val="00234E32"/>
    <w:rsid w:val="00235BD4"/>
    <w:rsid w:val="00250DE4"/>
    <w:rsid w:val="00254CD8"/>
    <w:rsid w:val="00264BE9"/>
    <w:rsid w:val="00265ABD"/>
    <w:rsid w:val="0027041C"/>
    <w:rsid w:val="00272EEC"/>
    <w:rsid w:val="00273100"/>
    <w:rsid w:val="00273123"/>
    <w:rsid w:val="00273B40"/>
    <w:rsid w:val="0027797E"/>
    <w:rsid w:val="0028094B"/>
    <w:rsid w:val="0028471B"/>
    <w:rsid w:val="00285371"/>
    <w:rsid w:val="002A379B"/>
    <w:rsid w:val="002A57E6"/>
    <w:rsid w:val="002B6FF3"/>
    <w:rsid w:val="002C66F7"/>
    <w:rsid w:val="002D1CA3"/>
    <w:rsid w:val="002E591D"/>
    <w:rsid w:val="002F6E15"/>
    <w:rsid w:val="00311501"/>
    <w:rsid w:val="00322C58"/>
    <w:rsid w:val="003246D5"/>
    <w:rsid w:val="00324DB5"/>
    <w:rsid w:val="00327372"/>
    <w:rsid w:val="00340621"/>
    <w:rsid w:val="00345BD3"/>
    <w:rsid w:val="00351851"/>
    <w:rsid w:val="00362501"/>
    <w:rsid w:val="003764D2"/>
    <w:rsid w:val="00381786"/>
    <w:rsid w:val="00382CEA"/>
    <w:rsid w:val="003865B7"/>
    <w:rsid w:val="003907DE"/>
    <w:rsid w:val="003C35B2"/>
    <w:rsid w:val="00407161"/>
    <w:rsid w:val="00412D97"/>
    <w:rsid w:val="00413004"/>
    <w:rsid w:val="004135F9"/>
    <w:rsid w:val="00455712"/>
    <w:rsid w:val="00466DF8"/>
    <w:rsid w:val="00477757"/>
    <w:rsid w:val="00481532"/>
    <w:rsid w:val="00481BA2"/>
    <w:rsid w:val="00483AFA"/>
    <w:rsid w:val="004942D5"/>
    <w:rsid w:val="004A3571"/>
    <w:rsid w:val="004A43DF"/>
    <w:rsid w:val="004A458C"/>
    <w:rsid w:val="004A4E24"/>
    <w:rsid w:val="004B299B"/>
    <w:rsid w:val="004C4246"/>
    <w:rsid w:val="004C4DE0"/>
    <w:rsid w:val="004D121D"/>
    <w:rsid w:val="004D3331"/>
    <w:rsid w:val="004D6800"/>
    <w:rsid w:val="004F405E"/>
    <w:rsid w:val="004F6AC6"/>
    <w:rsid w:val="005021BB"/>
    <w:rsid w:val="005060B5"/>
    <w:rsid w:val="00520E96"/>
    <w:rsid w:val="00521C9F"/>
    <w:rsid w:val="0052487F"/>
    <w:rsid w:val="00544B09"/>
    <w:rsid w:val="00547601"/>
    <w:rsid w:val="0056058B"/>
    <w:rsid w:val="00576E4F"/>
    <w:rsid w:val="00587CDA"/>
    <w:rsid w:val="005B6967"/>
    <w:rsid w:val="005B7218"/>
    <w:rsid w:val="005C0B32"/>
    <w:rsid w:val="005D2CE5"/>
    <w:rsid w:val="005D2F62"/>
    <w:rsid w:val="005D4275"/>
    <w:rsid w:val="005E70B5"/>
    <w:rsid w:val="005F38DF"/>
    <w:rsid w:val="00610342"/>
    <w:rsid w:val="00615610"/>
    <w:rsid w:val="00622F4B"/>
    <w:rsid w:val="00625C7D"/>
    <w:rsid w:val="00643FC1"/>
    <w:rsid w:val="006631C4"/>
    <w:rsid w:val="00672E07"/>
    <w:rsid w:val="006753F7"/>
    <w:rsid w:val="00683E36"/>
    <w:rsid w:val="0068454E"/>
    <w:rsid w:val="006872C9"/>
    <w:rsid w:val="006957E0"/>
    <w:rsid w:val="00696C04"/>
    <w:rsid w:val="006B30F2"/>
    <w:rsid w:val="006C3A1A"/>
    <w:rsid w:val="006C781B"/>
    <w:rsid w:val="006E7196"/>
    <w:rsid w:val="00701305"/>
    <w:rsid w:val="0071148F"/>
    <w:rsid w:val="00713869"/>
    <w:rsid w:val="007176EE"/>
    <w:rsid w:val="007308C2"/>
    <w:rsid w:val="0077514B"/>
    <w:rsid w:val="00782BCA"/>
    <w:rsid w:val="00785261"/>
    <w:rsid w:val="00786F96"/>
    <w:rsid w:val="00790F10"/>
    <w:rsid w:val="007935E8"/>
    <w:rsid w:val="007A74A6"/>
    <w:rsid w:val="007A7F81"/>
    <w:rsid w:val="007B4A10"/>
    <w:rsid w:val="007B6D33"/>
    <w:rsid w:val="007B7574"/>
    <w:rsid w:val="007C24AD"/>
    <w:rsid w:val="007C2943"/>
    <w:rsid w:val="007D6A48"/>
    <w:rsid w:val="007D710A"/>
    <w:rsid w:val="007F136C"/>
    <w:rsid w:val="007F3A06"/>
    <w:rsid w:val="00800059"/>
    <w:rsid w:val="00802DD9"/>
    <w:rsid w:val="0082599E"/>
    <w:rsid w:val="0083625A"/>
    <w:rsid w:val="00843DAC"/>
    <w:rsid w:val="00865B3A"/>
    <w:rsid w:val="008815BC"/>
    <w:rsid w:val="0088175D"/>
    <w:rsid w:val="008B295A"/>
    <w:rsid w:val="008B4B67"/>
    <w:rsid w:val="008C390B"/>
    <w:rsid w:val="008D2F12"/>
    <w:rsid w:val="008D38C6"/>
    <w:rsid w:val="008D63C4"/>
    <w:rsid w:val="008E6767"/>
    <w:rsid w:val="008F76F8"/>
    <w:rsid w:val="008F7A6C"/>
    <w:rsid w:val="00920356"/>
    <w:rsid w:val="00920A12"/>
    <w:rsid w:val="009307B5"/>
    <w:rsid w:val="00934B9A"/>
    <w:rsid w:val="0094223C"/>
    <w:rsid w:val="00952E7D"/>
    <w:rsid w:val="0095300A"/>
    <w:rsid w:val="00974089"/>
    <w:rsid w:val="00974539"/>
    <w:rsid w:val="00985191"/>
    <w:rsid w:val="00987EAB"/>
    <w:rsid w:val="009908EF"/>
    <w:rsid w:val="009936C6"/>
    <w:rsid w:val="009950D6"/>
    <w:rsid w:val="00997919"/>
    <w:rsid w:val="009B2300"/>
    <w:rsid w:val="009B384D"/>
    <w:rsid w:val="009E4500"/>
    <w:rsid w:val="009F2C6B"/>
    <w:rsid w:val="009F58EF"/>
    <w:rsid w:val="00A003C8"/>
    <w:rsid w:val="00A0339B"/>
    <w:rsid w:val="00A04F1A"/>
    <w:rsid w:val="00A06008"/>
    <w:rsid w:val="00A1411D"/>
    <w:rsid w:val="00A273C4"/>
    <w:rsid w:val="00A448AD"/>
    <w:rsid w:val="00A51C86"/>
    <w:rsid w:val="00A60E86"/>
    <w:rsid w:val="00A64219"/>
    <w:rsid w:val="00A83960"/>
    <w:rsid w:val="00A929E5"/>
    <w:rsid w:val="00A92C13"/>
    <w:rsid w:val="00AB532C"/>
    <w:rsid w:val="00AB6A40"/>
    <w:rsid w:val="00AB73EE"/>
    <w:rsid w:val="00AC3C46"/>
    <w:rsid w:val="00AC6885"/>
    <w:rsid w:val="00AD20DA"/>
    <w:rsid w:val="00AD3CD4"/>
    <w:rsid w:val="00AD49DF"/>
    <w:rsid w:val="00AE4538"/>
    <w:rsid w:val="00AE7791"/>
    <w:rsid w:val="00AE7BE4"/>
    <w:rsid w:val="00AF7B19"/>
    <w:rsid w:val="00B027FB"/>
    <w:rsid w:val="00B02C4F"/>
    <w:rsid w:val="00B132AA"/>
    <w:rsid w:val="00B17274"/>
    <w:rsid w:val="00B35375"/>
    <w:rsid w:val="00B646A2"/>
    <w:rsid w:val="00B74915"/>
    <w:rsid w:val="00B959A6"/>
    <w:rsid w:val="00BA72CB"/>
    <w:rsid w:val="00BB5F3B"/>
    <w:rsid w:val="00BC3AF6"/>
    <w:rsid w:val="00BC61A7"/>
    <w:rsid w:val="00BE2D4A"/>
    <w:rsid w:val="00BE36A2"/>
    <w:rsid w:val="00C02B15"/>
    <w:rsid w:val="00C06132"/>
    <w:rsid w:val="00C12995"/>
    <w:rsid w:val="00C25DEA"/>
    <w:rsid w:val="00C31854"/>
    <w:rsid w:val="00C8254D"/>
    <w:rsid w:val="00C83707"/>
    <w:rsid w:val="00C862B3"/>
    <w:rsid w:val="00C937B5"/>
    <w:rsid w:val="00C96213"/>
    <w:rsid w:val="00C97919"/>
    <w:rsid w:val="00CA6C8B"/>
    <w:rsid w:val="00CB23DB"/>
    <w:rsid w:val="00CB2F0B"/>
    <w:rsid w:val="00CB48A6"/>
    <w:rsid w:val="00CB7284"/>
    <w:rsid w:val="00CC0FBA"/>
    <w:rsid w:val="00CC340B"/>
    <w:rsid w:val="00CC49BA"/>
    <w:rsid w:val="00CD656C"/>
    <w:rsid w:val="00CE543A"/>
    <w:rsid w:val="00CE69DF"/>
    <w:rsid w:val="00CF3ABC"/>
    <w:rsid w:val="00CF5293"/>
    <w:rsid w:val="00CF75E4"/>
    <w:rsid w:val="00D04229"/>
    <w:rsid w:val="00D12D43"/>
    <w:rsid w:val="00D13929"/>
    <w:rsid w:val="00D17443"/>
    <w:rsid w:val="00D175BE"/>
    <w:rsid w:val="00D17B3B"/>
    <w:rsid w:val="00D20CD5"/>
    <w:rsid w:val="00D24177"/>
    <w:rsid w:val="00D37FC6"/>
    <w:rsid w:val="00D41E05"/>
    <w:rsid w:val="00D42E11"/>
    <w:rsid w:val="00D4489F"/>
    <w:rsid w:val="00D44A6E"/>
    <w:rsid w:val="00D571AB"/>
    <w:rsid w:val="00D572FE"/>
    <w:rsid w:val="00D63E05"/>
    <w:rsid w:val="00D81F4E"/>
    <w:rsid w:val="00D87636"/>
    <w:rsid w:val="00D91E4F"/>
    <w:rsid w:val="00DA7EA8"/>
    <w:rsid w:val="00DB4530"/>
    <w:rsid w:val="00DB49A0"/>
    <w:rsid w:val="00DC2E2A"/>
    <w:rsid w:val="00DF6B6C"/>
    <w:rsid w:val="00E0769A"/>
    <w:rsid w:val="00E157EC"/>
    <w:rsid w:val="00E166E3"/>
    <w:rsid w:val="00E21AE7"/>
    <w:rsid w:val="00E5275D"/>
    <w:rsid w:val="00E86C95"/>
    <w:rsid w:val="00E872DF"/>
    <w:rsid w:val="00EA3EAE"/>
    <w:rsid w:val="00EB6A1A"/>
    <w:rsid w:val="00EC61BB"/>
    <w:rsid w:val="00EE0EC7"/>
    <w:rsid w:val="00F03599"/>
    <w:rsid w:val="00F03960"/>
    <w:rsid w:val="00F0521B"/>
    <w:rsid w:val="00F14523"/>
    <w:rsid w:val="00F16DAA"/>
    <w:rsid w:val="00F23AE4"/>
    <w:rsid w:val="00F45B12"/>
    <w:rsid w:val="00F46197"/>
    <w:rsid w:val="00F54BB0"/>
    <w:rsid w:val="00F74095"/>
    <w:rsid w:val="00F834F0"/>
    <w:rsid w:val="00F94875"/>
    <w:rsid w:val="00FA2C68"/>
    <w:rsid w:val="00FA5204"/>
    <w:rsid w:val="00FB32ED"/>
    <w:rsid w:val="00FC1A11"/>
    <w:rsid w:val="00FC2C61"/>
    <w:rsid w:val="00FD64E2"/>
    <w:rsid w:val="00FD78BA"/>
    <w:rsid w:val="00FE322C"/>
    <w:rsid w:val="00FE7969"/>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7098"/>
  <w15:chartTrackingRefBased/>
  <w15:docId w15:val="{2C641ECB-8A91-4C25-ADF1-FF50AB02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E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C6"/>
  </w:style>
  <w:style w:type="paragraph" w:styleId="Footer">
    <w:name w:val="footer"/>
    <w:basedOn w:val="Normal"/>
    <w:link w:val="FooterChar"/>
    <w:uiPriority w:val="99"/>
    <w:unhideWhenUsed/>
    <w:rsid w:val="008D3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C6"/>
  </w:style>
  <w:style w:type="paragraph" w:styleId="Revision">
    <w:name w:val="Revision"/>
    <w:hidden/>
    <w:uiPriority w:val="99"/>
    <w:semiHidden/>
    <w:rsid w:val="00B959A6"/>
    <w:pPr>
      <w:spacing w:after="0" w:line="240" w:lineRule="auto"/>
    </w:pPr>
  </w:style>
  <w:style w:type="character" w:styleId="Hyperlink">
    <w:name w:val="Hyperlink"/>
    <w:basedOn w:val="DefaultParagraphFont"/>
    <w:uiPriority w:val="99"/>
    <w:unhideWhenUsed/>
    <w:rsid w:val="00A06008"/>
    <w:rPr>
      <w:color w:val="0563C1" w:themeColor="hyperlink"/>
      <w:u w:val="single"/>
    </w:rPr>
  </w:style>
  <w:style w:type="character" w:styleId="UnresolvedMention">
    <w:name w:val="Unresolved Mention"/>
    <w:basedOn w:val="DefaultParagraphFont"/>
    <w:uiPriority w:val="99"/>
    <w:semiHidden/>
    <w:unhideWhenUsed/>
    <w:rsid w:val="00A06008"/>
    <w:rPr>
      <w:color w:val="605E5C"/>
      <w:shd w:val="clear" w:color="auto" w:fill="E1DFDD"/>
    </w:rPr>
  </w:style>
  <w:style w:type="paragraph" w:styleId="ListParagraph">
    <w:name w:val="List Paragraph"/>
    <w:basedOn w:val="Normal"/>
    <w:uiPriority w:val="34"/>
    <w:qFormat/>
    <w:rsid w:val="00BB5F3B"/>
    <w:pPr>
      <w:ind w:left="720"/>
      <w:contextualSpacing/>
    </w:pPr>
  </w:style>
  <w:style w:type="character" w:styleId="CommentReference">
    <w:name w:val="annotation reference"/>
    <w:basedOn w:val="DefaultParagraphFont"/>
    <w:uiPriority w:val="99"/>
    <w:semiHidden/>
    <w:unhideWhenUsed/>
    <w:rsid w:val="00BA72CB"/>
    <w:rPr>
      <w:sz w:val="16"/>
      <w:szCs w:val="16"/>
    </w:rPr>
  </w:style>
  <w:style w:type="paragraph" w:styleId="CommentText">
    <w:name w:val="annotation text"/>
    <w:basedOn w:val="Normal"/>
    <w:link w:val="CommentTextChar"/>
    <w:uiPriority w:val="99"/>
    <w:unhideWhenUsed/>
    <w:rsid w:val="00BA72CB"/>
    <w:pPr>
      <w:spacing w:line="240" w:lineRule="auto"/>
    </w:pPr>
    <w:rPr>
      <w:sz w:val="20"/>
      <w:szCs w:val="20"/>
    </w:rPr>
  </w:style>
  <w:style w:type="character" w:customStyle="1" w:styleId="CommentTextChar">
    <w:name w:val="Comment Text Char"/>
    <w:basedOn w:val="DefaultParagraphFont"/>
    <w:link w:val="CommentText"/>
    <w:uiPriority w:val="99"/>
    <w:rsid w:val="00BA72CB"/>
    <w:rPr>
      <w:sz w:val="20"/>
      <w:szCs w:val="20"/>
    </w:rPr>
  </w:style>
  <w:style w:type="paragraph" w:styleId="CommentSubject">
    <w:name w:val="annotation subject"/>
    <w:basedOn w:val="CommentText"/>
    <w:next w:val="CommentText"/>
    <w:link w:val="CommentSubjectChar"/>
    <w:uiPriority w:val="99"/>
    <w:semiHidden/>
    <w:unhideWhenUsed/>
    <w:rsid w:val="00BA72CB"/>
    <w:rPr>
      <w:b/>
      <w:bCs/>
    </w:rPr>
  </w:style>
  <w:style w:type="character" w:customStyle="1" w:styleId="CommentSubjectChar">
    <w:name w:val="Comment Subject Char"/>
    <w:basedOn w:val="CommentTextChar"/>
    <w:link w:val="CommentSubject"/>
    <w:uiPriority w:val="99"/>
    <w:semiHidden/>
    <w:rsid w:val="00BA72CB"/>
    <w:rPr>
      <w:b/>
      <w:bCs/>
      <w:sz w:val="20"/>
      <w:szCs w:val="20"/>
    </w:rPr>
  </w:style>
  <w:style w:type="character" w:styleId="FollowedHyperlink">
    <w:name w:val="FollowedHyperlink"/>
    <w:basedOn w:val="DefaultParagraphFont"/>
    <w:uiPriority w:val="99"/>
    <w:semiHidden/>
    <w:unhideWhenUsed/>
    <w:rsid w:val="000308C3"/>
    <w:rPr>
      <w:color w:val="954F72" w:themeColor="followedHyperlink"/>
      <w:u w:val="single"/>
    </w:rPr>
  </w:style>
  <w:style w:type="character" w:customStyle="1" w:styleId="Heading1Char">
    <w:name w:val="Heading 1 Char"/>
    <w:basedOn w:val="DefaultParagraphFont"/>
    <w:link w:val="Heading1"/>
    <w:uiPriority w:val="9"/>
    <w:rsid w:val="00234E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f4290e-2131-404c-9586-76513a33fd19">
      <UserInfo>
        <DisplayName/>
        <AccountId xsi:nil="true"/>
        <AccountType/>
      </UserInfo>
    </SharedWithUsers>
    <MediaLengthInSeconds xmlns="fab15f11-d025-4867-a15f-d6070884e928" xsi:nil="true"/>
    <lcf76f155ced4ddcb4097134ff3c332f xmlns="fab15f11-d025-4867-a15f-d6070884e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B6C829C915E4AA036D0912E64C003" ma:contentTypeVersion="13" ma:contentTypeDescription="Create a new document." ma:contentTypeScope="" ma:versionID="1018642a7d74bdb3249a60b8f3c2c593">
  <xsd:schema xmlns:xsd="http://www.w3.org/2001/XMLSchema" xmlns:xs="http://www.w3.org/2001/XMLSchema" xmlns:p="http://schemas.microsoft.com/office/2006/metadata/properties" xmlns:ns2="cff4290e-2131-404c-9586-76513a33fd19" xmlns:ns3="fab15f11-d025-4867-a15f-d6070884e928" targetNamespace="http://schemas.microsoft.com/office/2006/metadata/properties" ma:root="true" ma:fieldsID="4c45e805c108e8f273d2594e251c1100" ns2:_="" ns3:_="">
    <xsd:import namespace="cff4290e-2131-404c-9586-76513a33fd19"/>
    <xsd:import namespace="fab15f11-d025-4867-a15f-d6070884e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4290e-2131-404c-9586-76513a33fd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15f11-d025-4867-a15f-d6070884e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147DD-58D3-4CA7-9694-CF561F111B8F}">
  <ds:schemaRefs>
    <ds:schemaRef ds:uri="http://schemas.microsoft.com/sharepoint/v3/contenttype/forms"/>
  </ds:schemaRefs>
</ds:datastoreItem>
</file>

<file path=customXml/itemProps2.xml><?xml version="1.0" encoding="utf-8"?>
<ds:datastoreItem xmlns:ds="http://schemas.openxmlformats.org/officeDocument/2006/customXml" ds:itemID="{A41D8FD5-9005-404D-8D1C-98E6F050EB70}">
  <ds:schemaRefs>
    <ds:schemaRef ds:uri="http://schemas.microsoft.com/office/2006/metadata/properties"/>
    <ds:schemaRef ds:uri="http://schemas.microsoft.com/office/infopath/2007/PartnerControls"/>
    <ds:schemaRef ds:uri="cff4290e-2131-404c-9586-76513a33fd19"/>
    <ds:schemaRef ds:uri="fab15f11-d025-4867-a15f-d6070884e928"/>
  </ds:schemaRefs>
</ds:datastoreItem>
</file>

<file path=customXml/itemProps3.xml><?xml version="1.0" encoding="utf-8"?>
<ds:datastoreItem xmlns:ds="http://schemas.openxmlformats.org/officeDocument/2006/customXml" ds:itemID="{B74FF70D-2B21-4AC4-ADE4-F48678D0F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4290e-2131-404c-9586-76513a33fd19"/>
    <ds:schemaRef ds:uri="fab15f11-d025-4867-a15f-d6070884e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1019</Words>
  <Characters>6375</Characters>
  <Application>Microsoft Office Word</Application>
  <DocSecurity>4</DocSecurity>
  <Lines>122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Australia Awards Cambodia End of Program Evaluation</dc:title>
  <dc:subject/>
  <dc:creator>Miriyagalla, Danura</dc:creator>
  <cp:keywords>[SEC=OFFICIAL:Sensitive]</cp:keywords>
  <dc:description/>
  <cp:revision>2</cp:revision>
  <dcterms:created xsi:type="dcterms:W3CDTF">2026-07-01T05:02:00Z</dcterms:created>
  <dcterms:modified xsi:type="dcterms:W3CDTF">2026-07-01T05:02:00Z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A8280AD096D54C52B772AC732BA36D0F</vt:lpwstr>
  </property>
  <property fmtid="{D5CDD505-2E9C-101B-9397-08002B2CF9AE}" pid="9" name="PM_ProtectiveMarkingValue_Footer">
    <vt:lpwstr>OFFICIAL: Sensitive</vt:lpwstr>
  </property>
  <property fmtid="{D5CDD505-2E9C-101B-9397-08002B2CF9AE}" pid="10" name="PM_Originator_Hash_SHA1">
    <vt:lpwstr>D05542B7F9BB1747D1C678800D3B1C278776212A</vt:lpwstr>
  </property>
  <property fmtid="{D5CDD505-2E9C-101B-9397-08002B2CF9AE}" pid="11" name="PM_OriginationTimeStamp">
    <vt:lpwstr>2021-12-20T06:50:54Z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 Sensitive</vt:lpwstr>
  </property>
  <property fmtid="{D5CDD505-2E9C-101B-9397-08002B2CF9AE}" pid="19" name="PM_Hash_Version">
    <vt:lpwstr>2018.0</vt:lpwstr>
  </property>
  <property fmtid="{D5CDD505-2E9C-101B-9397-08002B2CF9AE}" pid="20" name="PM_Hash_Salt_Prev">
    <vt:lpwstr>367B50C8083D16A071D7C92B7C4971BA</vt:lpwstr>
  </property>
  <property fmtid="{D5CDD505-2E9C-101B-9397-08002B2CF9AE}" pid="21" name="PM_Hash_Salt">
    <vt:lpwstr>898D3A8D3790F4E47D9E71E18B7B4530</vt:lpwstr>
  </property>
  <property fmtid="{D5CDD505-2E9C-101B-9397-08002B2CF9AE}" pid="22" name="PM_Hash_SHA1">
    <vt:lpwstr>EDF438CBBA46F8F7D300A014FF5FBB0F4C156645</vt:lpwstr>
  </property>
  <property fmtid="{D5CDD505-2E9C-101B-9397-08002B2CF9AE}" pid="23" name="PM_OriginatorUserAccountName_SHA256">
    <vt:lpwstr>B1007DDD349EF3EC0C6AF8E8D829F5B567B82049DADE8EF279A528AF4D3F5496</vt:lpwstr>
  </property>
  <property fmtid="{D5CDD505-2E9C-101B-9397-08002B2CF9AE}" pid="24" name="PM_OriginatorDomainName_SHA256">
    <vt:lpwstr>6F3591835F3B2A8A025B00B5BA6418010DA3A17C9C26EA9C049FFD28039489A2</vt:lpwstr>
  </property>
  <property fmtid="{D5CDD505-2E9C-101B-9397-08002B2CF9AE}" pid="25" name="PM_MinimumSecurityClassification">
    <vt:lpwstr/>
  </property>
  <property fmtid="{D5CDD505-2E9C-101B-9397-08002B2CF9AE}" pid="26" name="PM_SecurityClassification_Prev">
    <vt:lpwstr>OFFICIAL:Sensitive</vt:lpwstr>
  </property>
  <property fmtid="{D5CDD505-2E9C-101B-9397-08002B2CF9AE}" pid="27" name="PM_Qualifier_Prev">
    <vt:lpwstr/>
  </property>
  <property fmtid="{D5CDD505-2E9C-101B-9397-08002B2CF9AE}" pid="28" name="ContentTypeId">
    <vt:lpwstr>0x010100023B6C829C915E4AA036D0912E64C003</vt:lpwstr>
  </property>
  <property fmtid="{D5CDD505-2E9C-101B-9397-08002B2CF9AE}" pid="29" name="Order">
    <vt:r8>515900</vt:r8>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y fmtid="{D5CDD505-2E9C-101B-9397-08002B2CF9AE}" pid="33" name="ClassificationContentMarkingHeaderShapeIds">
    <vt:lpwstr>22baf7f3,73b32062,3e0c6578</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683dd28d,47bcf57e,4bc80a88</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