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rawings/drawing1.xml" ContentType="application/vnd.openxmlformats-officedocument.drawingml.chartshapes+xml"/>
  <Override PartName="/word/document.xml" ContentType="application/vnd.openxmlformats-officedocument.wordprocessingml.document.main+xml"/>
  <Override PartName="/word/header5.xml" ContentType="application/vnd.openxmlformats-officedocument.wordprocessingml.header+xml"/>
  <Override PartName="/word/header4.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1.xml" ContentType="application/vnd.openxmlformats-officedocument.theme+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5.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olors6.xml" ContentType="application/vnd.ms-office.chartcolorstyle+xml"/>
  <Override PartName="/word/charts/style6.xml" ContentType="application/vnd.ms-office.chart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46A" w:rsidRDefault="0059146A" w:rsidP="005B5769">
      <w:pPr>
        <w:pStyle w:val="ListBullet"/>
        <w:tabs>
          <w:tab w:val="clear" w:pos="284"/>
        </w:tabs>
      </w:pPr>
      <w:bookmarkStart w:id="0" w:name="_GoBack"/>
      <w:bookmarkEnd w:id="0"/>
    </w:p>
    <w:p w:rsidR="0059146A" w:rsidRDefault="0059146A" w:rsidP="005B5769">
      <w:pPr>
        <w:pStyle w:val="ListBullet"/>
        <w:tabs>
          <w:tab w:val="clear" w:pos="284"/>
        </w:tabs>
      </w:pPr>
    </w:p>
    <w:p w:rsidR="0059146A" w:rsidRPr="0059146A" w:rsidRDefault="0059146A" w:rsidP="005B5769">
      <w:pPr>
        <w:pStyle w:val="ListBullet"/>
        <w:tabs>
          <w:tab w:val="clear" w:pos="284"/>
        </w:tabs>
      </w:pPr>
    </w:p>
    <w:p w:rsidR="00A56F14" w:rsidRPr="0059146A" w:rsidRDefault="00A56F14" w:rsidP="0059146A">
      <w:pPr>
        <w:pStyle w:val="ListBullet"/>
        <w:tabs>
          <w:tab w:val="clear" w:pos="284"/>
        </w:tabs>
      </w:pPr>
    </w:p>
    <w:p w:rsidR="00A56F14" w:rsidRDefault="00A56F14" w:rsidP="00A56F14">
      <w:pPr>
        <w:spacing w:after="200" w:line="276" w:lineRule="auto"/>
        <w:rPr>
          <w:b/>
        </w:rPr>
      </w:pPr>
    </w:p>
    <w:p w:rsidR="00A56F14" w:rsidRDefault="00A56F14" w:rsidP="00A56F14">
      <w:pPr>
        <w:spacing w:after="200" w:line="276" w:lineRule="auto"/>
        <w:rPr>
          <w:b/>
        </w:rPr>
      </w:pPr>
    </w:p>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D7713F" w:rsidRPr="00D7713F" w:rsidRDefault="00A56F14" w:rsidP="002A51CA">
      <w:pPr>
        <w:pStyle w:val="Title"/>
        <w:spacing w:after="120" w:line="600" w:lineRule="exact"/>
        <w:rPr>
          <w:spacing w:val="-20"/>
          <w:sz w:val="60"/>
          <w:szCs w:val="60"/>
        </w:rPr>
      </w:pPr>
      <w:r w:rsidRPr="00D7713F">
        <w:rPr>
          <w:noProof/>
          <w:spacing w:val="-20"/>
          <w:sz w:val="60"/>
          <w:szCs w:val="60"/>
          <w:lang w:val="en-AU" w:eastAsia="en-AU"/>
        </w:rPr>
        <w:drawing>
          <wp:anchor distT="0" distB="0" distL="114300" distR="114300" simplePos="0" relativeHeight="251664384" behindDoc="1" locked="1" layoutInCell="1" allowOverlap="1" wp14:anchorId="4C1EBCC1" wp14:editId="523C1506">
            <wp:simplePos x="0" y="0"/>
            <wp:positionH relativeFrom="page">
              <wp:posOffset>872490</wp:posOffset>
            </wp:positionH>
            <wp:positionV relativeFrom="page">
              <wp:posOffset>1561465</wp:posOffset>
            </wp:positionV>
            <wp:extent cx="3167380" cy="5543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7380" cy="554355"/>
                    </a:xfrm>
                    <a:prstGeom prst="rect">
                      <a:avLst/>
                    </a:prstGeom>
                  </pic:spPr>
                </pic:pic>
              </a:graphicData>
            </a:graphic>
            <wp14:sizeRelH relativeFrom="margin">
              <wp14:pctWidth>0</wp14:pctWidth>
            </wp14:sizeRelH>
            <wp14:sizeRelV relativeFrom="margin">
              <wp14:pctHeight>0</wp14:pctHeight>
            </wp14:sizeRelV>
          </wp:anchor>
        </w:drawing>
      </w:r>
      <w:r w:rsidRPr="00D7713F">
        <w:rPr>
          <w:noProof/>
          <w:spacing w:val="-20"/>
          <w:sz w:val="60"/>
          <w:szCs w:val="60"/>
          <w:lang w:val="en-AU" w:eastAsia="en-AU"/>
        </w:rPr>
        <w:drawing>
          <wp:anchor distT="0" distB="0" distL="114300" distR="114300" simplePos="0" relativeHeight="251663360" behindDoc="1" locked="1" layoutInCell="1" allowOverlap="1" wp14:anchorId="65FF6A02" wp14:editId="1292BEF9">
            <wp:simplePos x="0" y="0"/>
            <wp:positionH relativeFrom="page">
              <wp:posOffset>7620</wp:posOffset>
            </wp:positionH>
            <wp:positionV relativeFrom="page">
              <wp:posOffset>-7620</wp:posOffset>
            </wp:positionV>
            <wp:extent cx="7750810" cy="1072578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9">
                      <a:extLst>
                        <a:ext uri="{28A0092B-C50C-407E-A947-70E740481C1C}">
                          <a14:useLocalDpi xmlns:a14="http://schemas.microsoft.com/office/drawing/2010/main" val="0"/>
                        </a:ext>
                      </a:extLst>
                    </a:blip>
                    <a:stretch>
                      <a:fillRect/>
                    </a:stretch>
                  </pic:blipFill>
                  <pic:spPr>
                    <a:xfrm>
                      <a:off x="0" y="0"/>
                      <a:ext cx="7750810" cy="10725785"/>
                    </a:xfrm>
                    <a:prstGeom prst="rect">
                      <a:avLst/>
                    </a:prstGeom>
                  </pic:spPr>
                </pic:pic>
              </a:graphicData>
            </a:graphic>
            <wp14:sizeRelH relativeFrom="margin">
              <wp14:pctWidth>0</wp14:pctWidth>
            </wp14:sizeRelH>
            <wp14:sizeRelV relativeFrom="margin">
              <wp14:pctHeight>0</wp14:pctHeight>
            </wp14:sizeRelV>
          </wp:anchor>
        </w:drawing>
      </w:r>
      <w:r w:rsidR="00C6626C" w:rsidRPr="00D7713F">
        <w:rPr>
          <w:spacing w:val="-20"/>
          <w:sz w:val="60"/>
          <w:szCs w:val="60"/>
        </w:rPr>
        <w:t xml:space="preserve">Aid Program Performance Report </w:t>
      </w:r>
    </w:p>
    <w:p w:rsidR="00C6626C" w:rsidRPr="00D7713F" w:rsidRDefault="00D7713F" w:rsidP="002A51CA">
      <w:pPr>
        <w:pStyle w:val="Title"/>
        <w:spacing w:after="120" w:line="600" w:lineRule="exact"/>
        <w:rPr>
          <w:spacing w:val="-20"/>
          <w:sz w:val="60"/>
          <w:szCs w:val="60"/>
        </w:rPr>
      </w:pPr>
      <w:r>
        <w:rPr>
          <w:spacing w:val="-20"/>
          <w:sz w:val="60"/>
          <w:szCs w:val="60"/>
        </w:rPr>
        <w:t xml:space="preserve">FULL APPR </w:t>
      </w:r>
      <w:r w:rsidR="00C6626C" w:rsidRPr="00D7713F">
        <w:rPr>
          <w:spacing w:val="-20"/>
          <w:sz w:val="60"/>
          <w:szCs w:val="60"/>
        </w:rPr>
        <w:t>201</w:t>
      </w:r>
      <w:r>
        <w:rPr>
          <w:spacing w:val="-20"/>
          <w:sz w:val="60"/>
          <w:szCs w:val="60"/>
        </w:rPr>
        <w:t>8-19</w:t>
      </w:r>
    </w:p>
    <w:p w:rsidR="00D367B6" w:rsidRPr="00ED51DC" w:rsidRDefault="005A0FAE" w:rsidP="00A56F14">
      <w:pPr>
        <w:rPr>
          <w:color w:val="auto"/>
          <w:sz w:val="40"/>
        </w:rPr>
      </w:pPr>
      <w:r w:rsidRPr="00ED51DC">
        <w:rPr>
          <w:color w:val="auto"/>
          <w:sz w:val="40"/>
        </w:rPr>
        <w:t>Australia Awards</w:t>
      </w:r>
      <w:r w:rsidR="00A51789" w:rsidRPr="00ED51DC">
        <w:rPr>
          <w:color w:val="auto"/>
          <w:sz w:val="40"/>
        </w:rPr>
        <w:t xml:space="preserve"> – A Global Picture</w:t>
      </w:r>
    </w:p>
    <w:p w:rsidR="00C6626C" w:rsidRPr="002A51CA" w:rsidRDefault="00C6626C" w:rsidP="00A56F14">
      <w:pPr>
        <w:rPr>
          <w:sz w:val="24"/>
        </w:rPr>
      </w:pPr>
      <w:r w:rsidRPr="002A51CA">
        <w:rPr>
          <w:sz w:val="24"/>
        </w:rPr>
        <w:t>September 201</w:t>
      </w:r>
      <w:r w:rsidR="00D7713F">
        <w:rPr>
          <w:sz w:val="24"/>
        </w:rPr>
        <w:t>9</w:t>
      </w:r>
    </w:p>
    <w:p w:rsidR="00C6626C" w:rsidRDefault="00C6626C" w:rsidP="00A56F14">
      <w:pPr>
        <w:sectPr w:rsidR="00C6626C" w:rsidSect="00C6626C">
          <w:headerReference w:type="even" r:id="rId10"/>
          <w:headerReference w:type="default" r:id="rId11"/>
          <w:footerReference w:type="even" r:id="rId12"/>
          <w:footerReference w:type="default" r:id="rId13"/>
          <w:headerReference w:type="first" r:id="rId14"/>
          <w:footerReference w:type="first" r:id="rId15"/>
          <w:pgSz w:w="11906" w:h="16838" w:code="9"/>
          <w:pgMar w:top="1952" w:right="1134" w:bottom="851" w:left="1134" w:header="1814" w:footer="567" w:gutter="0"/>
          <w:cols w:space="397"/>
          <w:docGrid w:linePitch="360"/>
        </w:sectPr>
      </w:pPr>
    </w:p>
    <w:p w:rsidR="00D7713F" w:rsidRPr="00BB648A" w:rsidRDefault="00A51789" w:rsidP="00D7713F">
      <w:pPr>
        <w:pStyle w:val="Title"/>
        <w:spacing w:before="120" w:after="240" w:line="300" w:lineRule="exact"/>
        <w:contextualSpacing w:val="0"/>
        <w:rPr>
          <w:szCs w:val="38"/>
        </w:rPr>
      </w:pPr>
      <w:r w:rsidRPr="00ED51DC">
        <w:rPr>
          <w:szCs w:val="38"/>
        </w:rPr>
        <w:lastRenderedPageBreak/>
        <w:t>Australia Awards</w:t>
      </w:r>
      <w:r w:rsidR="00D7713F" w:rsidRPr="00ED51DC">
        <w:rPr>
          <w:szCs w:val="38"/>
        </w:rPr>
        <w:t xml:space="preserve"> </w:t>
      </w:r>
      <w:r w:rsidR="00D7713F" w:rsidRPr="00BB648A">
        <w:rPr>
          <w:szCs w:val="38"/>
        </w:rPr>
        <w:t>Aid Program Performance Information 201</w:t>
      </w:r>
      <w:r w:rsidR="00F46D79">
        <w:rPr>
          <w:szCs w:val="38"/>
        </w:rPr>
        <w:t>8-19</w:t>
      </w:r>
    </w:p>
    <w:p w:rsidR="00561887" w:rsidRPr="00C61187" w:rsidRDefault="00561887" w:rsidP="00561887">
      <w:pPr>
        <w:pStyle w:val="ListBullet"/>
        <w:tabs>
          <w:tab w:val="clear" w:pos="284"/>
        </w:tabs>
        <w:spacing w:before="360" w:line="300" w:lineRule="exact"/>
        <w:rPr>
          <w:kern w:val="28"/>
        </w:rPr>
      </w:pPr>
      <w:r w:rsidRPr="002A51CA">
        <w:rPr>
          <w:rFonts w:asciiTheme="majorHAnsi" w:eastAsiaTheme="majorEastAsia" w:hAnsiTheme="majorHAnsi" w:cstheme="majorBidi"/>
          <w:caps/>
          <w:color w:val="495965" w:themeColor="text2"/>
          <w:sz w:val="38"/>
          <w:szCs w:val="26"/>
          <w:lang w:val="en-GB" w:eastAsia="en-US"/>
        </w:rPr>
        <w:t>Key Messages</w:t>
      </w:r>
    </w:p>
    <w:p w:rsidR="00561887" w:rsidRDefault="00561887" w:rsidP="00561887">
      <w:pPr>
        <w:rPr>
          <w:rFonts w:cstheme="minorHAnsi"/>
          <w:color w:val="auto"/>
        </w:rPr>
      </w:pPr>
      <w:r w:rsidRPr="00C85021">
        <w:rPr>
          <w:rFonts w:cstheme="minorHAnsi"/>
          <w:color w:val="auto"/>
        </w:rPr>
        <w:t>This is the second Australia Awards Performance Report</w:t>
      </w:r>
      <w:r>
        <w:rPr>
          <w:rFonts w:cstheme="minorHAnsi"/>
          <w:color w:val="auto"/>
        </w:rPr>
        <w:t>. It</w:t>
      </w:r>
      <w:r w:rsidRPr="00C85021">
        <w:rPr>
          <w:rFonts w:cstheme="minorHAnsi"/>
          <w:color w:val="auto"/>
        </w:rPr>
        <w:t xml:space="preserve"> provides an overview of the Australia Awards investments across DFAT from July 2018 to June 2019. </w:t>
      </w:r>
    </w:p>
    <w:p w:rsidR="00561887" w:rsidRPr="002E40E7" w:rsidRDefault="00561887" w:rsidP="00561887">
      <w:pPr>
        <w:rPr>
          <w:rFonts w:cstheme="minorHAnsi"/>
          <w:b/>
          <w:i/>
          <w:color w:val="auto"/>
        </w:rPr>
      </w:pPr>
      <w:r w:rsidRPr="002E40E7">
        <w:rPr>
          <w:rFonts w:cstheme="minorHAnsi"/>
          <w:b/>
          <w:i/>
          <w:color w:val="auto"/>
        </w:rPr>
        <w:t>Australia Awards - overview</w:t>
      </w:r>
    </w:p>
    <w:p w:rsidR="00561887" w:rsidRPr="002E40E7" w:rsidRDefault="00561887" w:rsidP="00561887">
      <w:pPr>
        <w:spacing w:after="120"/>
        <w:rPr>
          <w:rFonts w:cstheme="minorHAnsi"/>
          <w:color w:val="auto"/>
        </w:rPr>
      </w:pPr>
      <w:r w:rsidRPr="002E40E7">
        <w:rPr>
          <w:rFonts w:cstheme="minorHAnsi"/>
          <w:color w:val="auto"/>
        </w:rPr>
        <w:t>Australia Awards offered 3,161 awards to individuals from over 55 developing countries in the 2019 intake at a cost of $</w:t>
      </w:r>
      <w:r w:rsidR="0028332C">
        <w:rPr>
          <w:rFonts w:cstheme="minorHAnsi"/>
          <w:color w:val="auto"/>
        </w:rPr>
        <w:t>290.5</w:t>
      </w:r>
      <w:r w:rsidRPr="002E40E7">
        <w:rPr>
          <w:rFonts w:cstheme="minorHAnsi"/>
          <w:color w:val="auto"/>
        </w:rPr>
        <w:t xml:space="preserve"> million. This included 1,203 Australia Awards Scholarships (38 per cent), 331 Australia Awards Pacific Scholarships (10 per cent), 12 ACIAR awards (&lt;1 per cent) and 1,615 Short Course Awards (51 per cent)</w:t>
      </w:r>
      <w:r w:rsidR="00D0075C">
        <w:rPr>
          <w:rFonts w:cstheme="minorHAnsi"/>
          <w:color w:val="auto"/>
        </w:rPr>
        <w:t>.</w:t>
      </w:r>
    </w:p>
    <w:p w:rsidR="00561887" w:rsidRPr="002E40E7" w:rsidRDefault="00561887" w:rsidP="00561887">
      <w:pPr>
        <w:rPr>
          <w:rFonts w:cstheme="minorHAnsi"/>
          <w:b/>
          <w:i/>
          <w:color w:val="auto"/>
        </w:rPr>
      </w:pPr>
      <w:r w:rsidRPr="002E40E7">
        <w:rPr>
          <w:rFonts w:cstheme="minorHAnsi"/>
          <w:b/>
          <w:i/>
          <w:color w:val="auto"/>
        </w:rPr>
        <w:t>Independent evaluation</w:t>
      </w:r>
    </w:p>
    <w:p w:rsidR="00561887" w:rsidRPr="002E40E7" w:rsidRDefault="00561887" w:rsidP="00561887">
      <w:pPr>
        <w:spacing w:after="120"/>
        <w:rPr>
          <w:rFonts w:cstheme="minorHAnsi"/>
          <w:color w:val="auto"/>
        </w:rPr>
      </w:pPr>
      <w:r w:rsidRPr="00FA2FA9">
        <w:rPr>
          <w:rFonts w:cstheme="minorHAnsi"/>
          <w:color w:val="auto"/>
        </w:rPr>
        <w:t>An independent evaluation of</w:t>
      </w:r>
      <w:r w:rsidRPr="002E40E7">
        <w:rPr>
          <w:rFonts w:cstheme="minorHAnsi"/>
          <w:color w:val="auto"/>
        </w:rPr>
        <w:t xml:space="preserve"> the </w:t>
      </w:r>
      <w:r w:rsidRPr="002E40E7">
        <w:rPr>
          <w:rFonts w:cstheme="minorHAnsi"/>
          <w:i/>
          <w:iCs/>
          <w:color w:val="auto"/>
        </w:rPr>
        <w:t>A</w:t>
      </w:r>
      <w:r>
        <w:rPr>
          <w:rFonts w:cstheme="minorHAnsi"/>
          <w:i/>
          <w:iCs/>
          <w:color w:val="auto"/>
        </w:rPr>
        <w:t>ustralia Awards Global Strategy</w:t>
      </w:r>
      <w:r w:rsidRPr="002E40E7">
        <w:rPr>
          <w:rFonts w:cstheme="minorHAnsi"/>
          <w:color w:val="auto"/>
        </w:rPr>
        <w:t xml:space="preserve"> found that the Strategy had </w:t>
      </w:r>
      <w:r w:rsidRPr="00FA2FA9">
        <w:rPr>
          <w:rFonts w:cstheme="minorHAnsi"/>
          <w:b/>
          <w:color w:val="auto"/>
        </w:rPr>
        <w:t>succeeded in establishing a global framework</w:t>
      </w:r>
      <w:r w:rsidRPr="002E40E7">
        <w:rPr>
          <w:rFonts w:cstheme="minorHAnsi"/>
          <w:color w:val="auto"/>
        </w:rPr>
        <w:t xml:space="preserve"> that is guiding individual investments</w:t>
      </w:r>
      <w:r>
        <w:rPr>
          <w:rFonts w:cstheme="minorHAnsi"/>
          <w:color w:val="auto"/>
        </w:rPr>
        <w:t xml:space="preserve">. The evaluation </w:t>
      </w:r>
      <w:r w:rsidRPr="002E40E7">
        <w:rPr>
          <w:rFonts w:cstheme="minorHAnsi"/>
          <w:color w:val="auto"/>
        </w:rPr>
        <w:t>recommended clarifying the goal of Australia Awards and improving consistency of monitoring and evaluation across the global program</w:t>
      </w:r>
      <w:r>
        <w:rPr>
          <w:rFonts w:cstheme="minorHAnsi"/>
          <w:color w:val="auto"/>
        </w:rPr>
        <w:t>.</w:t>
      </w:r>
    </w:p>
    <w:p w:rsidR="00561887" w:rsidRPr="002E40E7" w:rsidRDefault="00561887" w:rsidP="00561887">
      <w:pPr>
        <w:rPr>
          <w:rFonts w:cstheme="minorHAnsi"/>
          <w:b/>
          <w:i/>
          <w:color w:val="auto"/>
        </w:rPr>
      </w:pPr>
      <w:r w:rsidRPr="002E40E7">
        <w:rPr>
          <w:rFonts w:cstheme="minorHAnsi"/>
          <w:b/>
          <w:i/>
          <w:color w:val="auto"/>
        </w:rPr>
        <w:t>Performance</w:t>
      </w:r>
    </w:p>
    <w:p w:rsidR="00561887" w:rsidRPr="00FA2FA9" w:rsidRDefault="00561887" w:rsidP="00561887">
      <w:pPr>
        <w:spacing w:after="120"/>
        <w:rPr>
          <w:rFonts w:cstheme="minorHAnsi"/>
          <w:color w:val="auto"/>
        </w:rPr>
      </w:pPr>
      <w:r w:rsidRPr="00FA2FA9">
        <w:rPr>
          <w:rFonts w:cstheme="minorHAnsi"/>
          <w:color w:val="auto"/>
        </w:rPr>
        <w:t xml:space="preserve">Australia Awards performance continues to achieve </w:t>
      </w:r>
      <w:r w:rsidRPr="00FA2FA9">
        <w:rPr>
          <w:rFonts w:cstheme="minorHAnsi"/>
          <w:b/>
          <w:color w:val="auto"/>
        </w:rPr>
        <w:t xml:space="preserve">strong results, </w:t>
      </w:r>
      <w:r w:rsidRPr="00FA2FA9">
        <w:rPr>
          <w:rFonts w:cstheme="minorHAnsi"/>
          <w:color w:val="auto"/>
        </w:rPr>
        <w:t>with</w:t>
      </w:r>
      <w:r w:rsidRPr="00FA2FA9">
        <w:rPr>
          <w:rFonts w:cstheme="minorHAnsi"/>
          <w:b/>
          <w:color w:val="auto"/>
        </w:rPr>
        <w:t xml:space="preserve"> </w:t>
      </w:r>
      <w:r w:rsidRPr="00FA2FA9">
        <w:rPr>
          <w:rFonts w:cstheme="minorHAnsi"/>
          <w:color w:val="auto"/>
        </w:rPr>
        <w:t>evidence of progress towards the fou</w:t>
      </w:r>
      <w:r>
        <w:rPr>
          <w:rFonts w:cstheme="minorHAnsi"/>
          <w:color w:val="auto"/>
        </w:rPr>
        <w:t>r long-term outcomes.</w:t>
      </w:r>
    </w:p>
    <w:p w:rsidR="00561887" w:rsidRDefault="00561887" w:rsidP="00561887">
      <w:pPr>
        <w:pStyle w:val="ListParagraph"/>
        <w:numPr>
          <w:ilvl w:val="0"/>
          <w:numId w:val="16"/>
        </w:numPr>
        <w:spacing w:after="120"/>
        <w:rPr>
          <w:rFonts w:asciiTheme="minorHAnsi" w:hAnsiTheme="minorHAnsi" w:cstheme="minorHAnsi"/>
          <w:sz w:val="22"/>
          <w:szCs w:val="22"/>
        </w:rPr>
      </w:pPr>
      <w:r>
        <w:rPr>
          <w:rFonts w:asciiTheme="minorHAnsi" w:hAnsiTheme="minorHAnsi" w:cstheme="minorHAnsi"/>
          <w:sz w:val="22"/>
          <w:szCs w:val="22"/>
        </w:rPr>
        <w:t xml:space="preserve">Alumni are using their </w:t>
      </w:r>
      <w:r>
        <w:rPr>
          <w:rFonts w:asciiTheme="minorHAnsi" w:hAnsiTheme="minorHAnsi" w:cstheme="minorHAnsi"/>
          <w:b/>
          <w:bCs/>
          <w:sz w:val="22"/>
          <w:szCs w:val="22"/>
        </w:rPr>
        <w:t>skills, knowledge and networks</w:t>
      </w:r>
      <w:r>
        <w:rPr>
          <w:rFonts w:asciiTheme="minorHAnsi" w:hAnsiTheme="minorHAnsi" w:cstheme="minorHAnsi"/>
          <w:sz w:val="22"/>
          <w:szCs w:val="22"/>
        </w:rPr>
        <w:t xml:space="preserve"> to contribute to sustainable development (Outcome 1). For example, </w:t>
      </w:r>
      <w:r w:rsidRPr="00AF1D29">
        <w:rPr>
          <w:rFonts w:asciiTheme="minorHAnsi" w:hAnsiTheme="minorHAnsi" w:cstheme="minorHAnsi"/>
          <w:sz w:val="22"/>
          <w:szCs w:val="22"/>
        </w:rPr>
        <w:t xml:space="preserve">97 per cent of </w:t>
      </w:r>
      <w:r>
        <w:rPr>
          <w:rFonts w:asciiTheme="minorHAnsi" w:hAnsiTheme="minorHAnsi" w:cstheme="minorHAnsi"/>
          <w:sz w:val="22"/>
          <w:szCs w:val="22"/>
        </w:rPr>
        <w:t xml:space="preserve">students surveyed </w:t>
      </w:r>
      <w:r w:rsidRPr="00AF1D29">
        <w:rPr>
          <w:rFonts w:asciiTheme="minorHAnsi" w:hAnsiTheme="minorHAnsi" w:cstheme="minorHAnsi"/>
          <w:sz w:val="22"/>
          <w:szCs w:val="22"/>
        </w:rPr>
        <w:t>reported that their study experience will help them make a positive impact on the community in their home country</w:t>
      </w:r>
      <w:r>
        <w:rPr>
          <w:rFonts w:asciiTheme="minorHAnsi" w:hAnsiTheme="minorHAnsi" w:cstheme="minorHAnsi"/>
          <w:sz w:val="22"/>
          <w:szCs w:val="22"/>
        </w:rPr>
        <w:t>.</w:t>
      </w:r>
      <w:r>
        <w:rPr>
          <w:rStyle w:val="FootnoteReference"/>
          <w:rFonts w:asciiTheme="minorHAnsi" w:hAnsiTheme="minorHAnsi" w:cstheme="minorHAnsi"/>
          <w:sz w:val="22"/>
          <w:szCs w:val="22"/>
        </w:rPr>
        <w:footnoteReference w:id="1"/>
      </w:r>
    </w:p>
    <w:p w:rsidR="00561887" w:rsidRDefault="00561887" w:rsidP="00561887">
      <w:pPr>
        <w:pStyle w:val="ListParagraph"/>
        <w:spacing w:after="120"/>
        <w:rPr>
          <w:rFonts w:asciiTheme="minorHAnsi" w:hAnsiTheme="minorHAnsi" w:cstheme="minorHAnsi"/>
          <w:sz w:val="22"/>
          <w:szCs w:val="22"/>
        </w:rPr>
      </w:pPr>
    </w:p>
    <w:p w:rsidR="00561887" w:rsidRDefault="00561887" w:rsidP="00561887">
      <w:pPr>
        <w:pStyle w:val="ListParagraph"/>
        <w:numPr>
          <w:ilvl w:val="0"/>
          <w:numId w:val="16"/>
        </w:numPr>
        <w:spacing w:after="120"/>
        <w:rPr>
          <w:rFonts w:asciiTheme="minorHAnsi" w:hAnsiTheme="minorHAnsi" w:cstheme="minorHAnsi"/>
          <w:sz w:val="22"/>
          <w:szCs w:val="22"/>
        </w:rPr>
      </w:pPr>
      <w:r>
        <w:rPr>
          <w:rFonts w:asciiTheme="minorHAnsi" w:hAnsiTheme="minorHAnsi" w:cstheme="minorHAnsi"/>
          <w:sz w:val="22"/>
          <w:szCs w:val="22"/>
        </w:rPr>
        <w:t xml:space="preserve">Alumni are contributing to </w:t>
      </w:r>
      <w:r>
        <w:rPr>
          <w:rFonts w:asciiTheme="minorHAnsi" w:hAnsiTheme="minorHAnsi" w:cstheme="minorHAnsi"/>
          <w:b/>
          <w:bCs/>
          <w:sz w:val="22"/>
          <w:szCs w:val="22"/>
        </w:rPr>
        <w:t>cooperation between Australia and partner countries</w:t>
      </w:r>
      <w:r>
        <w:rPr>
          <w:rFonts w:asciiTheme="minorHAnsi" w:hAnsiTheme="minorHAnsi" w:cstheme="minorHAnsi"/>
          <w:sz w:val="22"/>
          <w:szCs w:val="22"/>
        </w:rPr>
        <w:t xml:space="preserve"> (Outcome 2), with Global Tracer Facility Studies building the qualitative and quantitative evidence of positive people-to-people links. </w:t>
      </w:r>
    </w:p>
    <w:p w:rsidR="00561887" w:rsidRDefault="00561887" w:rsidP="00561887">
      <w:pPr>
        <w:pStyle w:val="ListParagraph"/>
        <w:spacing w:after="120"/>
        <w:rPr>
          <w:rFonts w:asciiTheme="minorHAnsi" w:hAnsiTheme="minorHAnsi" w:cstheme="minorHAnsi"/>
          <w:sz w:val="22"/>
          <w:szCs w:val="22"/>
        </w:rPr>
      </w:pPr>
    </w:p>
    <w:p w:rsidR="00561887" w:rsidRDefault="00561887" w:rsidP="00561887">
      <w:pPr>
        <w:pStyle w:val="ListParagraph"/>
        <w:numPr>
          <w:ilvl w:val="0"/>
          <w:numId w:val="16"/>
        </w:numPr>
        <w:spacing w:after="120"/>
        <w:rPr>
          <w:rFonts w:asciiTheme="minorHAnsi" w:hAnsiTheme="minorHAnsi" w:cstheme="minorHAnsi"/>
          <w:sz w:val="22"/>
          <w:szCs w:val="22"/>
        </w:rPr>
      </w:pPr>
      <w:r>
        <w:rPr>
          <w:rFonts w:asciiTheme="minorHAnsi" w:hAnsiTheme="minorHAnsi" w:cstheme="minorHAnsi"/>
          <w:sz w:val="22"/>
          <w:szCs w:val="22"/>
        </w:rPr>
        <w:t xml:space="preserve">There is anecdotal evidence that </w:t>
      </w:r>
      <w:r>
        <w:rPr>
          <w:rFonts w:asciiTheme="minorHAnsi" w:hAnsiTheme="minorHAnsi" w:cstheme="minorHAnsi"/>
          <w:b/>
          <w:bCs/>
          <w:sz w:val="22"/>
          <w:szCs w:val="22"/>
        </w:rPr>
        <w:t>effective, mutually advantageous partnerships</w:t>
      </w:r>
      <w:r>
        <w:rPr>
          <w:rFonts w:asciiTheme="minorHAnsi" w:hAnsiTheme="minorHAnsi" w:cstheme="minorHAnsi"/>
          <w:sz w:val="22"/>
          <w:szCs w:val="22"/>
        </w:rPr>
        <w:t xml:space="preserve"> are being developed and maintained between institutions and business in Australia and partner countries (Outcome 3) – however this outcome is difficult to track, measure and attribute to Australia Awards. </w:t>
      </w:r>
    </w:p>
    <w:p w:rsidR="00561887" w:rsidRPr="00FA2FA9" w:rsidRDefault="00561887" w:rsidP="00561887">
      <w:pPr>
        <w:pStyle w:val="ListParagraph"/>
        <w:rPr>
          <w:rFonts w:asciiTheme="minorHAnsi" w:hAnsiTheme="minorHAnsi" w:cstheme="minorHAnsi"/>
          <w:sz w:val="22"/>
          <w:szCs w:val="22"/>
        </w:rPr>
      </w:pPr>
    </w:p>
    <w:p w:rsidR="00561887" w:rsidRPr="0012250D" w:rsidRDefault="00561887" w:rsidP="00561887">
      <w:pPr>
        <w:pStyle w:val="ListParagraph"/>
        <w:numPr>
          <w:ilvl w:val="0"/>
          <w:numId w:val="16"/>
        </w:numPr>
        <w:spacing w:after="120"/>
        <w:rPr>
          <w:rFonts w:asciiTheme="minorHAnsi" w:hAnsiTheme="minorHAnsi" w:cstheme="minorHAnsi"/>
          <w:sz w:val="22"/>
          <w:szCs w:val="22"/>
        </w:rPr>
      </w:pPr>
      <w:r>
        <w:rPr>
          <w:rFonts w:asciiTheme="minorHAnsi" w:hAnsiTheme="minorHAnsi" w:cstheme="minorHAnsi"/>
          <w:sz w:val="22"/>
          <w:szCs w:val="22"/>
        </w:rPr>
        <w:t xml:space="preserve">Alumni </w:t>
      </w:r>
      <w:r w:rsidRPr="000B213F">
        <w:rPr>
          <w:rFonts w:asciiTheme="minorHAnsi" w:hAnsiTheme="minorHAnsi" w:cstheme="minorHAnsi"/>
          <w:b/>
          <w:bCs/>
          <w:sz w:val="22"/>
          <w:szCs w:val="22"/>
        </w:rPr>
        <w:t>view Australia, Australians and Australian expertise positively</w:t>
      </w:r>
      <w:r>
        <w:rPr>
          <w:rFonts w:asciiTheme="minorHAnsi" w:hAnsiTheme="minorHAnsi" w:cstheme="minorHAnsi"/>
          <w:sz w:val="22"/>
          <w:szCs w:val="22"/>
        </w:rPr>
        <w:t xml:space="preserve"> (Outcome 4). Almost all surveyed alumni respondents agreed they would recommend Australia as a good place to study (98 per cent) and that they would recommend others apply for an Australia Award (9</w:t>
      </w:r>
      <w:r w:rsidR="001417AA">
        <w:rPr>
          <w:rFonts w:asciiTheme="minorHAnsi" w:hAnsiTheme="minorHAnsi" w:cstheme="minorHAnsi"/>
          <w:sz w:val="22"/>
          <w:szCs w:val="22"/>
        </w:rPr>
        <w:t>9</w:t>
      </w:r>
      <w:r>
        <w:rPr>
          <w:rFonts w:asciiTheme="minorHAnsi" w:hAnsiTheme="minorHAnsi" w:cstheme="minorHAnsi"/>
          <w:sz w:val="22"/>
          <w:szCs w:val="22"/>
        </w:rPr>
        <w:t xml:space="preserve"> per cent).</w:t>
      </w:r>
      <w:r>
        <w:rPr>
          <w:rStyle w:val="FootnoteReference"/>
          <w:rFonts w:asciiTheme="minorHAnsi" w:hAnsiTheme="minorHAnsi" w:cstheme="minorHAnsi"/>
          <w:sz w:val="22"/>
          <w:szCs w:val="22"/>
        </w:rPr>
        <w:footnoteReference w:id="2"/>
      </w:r>
    </w:p>
    <w:p w:rsidR="00561887" w:rsidRPr="00FA2FA9" w:rsidRDefault="00561887" w:rsidP="00561887">
      <w:pPr>
        <w:spacing w:after="120"/>
        <w:rPr>
          <w:rFonts w:cstheme="minorHAnsi"/>
          <w:color w:val="auto"/>
        </w:rPr>
      </w:pPr>
      <w:r w:rsidRPr="00FA2FA9">
        <w:rPr>
          <w:rFonts w:cstheme="minorHAnsi"/>
          <w:color w:val="auto"/>
        </w:rPr>
        <w:t xml:space="preserve">The Awards continued to support DFAT’s approach to </w:t>
      </w:r>
      <w:r w:rsidRPr="00FA2FA9">
        <w:rPr>
          <w:rFonts w:cstheme="minorHAnsi"/>
          <w:b/>
          <w:bCs/>
          <w:color w:val="auto"/>
        </w:rPr>
        <w:t>gender equality</w:t>
      </w:r>
      <w:r w:rsidRPr="00FA2FA9">
        <w:rPr>
          <w:rFonts w:cstheme="minorHAnsi"/>
          <w:bCs/>
          <w:color w:val="auto"/>
        </w:rPr>
        <w:t xml:space="preserve"> and </w:t>
      </w:r>
      <w:r w:rsidRPr="00FA2FA9">
        <w:rPr>
          <w:rFonts w:cstheme="minorHAnsi"/>
          <w:b/>
          <w:bCs/>
          <w:color w:val="auto"/>
        </w:rPr>
        <w:t xml:space="preserve">disability inclusive development - </w:t>
      </w:r>
      <w:r w:rsidRPr="00FA2FA9">
        <w:rPr>
          <w:rFonts w:cstheme="minorHAnsi"/>
          <w:color w:val="auto"/>
        </w:rPr>
        <w:t>54 per cent of long and short-term awards went to women and 3 per cent were awarded to those who identified as having a disability.</w:t>
      </w:r>
    </w:p>
    <w:p w:rsidR="00561887" w:rsidRPr="00FA2FA9" w:rsidRDefault="00561887" w:rsidP="00561887">
      <w:pPr>
        <w:spacing w:after="120"/>
        <w:rPr>
          <w:rFonts w:cstheme="minorHAnsi"/>
          <w:b/>
          <w:bCs/>
          <w:i/>
          <w:color w:val="auto"/>
        </w:rPr>
      </w:pPr>
      <w:r w:rsidRPr="00FA2FA9">
        <w:rPr>
          <w:rFonts w:cstheme="minorHAnsi"/>
          <w:b/>
          <w:bCs/>
          <w:i/>
          <w:color w:val="auto"/>
        </w:rPr>
        <w:t>Key delivery partners</w:t>
      </w:r>
    </w:p>
    <w:p w:rsidR="00287BD6" w:rsidRPr="00EF212E" w:rsidRDefault="00561887" w:rsidP="00FE2A3D">
      <w:pPr>
        <w:spacing w:after="120"/>
        <w:rPr>
          <w:rFonts w:cstheme="minorHAnsi"/>
        </w:rPr>
      </w:pPr>
      <w:r w:rsidRPr="00FA2FA9">
        <w:rPr>
          <w:rFonts w:cstheme="minorHAnsi"/>
          <w:color w:val="auto"/>
        </w:rPr>
        <w:t xml:space="preserve">Managing contractors and Australian universities and tertiary institutions have generally </w:t>
      </w:r>
      <w:r w:rsidRPr="00FA2FA9">
        <w:rPr>
          <w:rFonts w:cstheme="minorHAnsi"/>
          <w:b/>
          <w:color w:val="auto"/>
        </w:rPr>
        <w:t>performed well</w:t>
      </w:r>
      <w:r w:rsidRPr="00FA2FA9">
        <w:rPr>
          <w:rFonts w:cstheme="minorHAnsi"/>
          <w:color w:val="auto"/>
        </w:rPr>
        <w:t xml:space="preserve"> and in some cases better than expected. They have undertaken considerable work to ensure the Awards are efficiently run, students and alumni receive a better experience, and that Australia continues to benefit from the cooperation and engagement that the Awards generate.</w:t>
      </w:r>
      <w:r w:rsidR="00FE2A3D">
        <w:rPr>
          <w:rFonts w:cstheme="minorHAnsi"/>
          <w:color w:val="auto"/>
        </w:rPr>
        <w:t xml:space="preserve"> It also is a reflection of the effective management and engagement by posts in the performance of the managing contractors. </w:t>
      </w:r>
      <w:r w:rsidR="00287BD6" w:rsidRPr="00EF212E">
        <w:rPr>
          <w:rFonts w:asciiTheme="majorHAnsi" w:eastAsiaTheme="majorEastAsia" w:hAnsiTheme="majorHAnsi" w:cstheme="majorBidi"/>
          <w:caps/>
          <w:sz w:val="38"/>
          <w:szCs w:val="26"/>
        </w:rPr>
        <w:br w:type="page"/>
      </w:r>
    </w:p>
    <w:p w:rsidR="00C6626C" w:rsidRPr="00C61187" w:rsidRDefault="00D7713F" w:rsidP="00D7713F">
      <w:pPr>
        <w:pStyle w:val="ListBullet"/>
        <w:tabs>
          <w:tab w:val="clear" w:pos="284"/>
        </w:tabs>
        <w:spacing w:before="360" w:line="300" w:lineRule="exact"/>
        <w:rPr>
          <w:kern w:val="28"/>
        </w:rPr>
      </w:pPr>
      <w:r>
        <w:rPr>
          <w:rFonts w:asciiTheme="majorHAnsi" w:eastAsiaTheme="majorEastAsia" w:hAnsiTheme="majorHAnsi" w:cstheme="majorBidi"/>
          <w:caps/>
          <w:color w:val="495965" w:themeColor="text2"/>
          <w:sz w:val="38"/>
          <w:szCs w:val="26"/>
          <w:lang w:val="en-GB" w:eastAsia="en-US"/>
        </w:rPr>
        <w:lastRenderedPageBreak/>
        <w:t xml:space="preserve">Context </w:t>
      </w:r>
    </w:p>
    <w:p w:rsidR="00684752" w:rsidRPr="000A2601" w:rsidRDefault="00684752" w:rsidP="002A51CA">
      <w:pPr>
        <w:rPr>
          <w:rFonts w:cstheme="minorHAnsi"/>
          <w:color w:val="auto"/>
        </w:rPr>
      </w:pPr>
      <w:r w:rsidRPr="000A2601">
        <w:rPr>
          <w:rFonts w:cstheme="minorHAnsi"/>
          <w:color w:val="auto"/>
        </w:rPr>
        <w:t xml:space="preserve">Australia Awards are prestigious international scholarships and </w:t>
      </w:r>
      <w:r w:rsidR="00A51789" w:rsidRPr="000A2601">
        <w:rPr>
          <w:rFonts w:cstheme="minorHAnsi"/>
          <w:color w:val="auto"/>
        </w:rPr>
        <w:t xml:space="preserve">short courses </w:t>
      </w:r>
      <w:r w:rsidRPr="000A2601">
        <w:rPr>
          <w:rFonts w:cstheme="minorHAnsi"/>
          <w:color w:val="auto"/>
        </w:rPr>
        <w:t>funded through Australia’s Official Development Assistance program</w:t>
      </w:r>
      <w:r w:rsidR="00E04332" w:rsidRPr="000A2601">
        <w:rPr>
          <w:rFonts w:cstheme="minorHAnsi"/>
          <w:color w:val="auto"/>
        </w:rPr>
        <w:t xml:space="preserve">. They </w:t>
      </w:r>
      <w:r w:rsidRPr="000A2601">
        <w:rPr>
          <w:rFonts w:cstheme="minorHAnsi"/>
          <w:color w:val="auto"/>
        </w:rPr>
        <w:t>offer the next generation of global leaders an opportunity to undertake study, research and professional development in Australia. The Awards contribute to the long-term objectives of promoting growth and stability in the region, as well as strengthening links between people and organisations to enhance mutual understanding and cooperation.</w:t>
      </w:r>
      <w:r w:rsidR="008670CC" w:rsidRPr="000A2601">
        <w:rPr>
          <w:rFonts w:cstheme="minorHAnsi"/>
          <w:color w:val="auto"/>
        </w:rPr>
        <w:t xml:space="preserve"> T</w:t>
      </w:r>
      <w:r w:rsidRPr="000A2601">
        <w:rPr>
          <w:rFonts w:cstheme="minorHAnsi"/>
          <w:color w:val="auto"/>
        </w:rPr>
        <w:t xml:space="preserve">hey aim to equip recipients with the skills and knowledge to drive change and contribute to the economic and social development of their own countries. </w:t>
      </w:r>
    </w:p>
    <w:p w:rsidR="00FE0CA1" w:rsidRPr="000A2601" w:rsidRDefault="00FE0CA1" w:rsidP="002A51CA">
      <w:pPr>
        <w:rPr>
          <w:rFonts w:cstheme="minorHAnsi"/>
          <w:color w:val="auto"/>
        </w:rPr>
      </w:pPr>
      <w:r w:rsidRPr="000A2601">
        <w:rPr>
          <w:rFonts w:cstheme="minorHAnsi"/>
          <w:color w:val="auto"/>
        </w:rPr>
        <w:t xml:space="preserve">The overarching goal of Australia Awards is to support partner countries progress their development goals and have positive relationships with Australia that advance mutual interests. The </w:t>
      </w:r>
      <w:r w:rsidRPr="000A2601">
        <w:rPr>
          <w:rFonts w:cstheme="minorHAnsi"/>
          <w:i/>
          <w:iCs/>
          <w:color w:val="auto"/>
        </w:rPr>
        <w:t>Australia Awards Global Strategy: Investing in the next generation of global leaders for dev</w:t>
      </w:r>
      <w:r w:rsidR="00B12961" w:rsidRPr="000A2601">
        <w:rPr>
          <w:rFonts w:cstheme="minorHAnsi"/>
          <w:i/>
          <w:iCs/>
          <w:color w:val="auto"/>
        </w:rPr>
        <w:t>e</w:t>
      </w:r>
      <w:r w:rsidRPr="000A2601">
        <w:rPr>
          <w:rFonts w:cstheme="minorHAnsi"/>
          <w:i/>
          <w:iCs/>
          <w:color w:val="auto"/>
        </w:rPr>
        <w:t>lopment 2016-2018</w:t>
      </w:r>
      <w:r w:rsidRPr="000A2601">
        <w:rPr>
          <w:rFonts w:cstheme="minorHAnsi"/>
          <w:color w:val="auto"/>
        </w:rPr>
        <w:t xml:space="preserve"> sets the strategic framework and priorities for the Australia Awards program. It outlines</w:t>
      </w:r>
      <w:r w:rsidR="00C75AD6" w:rsidRPr="000A2601">
        <w:rPr>
          <w:rFonts w:cstheme="minorHAnsi"/>
          <w:color w:val="auto"/>
        </w:rPr>
        <w:t xml:space="preserve"> the </w:t>
      </w:r>
      <w:r w:rsidRPr="000A2601">
        <w:rPr>
          <w:rFonts w:cstheme="minorHAnsi"/>
          <w:color w:val="auto"/>
        </w:rPr>
        <w:t xml:space="preserve">five principles which guide the four long term outcomes against which the program is being assessed in this APPR. </w:t>
      </w:r>
      <w:r w:rsidR="00EA18DE" w:rsidRPr="000A2601">
        <w:rPr>
          <w:rFonts w:cstheme="minorHAnsi"/>
          <w:color w:val="auto"/>
        </w:rPr>
        <w:t xml:space="preserve">The </w:t>
      </w:r>
      <w:r w:rsidR="00EA18DE" w:rsidRPr="000A2601">
        <w:rPr>
          <w:rFonts w:cstheme="minorHAnsi"/>
          <w:i/>
          <w:iCs/>
          <w:color w:val="auto"/>
        </w:rPr>
        <w:t>Global Strategy</w:t>
      </w:r>
      <w:r w:rsidR="00EA18DE" w:rsidRPr="000A2601">
        <w:rPr>
          <w:rFonts w:cstheme="minorHAnsi"/>
          <w:color w:val="auto"/>
        </w:rPr>
        <w:t xml:space="preserve"> </w:t>
      </w:r>
      <w:r w:rsidR="008670CC" w:rsidRPr="000A2601">
        <w:rPr>
          <w:rFonts w:cstheme="minorHAnsi"/>
          <w:color w:val="auto"/>
        </w:rPr>
        <w:t xml:space="preserve">was evaluated in </w:t>
      </w:r>
      <w:r w:rsidR="00606915" w:rsidRPr="000A2601">
        <w:rPr>
          <w:rFonts w:cstheme="minorHAnsi"/>
          <w:color w:val="auto"/>
        </w:rPr>
        <w:t xml:space="preserve">early </w:t>
      </w:r>
      <w:r w:rsidR="008670CC" w:rsidRPr="000A2601">
        <w:rPr>
          <w:rFonts w:cstheme="minorHAnsi"/>
          <w:color w:val="auto"/>
        </w:rPr>
        <w:t xml:space="preserve">2019 and </w:t>
      </w:r>
      <w:r w:rsidR="00E64B70">
        <w:rPr>
          <w:rFonts w:cstheme="minorHAnsi"/>
          <w:color w:val="auto"/>
        </w:rPr>
        <w:t xml:space="preserve">will </w:t>
      </w:r>
      <w:r w:rsidR="008670CC" w:rsidRPr="000A2601">
        <w:rPr>
          <w:rFonts w:cstheme="minorHAnsi"/>
          <w:color w:val="auto"/>
        </w:rPr>
        <w:t xml:space="preserve">be </w:t>
      </w:r>
      <w:r w:rsidR="00A51789" w:rsidRPr="000A2601">
        <w:rPr>
          <w:rFonts w:cstheme="minorHAnsi"/>
          <w:color w:val="auto"/>
        </w:rPr>
        <w:t>revised</w:t>
      </w:r>
      <w:r w:rsidR="00EA18DE" w:rsidRPr="000A2601">
        <w:rPr>
          <w:rFonts w:cstheme="minorHAnsi"/>
          <w:color w:val="auto"/>
        </w:rPr>
        <w:t xml:space="preserve"> in 2019</w:t>
      </w:r>
      <w:r w:rsidR="00606915" w:rsidRPr="000A2601">
        <w:rPr>
          <w:rFonts w:cstheme="minorHAnsi"/>
          <w:color w:val="auto"/>
        </w:rPr>
        <w:t>-2020</w:t>
      </w:r>
      <w:r w:rsidR="00EA18DE" w:rsidRPr="000A2601">
        <w:rPr>
          <w:rFonts w:cstheme="minorHAnsi"/>
          <w:color w:val="auto"/>
        </w:rPr>
        <w:t xml:space="preserve">. </w:t>
      </w:r>
    </w:p>
    <w:p w:rsidR="002630E5" w:rsidRPr="000A2601" w:rsidRDefault="002630E5" w:rsidP="002630E5">
      <w:pPr>
        <w:rPr>
          <w:rFonts w:cstheme="minorHAnsi"/>
          <w:color w:val="auto"/>
        </w:rPr>
      </w:pPr>
      <w:r w:rsidRPr="000A2601">
        <w:rPr>
          <w:rFonts w:cstheme="minorHAnsi"/>
          <w:color w:val="auto"/>
        </w:rPr>
        <w:t>The Strategy identifies four-long term outcomes:</w:t>
      </w:r>
    </w:p>
    <w:p w:rsidR="002630E5" w:rsidRPr="000A2601" w:rsidRDefault="002630E5" w:rsidP="002630E5">
      <w:pPr>
        <w:ind w:left="720"/>
        <w:rPr>
          <w:rFonts w:cstheme="minorHAnsi"/>
          <w:color w:val="auto"/>
        </w:rPr>
      </w:pPr>
      <w:r w:rsidRPr="000A2601">
        <w:rPr>
          <w:rFonts w:cstheme="minorHAnsi"/>
          <w:color w:val="auto"/>
        </w:rPr>
        <w:t>Outcome 1: Alumni are using their skills, knowledge and networks to contribute to sustainable development.</w:t>
      </w:r>
    </w:p>
    <w:p w:rsidR="002630E5" w:rsidRPr="000A2601" w:rsidRDefault="002630E5" w:rsidP="002630E5">
      <w:pPr>
        <w:ind w:left="720"/>
        <w:rPr>
          <w:rFonts w:cstheme="minorHAnsi"/>
          <w:color w:val="auto"/>
        </w:rPr>
      </w:pPr>
      <w:r w:rsidRPr="000A2601">
        <w:rPr>
          <w:rFonts w:cstheme="minorHAnsi"/>
          <w:color w:val="auto"/>
        </w:rPr>
        <w:t>Outcome 2: Alumni are contributing to cooperation between Australia and partner countries.</w:t>
      </w:r>
    </w:p>
    <w:p w:rsidR="002630E5" w:rsidRPr="000A2601" w:rsidRDefault="002630E5" w:rsidP="002630E5">
      <w:pPr>
        <w:ind w:left="720"/>
        <w:rPr>
          <w:rFonts w:cstheme="minorHAnsi"/>
          <w:color w:val="auto"/>
        </w:rPr>
      </w:pPr>
      <w:r w:rsidRPr="000A2601">
        <w:rPr>
          <w:rFonts w:cstheme="minorHAnsi"/>
          <w:color w:val="auto"/>
        </w:rPr>
        <w:t>Outcome 3: Effective, mutually advantageous partnerships between institutions and businesses in Australia and partner countries.</w:t>
      </w:r>
    </w:p>
    <w:p w:rsidR="002630E5" w:rsidRPr="000A2601" w:rsidRDefault="002630E5" w:rsidP="002630E5">
      <w:pPr>
        <w:ind w:left="720"/>
        <w:rPr>
          <w:rFonts w:cstheme="minorHAnsi"/>
          <w:color w:val="auto"/>
        </w:rPr>
      </w:pPr>
      <w:r w:rsidRPr="000A2601">
        <w:rPr>
          <w:rFonts w:cstheme="minorHAnsi"/>
          <w:color w:val="auto"/>
        </w:rPr>
        <w:t>Outcome 4: Alumni view Australia, Australians and Australian expertise positively.</w:t>
      </w:r>
    </w:p>
    <w:p w:rsidR="002630E5" w:rsidRPr="000A2601" w:rsidRDefault="002630E5" w:rsidP="002630E5">
      <w:pPr>
        <w:rPr>
          <w:rFonts w:cstheme="minorHAnsi"/>
          <w:color w:val="auto"/>
        </w:rPr>
      </w:pPr>
      <w:r w:rsidRPr="000A2601">
        <w:rPr>
          <w:rFonts w:cstheme="minorHAnsi"/>
          <w:color w:val="auto"/>
        </w:rPr>
        <w:t xml:space="preserve">The Strategy is complemented by the </w:t>
      </w:r>
      <w:r w:rsidRPr="000A2601">
        <w:rPr>
          <w:rFonts w:cstheme="minorHAnsi"/>
          <w:i/>
          <w:iCs/>
          <w:color w:val="auto"/>
        </w:rPr>
        <w:t>Australia Global Alumni Engagement Strategy 2016-2020</w:t>
      </w:r>
      <w:r w:rsidRPr="000A2601">
        <w:rPr>
          <w:rStyle w:val="FootnoteReference"/>
          <w:rFonts w:cstheme="minorHAnsi"/>
          <w:i/>
          <w:iCs/>
          <w:color w:val="auto"/>
        </w:rPr>
        <w:footnoteReference w:id="3"/>
      </w:r>
      <w:r w:rsidRPr="000A2601">
        <w:rPr>
          <w:rFonts w:cstheme="minorHAnsi"/>
          <w:color w:val="auto"/>
        </w:rPr>
        <w:t>.</w:t>
      </w:r>
    </w:p>
    <w:p w:rsidR="000A2601" w:rsidRPr="000A2601" w:rsidRDefault="000A2601" w:rsidP="002630E5">
      <w:pPr>
        <w:rPr>
          <w:rFonts w:cstheme="minorHAnsi"/>
          <w:color w:val="auto"/>
        </w:rPr>
      </w:pPr>
      <w:r w:rsidRPr="000A2601">
        <w:rPr>
          <w:rFonts w:cstheme="minorHAnsi"/>
          <w:color w:val="auto"/>
        </w:rPr>
        <w:t>The program is managed in a decentralised way. In broad terms - policy, training and financial payments are managed centrally in Canberra. Selection of students, funding and financial decisions sit with the geographic area, and may be managed from Canberra, a regional area or Post including through the use of an outsourced managing contractor</w:t>
      </w:r>
      <w:r w:rsidR="00F73C5B">
        <w:rPr>
          <w:rFonts w:cstheme="minorHAnsi"/>
          <w:color w:val="auto"/>
        </w:rPr>
        <w:t>.</w:t>
      </w:r>
    </w:p>
    <w:p w:rsidR="002630E5" w:rsidRPr="000A2601" w:rsidRDefault="002630E5" w:rsidP="002630E5">
      <w:pPr>
        <w:rPr>
          <w:rFonts w:cstheme="minorHAnsi"/>
          <w:color w:val="auto"/>
        </w:rPr>
      </w:pPr>
      <w:r w:rsidRPr="000A2601">
        <w:rPr>
          <w:rFonts w:cstheme="minorHAnsi"/>
          <w:color w:val="auto"/>
        </w:rPr>
        <w:t xml:space="preserve">This Performance Report reports against the four long-term outcomes and </w:t>
      </w:r>
      <w:r w:rsidR="00F75FCA">
        <w:rPr>
          <w:rFonts w:cstheme="minorHAnsi"/>
          <w:color w:val="auto"/>
        </w:rPr>
        <w:t xml:space="preserve">five </w:t>
      </w:r>
      <w:r w:rsidRPr="000A2601">
        <w:rPr>
          <w:rFonts w:cstheme="minorHAnsi"/>
          <w:color w:val="auto"/>
        </w:rPr>
        <w:t>cross-cutting principles</w:t>
      </w:r>
      <w:r w:rsidRPr="000A2601">
        <w:rPr>
          <w:rStyle w:val="FootnoteReference"/>
          <w:rFonts w:cstheme="minorHAnsi"/>
          <w:color w:val="auto"/>
        </w:rPr>
        <w:footnoteReference w:id="4"/>
      </w:r>
      <w:r w:rsidRPr="000A2601">
        <w:rPr>
          <w:rFonts w:cstheme="minorHAnsi"/>
          <w:color w:val="auto"/>
        </w:rPr>
        <w:t xml:space="preserve">  of the Australia Awards. It draws on a number of sources</w:t>
      </w:r>
      <w:r w:rsidRPr="000A2601">
        <w:rPr>
          <w:rStyle w:val="FootnoteReference"/>
          <w:rFonts w:cstheme="minorHAnsi"/>
          <w:color w:val="auto"/>
        </w:rPr>
        <w:footnoteReference w:id="5"/>
      </w:r>
      <w:r w:rsidRPr="000A2601">
        <w:rPr>
          <w:rFonts w:cstheme="minorHAnsi"/>
          <w:color w:val="auto"/>
        </w:rPr>
        <w:t>, including:</w:t>
      </w:r>
    </w:p>
    <w:p w:rsidR="002630E5" w:rsidRPr="000A2601" w:rsidRDefault="002630E5" w:rsidP="00721181">
      <w:pPr>
        <w:spacing w:before="0" w:after="0" w:line="240" w:lineRule="auto"/>
        <w:rPr>
          <w:rFonts w:cstheme="minorHAnsi"/>
          <w:color w:val="auto"/>
        </w:rPr>
      </w:pPr>
      <w:r w:rsidRPr="000A2601">
        <w:rPr>
          <w:rFonts w:cstheme="minorHAnsi"/>
          <w:color w:val="auto"/>
        </w:rPr>
        <w:t>-</w:t>
      </w:r>
      <w:r w:rsidRPr="000A2601">
        <w:rPr>
          <w:rFonts w:cstheme="minorHAnsi"/>
          <w:color w:val="auto"/>
        </w:rPr>
        <w:tab/>
        <w:t>the 201</w:t>
      </w:r>
      <w:r w:rsidR="000A2601">
        <w:rPr>
          <w:rFonts w:cstheme="minorHAnsi"/>
          <w:color w:val="auto"/>
        </w:rPr>
        <w:t>8</w:t>
      </w:r>
      <w:r w:rsidRPr="000A2601">
        <w:rPr>
          <w:rFonts w:cstheme="minorHAnsi"/>
          <w:color w:val="auto"/>
        </w:rPr>
        <w:t>-1</w:t>
      </w:r>
      <w:r w:rsidR="000A2601">
        <w:rPr>
          <w:rFonts w:cstheme="minorHAnsi"/>
          <w:color w:val="auto"/>
        </w:rPr>
        <w:t>9</w:t>
      </w:r>
      <w:r w:rsidRPr="000A2601">
        <w:rPr>
          <w:rFonts w:cstheme="minorHAnsi"/>
          <w:color w:val="auto"/>
        </w:rPr>
        <w:t xml:space="preserve"> Australia Awards Statistical Profile</w:t>
      </w:r>
      <w:r w:rsidR="00721181" w:rsidRPr="000A2601">
        <w:rPr>
          <w:rStyle w:val="FootnoteReference"/>
          <w:rFonts w:cstheme="minorHAnsi"/>
          <w:color w:val="auto"/>
        </w:rPr>
        <w:footnoteReference w:id="6"/>
      </w:r>
      <w:r w:rsidRPr="000A2601">
        <w:rPr>
          <w:rFonts w:cstheme="minorHAnsi"/>
          <w:color w:val="auto"/>
        </w:rPr>
        <w:t xml:space="preserve"> ;</w:t>
      </w:r>
    </w:p>
    <w:p w:rsidR="002630E5" w:rsidRPr="000A2601" w:rsidRDefault="002630E5" w:rsidP="000A2601">
      <w:pPr>
        <w:spacing w:before="0" w:after="0" w:line="240" w:lineRule="auto"/>
        <w:ind w:left="720" w:hanging="720"/>
        <w:rPr>
          <w:rFonts w:cstheme="minorHAnsi"/>
          <w:color w:val="auto"/>
        </w:rPr>
      </w:pPr>
      <w:r w:rsidRPr="000A2601">
        <w:rPr>
          <w:rFonts w:cstheme="minorHAnsi"/>
          <w:color w:val="auto"/>
        </w:rPr>
        <w:t>-</w:t>
      </w:r>
      <w:r w:rsidRPr="000A2601">
        <w:rPr>
          <w:rFonts w:cstheme="minorHAnsi"/>
          <w:color w:val="auto"/>
        </w:rPr>
        <w:tab/>
      </w:r>
      <w:r w:rsidR="00AC0B2D">
        <w:rPr>
          <w:rFonts w:cstheme="minorHAnsi"/>
          <w:color w:val="auto"/>
        </w:rPr>
        <w:t>annual surveys of Australia Awards scholars on-award in Australia (‘on-award surveys’)</w:t>
      </w:r>
      <w:r w:rsidRPr="000A2601">
        <w:rPr>
          <w:rFonts w:cstheme="minorHAnsi"/>
          <w:color w:val="auto"/>
        </w:rPr>
        <w:t xml:space="preserve">; </w:t>
      </w:r>
    </w:p>
    <w:p w:rsidR="002630E5" w:rsidRPr="000A2601" w:rsidRDefault="002630E5" w:rsidP="00721181">
      <w:pPr>
        <w:spacing w:before="0" w:after="0" w:line="240" w:lineRule="auto"/>
        <w:ind w:left="720" w:hanging="720"/>
        <w:rPr>
          <w:rFonts w:cstheme="minorHAnsi"/>
          <w:color w:val="auto"/>
        </w:rPr>
      </w:pPr>
      <w:r w:rsidRPr="000A2601">
        <w:rPr>
          <w:rFonts w:cstheme="minorHAnsi"/>
          <w:color w:val="auto"/>
        </w:rPr>
        <w:t>-</w:t>
      </w:r>
      <w:r w:rsidRPr="000A2601">
        <w:rPr>
          <w:rFonts w:cstheme="minorHAnsi"/>
          <w:color w:val="auto"/>
        </w:rPr>
        <w:tab/>
        <w:t>14 Aid Quality Checks (AQCs) related to individual country and regional investments</w:t>
      </w:r>
      <w:r w:rsidR="006A6A72">
        <w:rPr>
          <w:rStyle w:val="FootnoteReference"/>
          <w:rFonts w:cstheme="minorHAnsi"/>
          <w:color w:val="auto"/>
        </w:rPr>
        <w:footnoteReference w:id="7"/>
      </w:r>
      <w:r w:rsidRPr="000A2601">
        <w:rPr>
          <w:rFonts w:cstheme="minorHAnsi"/>
          <w:color w:val="auto"/>
        </w:rPr>
        <w:t>;</w:t>
      </w:r>
    </w:p>
    <w:p w:rsidR="002630E5" w:rsidRPr="000A2601" w:rsidRDefault="002630E5" w:rsidP="00721181">
      <w:pPr>
        <w:spacing w:before="0" w:after="0" w:line="240" w:lineRule="auto"/>
        <w:rPr>
          <w:rFonts w:cstheme="minorHAnsi"/>
          <w:color w:val="auto"/>
        </w:rPr>
      </w:pPr>
      <w:r w:rsidRPr="000A2601">
        <w:rPr>
          <w:rFonts w:cstheme="minorHAnsi"/>
          <w:color w:val="auto"/>
        </w:rPr>
        <w:t>-</w:t>
      </w:r>
      <w:r w:rsidRPr="000A2601">
        <w:rPr>
          <w:rFonts w:cstheme="minorHAnsi"/>
          <w:color w:val="auto"/>
        </w:rPr>
        <w:tab/>
        <w:t>monitoring and evaluation (M&amp;E) information collected at individual investment level</w:t>
      </w:r>
      <w:r w:rsidR="00AC0B2D">
        <w:rPr>
          <w:rStyle w:val="FootnoteReference"/>
          <w:rFonts w:cstheme="minorHAnsi"/>
          <w:color w:val="auto"/>
        </w:rPr>
        <w:footnoteReference w:id="8"/>
      </w:r>
      <w:r w:rsidRPr="000A2601">
        <w:rPr>
          <w:rFonts w:cstheme="minorHAnsi"/>
          <w:color w:val="auto"/>
        </w:rPr>
        <w:t>; and</w:t>
      </w:r>
    </w:p>
    <w:p w:rsidR="00721181" w:rsidRPr="000A2601" w:rsidRDefault="002630E5" w:rsidP="00EF212E">
      <w:pPr>
        <w:spacing w:before="0" w:after="0" w:line="240" w:lineRule="auto"/>
        <w:ind w:left="720" w:hanging="720"/>
        <w:rPr>
          <w:rFonts w:cstheme="minorHAnsi"/>
          <w:color w:val="auto"/>
        </w:rPr>
      </w:pPr>
      <w:r w:rsidRPr="000A2601">
        <w:rPr>
          <w:rFonts w:cstheme="minorHAnsi"/>
          <w:color w:val="auto"/>
        </w:rPr>
        <w:t>-</w:t>
      </w:r>
      <w:r w:rsidRPr="000A2601">
        <w:rPr>
          <w:rFonts w:cstheme="minorHAnsi"/>
          <w:color w:val="auto"/>
        </w:rPr>
        <w:tab/>
        <w:t>the Australia Awards Global Tracer Facility (the Global Tracer Facility)</w:t>
      </w:r>
      <w:r w:rsidR="00F73C5B">
        <w:rPr>
          <w:rFonts w:cstheme="minorHAnsi"/>
          <w:color w:val="auto"/>
        </w:rPr>
        <w:t xml:space="preserve"> – in particular,</w:t>
      </w:r>
      <w:r w:rsidR="00721181" w:rsidRPr="000A2601">
        <w:rPr>
          <w:rFonts w:cstheme="minorHAnsi"/>
          <w:color w:val="auto"/>
        </w:rPr>
        <w:t xml:space="preserve"> findings from Year 3 of the Trace</w:t>
      </w:r>
      <w:r w:rsidR="00F75FCA">
        <w:rPr>
          <w:rFonts w:cstheme="minorHAnsi"/>
          <w:color w:val="auto"/>
        </w:rPr>
        <w:t>r</w:t>
      </w:r>
      <w:r w:rsidR="00721181" w:rsidRPr="000A2601">
        <w:rPr>
          <w:rFonts w:cstheme="minorHAnsi"/>
          <w:color w:val="auto"/>
        </w:rPr>
        <w:t xml:space="preserve"> Facility Survey focusing on alumni from the 2011 to 2016 cohort. </w:t>
      </w:r>
    </w:p>
    <w:p w:rsidR="00D027AA" w:rsidRDefault="00D027AA" w:rsidP="000A67F4">
      <w:pPr>
        <w:spacing w:before="240" w:line="240" w:lineRule="auto"/>
        <w:rPr>
          <w:color w:val="auto"/>
        </w:rPr>
      </w:pPr>
      <w:r>
        <w:rPr>
          <w:rFonts w:eastAsia="Times New Roman" w:cstheme="minorHAnsi"/>
          <w:color w:val="auto"/>
        </w:rPr>
        <w:t>Most of the data referred to in this APPR relates to long-term scholarships, not short courses or informal learning opportunities. The on-award surveys only include those on long-term scholarships. The Global Tracer Facility includes alumni from long-term scholarships and fellowships.</w:t>
      </w:r>
      <w:r w:rsidRPr="00694160">
        <w:rPr>
          <w:rFonts w:eastAsia="Times New Roman" w:cstheme="minorHAnsi"/>
          <w:color w:val="auto"/>
        </w:rPr>
        <w:t xml:space="preserve"> </w:t>
      </w:r>
      <w:r>
        <w:rPr>
          <w:rFonts w:eastAsia="Times New Roman" w:cstheme="minorHAnsi"/>
          <w:color w:val="auto"/>
        </w:rPr>
        <w:t xml:space="preserve"> </w:t>
      </w:r>
    </w:p>
    <w:p w:rsidR="00287BD6" w:rsidRDefault="00287BD6" w:rsidP="00E04332">
      <w:pPr>
        <w:rPr>
          <w:color w:val="FF0000"/>
        </w:rPr>
      </w:pPr>
      <w:r>
        <w:rPr>
          <w:color w:val="FF0000"/>
        </w:rPr>
        <w:br w:type="page"/>
      </w:r>
    </w:p>
    <w:p w:rsidR="00C6626C" w:rsidRPr="002A51CA" w:rsidRDefault="00C6626C" w:rsidP="0053287B">
      <w:pPr>
        <w:rPr>
          <w:rFonts w:asciiTheme="majorHAnsi" w:eastAsiaTheme="majorEastAsia" w:hAnsiTheme="majorHAnsi" w:cstheme="majorBidi"/>
          <w:caps/>
          <w:sz w:val="38"/>
          <w:szCs w:val="26"/>
        </w:rPr>
      </w:pPr>
      <w:r w:rsidRPr="002A51CA">
        <w:rPr>
          <w:rFonts w:asciiTheme="majorHAnsi" w:eastAsiaTheme="majorEastAsia" w:hAnsiTheme="majorHAnsi" w:cstheme="majorBidi"/>
          <w:caps/>
          <w:sz w:val="38"/>
          <w:szCs w:val="26"/>
        </w:rPr>
        <w:t>Expenditure</w:t>
      </w:r>
    </w:p>
    <w:p w:rsidR="00E25CE5" w:rsidRDefault="005C64B2" w:rsidP="00E331F7">
      <w:pPr>
        <w:rPr>
          <w:color w:val="auto"/>
        </w:rPr>
      </w:pPr>
      <w:bookmarkStart w:id="1" w:name="_Hlk18219973"/>
      <w:bookmarkStart w:id="2" w:name="_Hlk18049002"/>
      <w:r w:rsidRPr="00E331F7">
        <w:rPr>
          <w:color w:val="auto"/>
        </w:rPr>
        <w:t xml:space="preserve">In the </w:t>
      </w:r>
      <w:r>
        <w:rPr>
          <w:color w:val="auto"/>
        </w:rPr>
        <w:t xml:space="preserve">2018-19 </w:t>
      </w:r>
      <w:r w:rsidRPr="00E331F7">
        <w:rPr>
          <w:color w:val="auto"/>
        </w:rPr>
        <w:t>financial year, DFAT spent $</w:t>
      </w:r>
      <w:r w:rsidR="0028332C">
        <w:rPr>
          <w:color w:val="auto"/>
        </w:rPr>
        <w:t>290.5</w:t>
      </w:r>
      <w:r w:rsidRPr="00E331F7">
        <w:rPr>
          <w:color w:val="auto"/>
        </w:rPr>
        <w:t xml:space="preserve"> million on Australia Awards</w:t>
      </w:r>
      <w:r>
        <w:rPr>
          <w:color w:val="auto"/>
        </w:rPr>
        <w:t xml:space="preserve">, </w:t>
      </w:r>
      <w:r w:rsidR="0028332C">
        <w:rPr>
          <w:color w:val="auto"/>
        </w:rPr>
        <w:t>down</w:t>
      </w:r>
      <w:r w:rsidR="00F75FCA">
        <w:rPr>
          <w:color w:val="auto"/>
        </w:rPr>
        <w:t xml:space="preserve"> </w:t>
      </w:r>
      <w:r>
        <w:rPr>
          <w:color w:val="auto"/>
        </w:rPr>
        <w:t>from $300.5</w:t>
      </w:r>
      <w:r w:rsidR="00F73C5B">
        <w:rPr>
          <w:color w:val="auto"/>
        </w:rPr>
        <w:t> </w:t>
      </w:r>
      <w:r>
        <w:rPr>
          <w:color w:val="auto"/>
        </w:rPr>
        <w:t>million in 2017</w:t>
      </w:r>
      <w:r w:rsidR="00F75FCA">
        <w:rPr>
          <w:color w:val="auto"/>
        </w:rPr>
        <w:noBreakHyphen/>
      </w:r>
      <w:r>
        <w:rPr>
          <w:color w:val="auto"/>
        </w:rPr>
        <w:t xml:space="preserve">18. </w:t>
      </w:r>
      <w:bookmarkEnd w:id="1"/>
      <w:r w:rsidR="005071C8">
        <w:rPr>
          <w:color w:val="auto"/>
        </w:rPr>
        <w:t>Of the $290.5 million expenditure in 2018-19, 70 per cent was spent on long-term scholarships for study in Australia and the Pacific (AAS, AAPS and ACIAR schemes) and 9 per cent was spent on short courses.</w:t>
      </w:r>
      <w:r w:rsidR="00E25CE5">
        <w:rPr>
          <w:color w:val="auto"/>
        </w:rPr>
        <w:t xml:space="preserve"> </w:t>
      </w:r>
    </w:p>
    <w:p w:rsidR="005071C8" w:rsidRDefault="00E25CE5" w:rsidP="00E331F7">
      <w:pPr>
        <w:rPr>
          <w:color w:val="auto"/>
        </w:rPr>
      </w:pPr>
      <w:r>
        <w:rPr>
          <w:color w:val="auto"/>
        </w:rPr>
        <w:t>In</w:t>
      </w:r>
      <w:r w:rsidRPr="00E331F7">
        <w:rPr>
          <w:color w:val="auto"/>
        </w:rPr>
        <w:t xml:space="preserve"> 2019, DFAT offered 3,161 A</w:t>
      </w:r>
      <w:r>
        <w:rPr>
          <w:color w:val="auto"/>
        </w:rPr>
        <w:t>ustralia Awards scholarships</w:t>
      </w:r>
      <w:r w:rsidRPr="00E331F7">
        <w:rPr>
          <w:color w:val="auto"/>
        </w:rPr>
        <w:t xml:space="preserve"> and short courses to individuals from over 55 developing countries</w:t>
      </w:r>
      <w:r>
        <w:rPr>
          <w:color w:val="auto"/>
        </w:rPr>
        <w:t xml:space="preserve">, compared with 3,871 </w:t>
      </w:r>
      <w:r w:rsidRPr="00E331F7">
        <w:rPr>
          <w:color w:val="auto"/>
        </w:rPr>
        <w:t>from over 60 developing countries</w:t>
      </w:r>
      <w:r w:rsidRPr="00A102E3">
        <w:rPr>
          <w:color w:val="auto"/>
        </w:rPr>
        <w:t xml:space="preserve"> </w:t>
      </w:r>
      <w:r>
        <w:rPr>
          <w:color w:val="auto"/>
        </w:rPr>
        <w:t>in 2018</w:t>
      </w:r>
      <w:r>
        <w:rPr>
          <w:rStyle w:val="FootnoteReference"/>
          <w:color w:val="auto"/>
        </w:rPr>
        <w:footnoteReference w:id="9"/>
      </w:r>
      <w:r w:rsidRPr="00E331F7">
        <w:rPr>
          <w:color w:val="auto"/>
        </w:rPr>
        <w:t xml:space="preserve">. </w:t>
      </w:r>
      <w:r>
        <w:rPr>
          <w:color w:val="auto"/>
        </w:rPr>
        <w:t>Between 2018 and 2019, the number of long-term scholarships remained relatively stable, the number of short courses increased, and the Australia Awards Fellowships program was discontinued.</w:t>
      </w:r>
    </w:p>
    <w:p w:rsidR="005B5CE7" w:rsidRPr="00E25CE5" w:rsidRDefault="00E331F7" w:rsidP="00E331F7">
      <w:pPr>
        <w:rPr>
          <w:color w:val="auto"/>
        </w:rPr>
      </w:pPr>
      <w:r w:rsidRPr="00E331F7">
        <w:rPr>
          <w:color w:val="auto"/>
        </w:rPr>
        <w:t>Of the</w:t>
      </w:r>
      <w:r w:rsidR="009B6EC5">
        <w:rPr>
          <w:color w:val="auto"/>
        </w:rPr>
        <w:t xml:space="preserve"> scholarships offered in 2019</w:t>
      </w:r>
      <w:r w:rsidRPr="00E331F7">
        <w:rPr>
          <w:color w:val="auto"/>
        </w:rPr>
        <w:t xml:space="preserve">, 44 per cent </w:t>
      </w:r>
      <w:r w:rsidR="009B6EC5">
        <w:rPr>
          <w:color w:val="auto"/>
        </w:rPr>
        <w:t xml:space="preserve">were </w:t>
      </w:r>
      <w:r w:rsidRPr="00E331F7">
        <w:rPr>
          <w:color w:val="auto"/>
        </w:rPr>
        <w:t xml:space="preserve">offered to </w:t>
      </w:r>
      <w:r w:rsidR="000A7C96">
        <w:rPr>
          <w:color w:val="auto"/>
        </w:rPr>
        <w:t xml:space="preserve">South-East and </w:t>
      </w:r>
      <w:r w:rsidRPr="00E331F7">
        <w:rPr>
          <w:color w:val="auto"/>
        </w:rPr>
        <w:t>East Asia</w:t>
      </w:r>
      <w:r w:rsidR="00F75FCA">
        <w:rPr>
          <w:color w:val="auto"/>
        </w:rPr>
        <w:t>,</w:t>
      </w:r>
      <w:r w:rsidRPr="00E331F7">
        <w:rPr>
          <w:color w:val="auto"/>
        </w:rPr>
        <w:t xml:space="preserve"> followed by South</w:t>
      </w:r>
      <w:r w:rsidR="00D230D6">
        <w:rPr>
          <w:color w:val="auto"/>
        </w:rPr>
        <w:t> </w:t>
      </w:r>
      <w:r w:rsidRPr="00E331F7">
        <w:rPr>
          <w:color w:val="auto"/>
        </w:rPr>
        <w:t>Asia (18 per cent), Papua New Guinea (15</w:t>
      </w:r>
      <w:r w:rsidR="00444D57">
        <w:rPr>
          <w:color w:val="auto"/>
        </w:rPr>
        <w:t> </w:t>
      </w:r>
      <w:r w:rsidRPr="00E331F7">
        <w:rPr>
          <w:color w:val="auto"/>
        </w:rPr>
        <w:t>per</w:t>
      </w:r>
      <w:r w:rsidR="00444D57">
        <w:rPr>
          <w:color w:val="auto"/>
        </w:rPr>
        <w:t> </w:t>
      </w:r>
      <w:r w:rsidRPr="00E331F7">
        <w:rPr>
          <w:color w:val="auto"/>
        </w:rPr>
        <w:t xml:space="preserve">cent), Sub-Saharan Africa (13 per cent) and Pacific Island countries (10 per cent). </w:t>
      </w:r>
      <w:bookmarkEnd w:id="2"/>
    </w:p>
    <w:p w:rsidR="00317EA4" w:rsidRDefault="002E4967" w:rsidP="00E331F7">
      <w:pPr>
        <w:rPr>
          <w:color w:val="auto"/>
        </w:rPr>
      </w:pPr>
      <w:r>
        <w:rPr>
          <w:color w:val="auto"/>
        </w:rPr>
        <w:t xml:space="preserve"> </w:t>
      </w:r>
      <w:r>
        <w:rPr>
          <w:noProof/>
          <w:lang w:val="en-AU" w:eastAsia="en-AU"/>
        </w:rPr>
        <w:drawing>
          <wp:inline distT="0" distB="0" distL="0" distR="0" wp14:anchorId="22B50DAE" wp14:editId="16DAA108">
            <wp:extent cx="2981325" cy="2160905"/>
            <wp:effectExtent l="0" t="0" r="9525" b="10795"/>
            <wp:docPr id="1" name="Chart 1">
              <a:extLst xmlns:a="http://schemas.openxmlformats.org/drawingml/2006/main">
                <a:ext uri="{FF2B5EF4-FFF2-40B4-BE49-F238E27FC236}">
                  <a16:creationId xmlns:a16="http://schemas.microsoft.com/office/drawing/2014/main" id="{B5D6281A-5A4F-4366-9BC4-DF0A608C2F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color w:val="auto"/>
        </w:rPr>
        <w:t xml:space="preserve"> </w:t>
      </w:r>
      <w:r w:rsidR="00287BD6">
        <w:rPr>
          <w:color w:val="auto"/>
        </w:rPr>
        <w:tab/>
      </w:r>
      <w:r>
        <w:rPr>
          <w:color w:val="auto"/>
        </w:rPr>
        <w:t xml:space="preserve"> </w:t>
      </w:r>
      <w:r>
        <w:rPr>
          <w:noProof/>
          <w:lang w:val="en-AU" w:eastAsia="en-AU"/>
        </w:rPr>
        <w:drawing>
          <wp:inline distT="0" distB="0" distL="0" distR="0" wp14:anchorId="5C607B0F" wp14:editId="7C5DCF67">
            <wp:extent cx="2838450" cy="2169160"/>
            <wp:effectExtent l="0" t="0" r="0" b="2540"/>
            <wp:docPr id="2" name="Chart 2">
              <a:extLst xmlns:a="http://schemas.openxmlformats.org/drawingml/2006/main">
                <a:ext uri="{FF2B5EF4-FFF2-40B4-BE49-F238E27FC236}">
                  <a16:creationId xmlns:a16="http://schemas.microsoft.com/office/drawing/2014/main" id="{437CE2C1-F54D-454A-9CDA-05CAAB46A5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17EA4" w:rsidRDefault="00317EA4" w:rsidP="00317EA4">
      <w:pPr>
        <w:spacing w:before="0" w:line="240" w:lineRule="auto"/>
        <w:rPr>
          <w:color w:val="auto"/>
          <w:sz w:val="14"/>
          <w:szCs w:val="14"/>
        </w:rPr>
      </w:pPr>
      <w:r w:rsidRPr="00317EA4">
        <w:rPr>
          <w:color w:val="auto"/>
          <w:sz w:val="14"/>
          <w:szCs w:val="14"/>
        </w:rPr>
        <w:t xml:space="preserve">Figure </w:t>
      </w:r>
      <w:r w:rsidR="00AF5A3F">
        <w:rPr>
          <w:color w:val="auto"/>
          <w:sz w:val="14"/>
          <w:szCs w:val="14"/>
        </w:rPr>
        <w:t>1</w:t>
      </w:r>
      <w:r w:rsidRPr="00317EA4">
        <w:rPr>
          <w:color w:val="auto"/>
          <w:sz w:val="14"/>
          <w:szCs w:val="14"/>
        </w:rPr>
        <w:t xml:space="preserve">: Source: </w:t>
      </w:r>
      <w:r w:rsidRPr="00317EA4">
        <w:rPr>
          <w:i/>
          <w:iCs/>
          <w:color w:val="auto"/>
          <w:sz w:val="14"/>
          <w:szCs w:val="14"/>
        </w:rPr>
        <w:t>Information Brief: Australia Awards</w:t>
      </w:r>
      <w:r w:rsidRPr="00317EA4">
        <w:rPr>
          <w:color w:val="auto"/>
          <w:sz w:val="14"/>
          <w:szCs w:val="14"/>
        </w:rPr>
        <w:t xml:space="preserve"> 31 January 2019</w:t>
      </w:r>
      <w:r w:rsidR="002E4967">
        <w:rPr>
          <w:color w:val="auto"/>
          <w:sz w:val="14"/>
          <w:szCs w:val="14"/>
        </w:rPr>
        <w:tab/>
      </w:r>
      <w:r w:rsidR="00D22EE8">
        <w:rPr>
          <w:color w:val="auto"/>
          <w:sz w:val="14"/>
          <w:szCs w:val="14"/>
        </w:rPr>
        <w:tab/>
      </w:r>
      <w:r w:rsidR="002E4967">
        <w:rPr>
          <w:color w:val="auto"/>
          <w:sz w:val="14"/>
          <w:szCs w:val="14"/>
        </w:rPr>
        <w:t xml:space="preserve">Figure </w:t>
      </w:r>
      <w:r w:rsidR="00AF5A3F">
        <w:rPr>
          <w:color w:val="auto"/>
          <w:sz w:val="14"/>
          <w:szCs w:val="14"/>
        </w:rPr>
        <w:t>2</w:t>
      </w:r>
      <w:r w:rsidR="002E4967">
        <w:rPr>
          <w:color w:val="auto"/>
          <w:sz w:val="14"/>
          <w:szCs w:val="14"/>
        </w:rPr>
        <w:t xml:space="preserve">: Source: </w:t>
      </w:r>
      <w:r w:rsidR="002E4967">
        <w:rPr>
          <w:i/>
          <w:iCs/>
          <w:color w:val="auto"/>
          <w:sz w:val="14"/>
          <w:szCs w:val="14"/>
        </w:rPr>
        <w:t>Information Brief: Australia Awards</w:t>
      </w:r>
      <w:r w:rsidR="002E4967">
        <w:rPr>
          <w:color w:val="auto"/>
          <w:sz w:val="14"/>
          <w:szCs w:val="14"/>
        </w:rPr>
        <w:t xml:space="preserve"> 31 January 2019</w:t>
      </w:r>
    </w:p>
    <w:p w:rsidR="00287BD6" w:rsidRPr="002E4967" w:rsidRDefault="00287BD6" w:rsidP="00317EA4">
      <w:pPr>
        <w:spacing w:before="0" w:line="240" w:lineRule="auto"/>
        <w:rPr>
          <w:color w:val="auto"/>
          <w:sz w:val="14"/>
          <w:szCs w:val="14"/>
        </w:rPr>
      </w:pPr>
      <w:r>
        <w:rPr>
          <w:color w:val="auto"/>
          <w:sz w:val="14"/>
          <w:szCs w:val="14"/>
        </w:rPr>
        <w:t>*excludes 12 ACIAR (unallocated)</w:t>
      </w:r>
      <w:r w:rsidR="00AB07F1">
        <w:rPr>
          <w:color w:val="auto"/>
          <w:sz w:val="14"/>
          <w:szCs w:val="14"/>
        </w:rPr>
        <w:t xml:space="preserve"> and</w:t>
      </w:r>
      <w:r>
        <w:rPr>
          <w:color w:val="auto"/>
          <w:sz w:val="14"/>
          <w:szCs w:val="14"/>
        </w:rPr>
        <w:t xml:space="preserve"> Brunei, Singapore</w:t>
      </w:r>
      <w:r w:rsidR="00AB07F1">
        <w:rPr>
          <w:color w:val="auto"/>
          <w:sz w:val="14"/>
          <w:szCs w:val="14"/>
        </w:rPr>
        <w:t xml:space="preserve"> 10 ASEAN awards</w:t>
      </w:r>
    </w:p>
    <w:p w:rsidR="00E331F7" w:rsidRDefault="00E331F7" w:rsidP="00DA040F">
      <w:pPr>
        <w:rPr>
          <w:color w:val="auto"/>
        </w:rPr>
      </w:pPr>
    </w:p>
    <w:p w:rsidR="00AB07F1" w:rsidRPr="00E331F7" w:rsidRDefault="00AB07F1" w:rsidP="00DA040F">
      <w:pPr>
        <w:rPr>
          <w:color w:val="auto"/>
        </w:rPr>
      </w:pPr>
      <w:r>
        <w:rPr>
          <w:noProof/>
          <w:lang w:val="en-AU" w:eastAsia="en-AU"/>
        </w:rPr>
        <w:drawing>
          <wp:inline distT="0" distB="0" distL="0" distR="0" wp14:anchorId="4ECE982E" wp14:editId="66B0EF0E">
            <wp:extent cx="2934031" cy="3204210"/>
            <wp:effectExtent l="0" t="0" r="0" b="15240"/>
            <wp:docPr id="4" name="Chart 4">
              <a:extLst xmlns:a="http://schemas.openxmlformats.org/drawingml/2006/main">
                <a:ext uri="{FF2B5EF4-FFF2-40B4-BE49-F238E27FC236}">
                  <a16:creationId xmlns:a16="http://schemas.microsoft.com/office/drawing/2014/main" id="{8A89973F-A8C1-4213-8798-3C023CCEE5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D15D94">
        <w:rPr>
          <w:color w:val="auto"/>
        </w:rPr>
        <w:t xml:space="preserve">      </w:t>
      </w:r>
      <w:r w:rsidR="0003193F">
        <w:rPr>
          <w:noProof/>
          <w:lang w:val="en-AU" w:eastAsia="en-AU"/>
        </w:rPr>
        <w:drawing>
          <wp:inline distT="0" distB="0" distL="0" distR="0" wp14:anchorId="26419B8F" wp14:editId="2ACFD86B">
            <wp:extent cx="2828925" cy="3209925"/>
            <wp:effectExtent l="0" t="0" r="9525" b="9525"/>
            <wp:docPr id="5" name="Chart 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21181" w:rsidRDefault="00AF5A3F" w:rsidP="002C77B8">
      <w:pPr>
        <w:rPr>
          <w:rFonts w:asciiTheme="majorHAnsi" w:eastAsiaTheme="majorEastAsia" w:hAnsiTheme="majorHAnsi" w:cstheme="majorBidi"/>
          <w:caps/>
          <w:sz w:val="38"/>
          <w:szCs w:val="26"/>
        </w:rPr>
      </w:pPr>
      <w:r w:rsidRPr="00AF5A3F">
        <w:rPr>
          <w:color w:val="auto"/>
          <w:sz w:val="14"/>
          <w:szCs w:val="14"/>
        </w:rPr>
        <w:t xml:space="preserve">Figure 3: </w:t>
      </w:r>
      <w:r w:rsidRPr="00317EA4">
        <w:rPr>
          <w:color w:val="auto"/>
          <w:sz w:val="14"/>
          <w:szCs w:val="14"/>
        </w:rPr>
        <w:t xml:space="preserve">Source: </w:t>
      </w:r>
      <w:r w:rsidRPr="00317EA4">
        <w:rPr>
          <w:i/>
          <w:iCs/>
          <w:color w:val="auto"/>
          <w:sz w:val="14"/>
          <w:szCs w:val="14"/>
        </w:rPr>
        <w:t>Information Brief: Australia Awards</w:t>
      </w:r>
      <w:r w:rsidRPr="00317EA4">
        <w:rPr>
          <w:color w:val="auto"/>
          <w:sz w:val="14"/>
          <w:szCs w:val="14"/>
        </w:rPr>
        <w:t xml:space="preserve"> 31 January 2019</w:t>
      </w:r>
      <w:r w:rsidR="006344C3">
        <w:rPr>
          <w:color w:val="auto"/>
          <w:sz w:val="14"/>
          <w:szCs w:val="14"/>
        </w:rPr>
        <w:tab/>
      </w:r>
      <w:r w:rsidR="006344C3">
        <w:rPr>
          <w:color w:val="auto"/>
          <w:sz w:val="14"/>
          <w:szCs w:val="14"/>
        </w:rPr>
        <w:tab/>
        <w:t>Figure 4: Source Australia Awards worksheet September 2019</w:t>
      </w:r>
      <w:r w:rsidR="00EF4102">
        <w:rPr>
          <w:color w:val="auto"/>
          <w:sz w:val="14"/>
          <w:szCs w:val="14"/>
        </w:rPr>
        <w:t xml:space="preserve"> </w:t>
      </w:r>
      <w:r w:rsidR="00EF4102">
        <w:rPr>
          <w:rFonts w:asciiTheme="majorHAnsi" w:eastAsiaTheme="majorEastAsia" w:hAnsiTheme="majorHAnsi" w:cstheme="majorBidi"/>
          <w:caps/>
          <w:sz w:val="38"/>
          <w:szCs w:val="26"/>
        </w:rPr>
        <w:tab/>
      </w:r>
      <w:r w:rsidR="00EF4102">
        <w:rPr>
          <w:rFonts w:asciiTheme="majorHAnsi" w:eastAsiaTheme="majorEastAsia" w:hAnsiTheme="majorHAnsi" w:cstheme="majorBidi"/>
          <w:caps/>
          <w:sz w:val="38"/>
          <w:szCs w:val="26"/>
        </w:rPr>
        <w:tab/>
      </w:r>
    </w:p>
    <w:p w:rsidR="002A51CA" w:rsidRPr="002A51CA" w:rsidRDefault="002A51CA" w:rsidP="00355959">
      <w:pPr>
        <w:pStyle w:val="ListBullet"/>
        <w:tabs>
          <w:tab w:val="clear" w:pos="284"/>
        </w:tabs>
        <w:spacing w:before="360" w:line="300" w:lineRule="exact"/>
        <w:rPr>
          <w:rFonts w:asciiTheme="majorHAnsi" w:eastAsiaTheme="majorEastAsia" w:hAnsiTheme="majorHAnsi" w:cstheme="majorBidi"/>
          <w:caps/>
          <w:color w:val="495965" w:themeColor="text2"/>
          <w:sz w:val="38"/>
          <w:szCs w:val="26"/>
          <w:lang w:val="en-GB" w:eastAsia="en-US"/>
        </w:rPr>
      </w:pPr>
      <w:r w:rsidRPr="002A51CA">
        <w:rPr>
          <w:rFonts w:asciiTheme="majorHAnsi" w:eastAsiaTheme="majorEastAsia" w:hAnsiTheme="majorHAnsi" w:cstheme="majorBidi"/>
          <w:caps/>
          <w:color w:val="495965" w:themeColor="text2"/>
          <w:sz w:val="38"/>
          <w:szCs w:val="26"/>
          <w:lang w:val="en-GB" w:eastAsia="en-US"/>
        </w:rPr>
        <w:t>Progress towards Objectives</w:t>
      </w:r>
      <w:r w:rsidRPr="002A51CA">
        <w:rPr>
          <w:rFonts w:asciiTheme="majorHAnsi" w:eastAsiaTheme="majorEastAsia" w:hAnsiTheme="majorHAnsi" w:cstheme="majorBidi"/>
          <w:caps/>
          <w:color w:val="495965" w:themeColor="text2"/>
          <w:sz w:val="38"/>
          <w:szCs w:val="26"/>
          <w:lang w:val="en-GB" w:eastAsia="en-US"/>
        </w:rPr>
        <w:tab/>
      </w:r>
    </w:p>
    <w:p w:rsidR="006A1B91" w:rsidRDefault="00FD59C7" w:rsidP="0049079B">
      <w:pPr>
        <w:rPr>
          <w:color w:val="auto"/>
        </w:rPr>
      </w:pPr>
      <w:r>
        <w:rPr>
          <w:color w:val="auto"/>
        </w:rPr>
        <w:t xml:space="preserve">In 2018-19 the Australia Awards </w:t>
      </w:r>
      <w:r w:rsidR="006B2F36">
        <w:rPr>
          <w:color w:val="auto"/>
        </w:rPr>
        <w:t xml:space="preserve">again </w:t>
      </w:r>
      <w:r>
        <w:rPr>
          <w:color w:val="auto"/>
        </w:rPr>
        <w:t>demonstrate</w:t>
      </w:r>
      <w:r w:rsidR="006B2F36">
        <w:rPr>
          <w:color w:val="auto"/>
        </w:rPr>
        <w:t>d</w:t>
      </w:r>
      <w:r>
        <w:rPr>
          <w:color w:val="auto"/>
        </w:rPr>
        <w:t xml:space="preserve"> progress towards achieving each of its </w:t>
      </w:r>
      <w:r w:rsidR="00F73C5B">
        <w:rPr>
          <w:color w:val="auto"/>
        </w:rPr>
        <w:t xml:space="preserve">four </w:t>
      </w:r>
      <w:r>
        <w:rPr>
          <w:color w:val="auto"/>
        </w:rPr>
        <w:t>long-term outcomes</w:t>
      </w:r>
      <w:r w:rsidR="0049079B">
        <w:rPr>
          <w:color w:val="auto"/>
        </w:rPr>
        <w:t xml:space="preserve">. </w:t>
      </w:r>
      <w:r w:rsidR="002F6B63">
        <w:rPr>
          <w:color w:val="auto"/>
        </w:rPr>
        <w:t>The program continues to be a cornerstone of Australia’s aid and diplomacy efforts</w:t>
      </w:r>
      <w:r w:rsidR="00BD11A6">
        <w:rPr>
          <w:color w:val="auto"/>
        </w:rPr>
        <w:t xml:space="preserve">. </w:t>
      </w:r>
    </w:p>
    <w:p w:rsidR="00BD11A6" w:rsidRDefault="006A6A72" w:rsidP="00A40FF5">
      <w:pPr>
        <w:rPr>
          <w:color w:val="auto"/>
        </w:rPr>
      </w:pPr>
      <w:r w:rsidRPr="00444D57">
        <w:rPr>
          <w:b/>
          <w:bCs/>
          <w:color w:val="auto"/>
        </w:rPr>
        <w:t>Table 1</w:t>
      </w:r>
      <w:r>
        <w:rPr>
          <w:color w:val="auto"/>
        </w:rPr>
        <w:t xml:space="preserve"> provides a rating of progress towards each outcome, where each rating is based on an extensive review of the available data sources. </w:t>
      </w:r>
      <w:r w:rsidR="00F75FCA">
        <w:rPr>
          <w:color w:val="auto"/>
        </w:rPr>
        <w:t>Global p</w:t>
      </w:r>
      <w:r w:rsidR="00BD11A6">
        <w:rPr>
          <w:color w:val="auto"/>
        </w:rPr>
        <w:t xml:space="preserve">erformance data and information for the Australia Awards program is available from a range of sources. </w:t>
      </w:r>
      <w:r w:rsidR="00A40FF5">
        <w:rPr>
          <w:color w:val="auto"/>
        </w:rPr>
        <w:t xml:space="preserve">In 2018-19 the Global Tracer Facility </w:t>
      </w:r>
      <w:r w:rsidR="00F73C5B">
        <w:rPr>
          <w:color w:val="auto"/>
        </w:rPr>
        <w:t xml:space="preserve">undertook </w:t>
      </w:r>
      <w:r w:rsidR="00A40FF5">
        <w:rPr>
          <w:color w:val="auto"/>
        </w:rPr>
        <w:t xml:space="preserve">one </w:t>
      </w:r>
      <w:r w:rsidR="00F75FCA">
        <w:rPr>
          <w:color w:val="auto"/>
        </w:rPr>
        <w:t xml:space="preserve">survey report </w:t>
      </w:r>
      <w:r w:rsidR="00A40FF5">
        <w:rPr>
          <w:color w:val="auto"/>
        </w:rPr>
        <w:t xml:space="preserve">and five case studies. DFAT prepared </w:t>
      </w:r>
      <w:r w:rsidR="00A40FF5" w:rsidRPr="006A1B91">
        <w:rPr>
          <w:color w:val="auto"/>
        </w:rPr>
        <w:t>1</w:t>
      </w:r>
      <w:r w:rsidR="00A40FF5">
        <w:rPr>
          <w:color w:val="auto"/>
        </w:rPr>
        <w:t>4 AQCs</w:t>
      </w:r>
      <w:r w:rsidR="00011B76">
        <w:rPr>
          <w:color w:val="auto"/>
        </w:rPr>
        <w:t xml:space="preserve"> </w:t>
      </w:r>
      <w:r w:rsidR="00A41AEA">
        <w:rPr>
          <w:color w:val="auto"/>
        </w:rPr>
        <w:t>related to individual country and regional investments for Australia Awards</w:t>
      </w:r>
      <w:r w:rsidR="00011B76">
        <w:rPr>
          <w:color w:val="auto"/>
        </w:rPr>
        <w:t xml:space="preserve"> (see </w:t>
      </w:r>
      <w:r w:rsidR="00011B76" w:rsidRPr="006A6A72">
        <w:rPr>
          <w:color w:val="auto"/>
        </w:rPr>
        <w:t xml:space="preserve">Annex </w:t>
      </w:r>
      <w:r w:rsidR="00BD11A6" w:rsidRPr="006A6A72">
        <w:rPr>
          <w:color w:val="auto"/>
        </w:rPr>
        <w:t>C</w:t>
      </w:r>
      <w:r w:rsidR="00011B76" w:rsidRPr="006A6A72">
        <w:rPr>
          <w:color w:val="auto"/>
        </w:rPr>
        <w:t xml:space="preserve"> for </w:t>
      </w:r>
      <w:r w:rsidR="00011B76">
        <w:rPr>
          <w:color w:val="auto"/>
        </w:rPr>
        <w:t>list)</w:t>
      </w:r>
      <w:r w:rsidR="00A41AEA">
        <w:rPr>
          <w:color w:val="auto"/>
        </w:rPr>
        <w:t>.</w:t>
      </w:r>
      <w:r w:rsidR="00011B76">
        <w:rPr>
          <w:color w:val="auto"/>
        </w:rPr>
        <w:t xml:space="preserve"> </w:t>
      </w:r>
      <w:r w:rsidR="00F75FCA">
        <w:rPr>
          <w:color w:val="auto"/>
        </w:rPr>
        <w:t>ORIMA Research conducted</w:t>
      </w:r>
      <w:r w:rsidR="00A40FF5">
        <w:rPr>
          <w:color w:val="auto"/>
        </w:rPr>
        <w:t xml:space="preserve"> annual</w:t>
      </w:r>
      <w:r w:rsidR="00143940">
        <w:rPr>
          <w:color w:val="auto"/>
        </w:rPr>
        <w:t xml:space="preserve"> </w:t>
      </w:r>
      <w:r w:rsidR="00E67901">
        <w:rPr>
          <w:iCs/>
          <w:color w:val="auto"/>
        </w:rPr>
        <w:t>on-award</w:t>
      </w:r>
      <w:r w:rsidR="00F75FCA">
        <w:rPr>
          <w:iCs/>
          <w:color w:val="auto"/>
        </w:rPr>
        <w:t xml:space="preserve"> student</w:t>
      </w:r>
      <w:r w:rsidR="00E67901">
        <w:rPr>
          <w:iCs/>
          <w:color w:val="auto"/>
        </w:rPr>
        <w:t xml:space="preserve"> surveys</w:t>
      </w:r>
      <w:r w:rsidR="00C1065F">
        <w:rPr>
          <w:color w:val="auto"/>
        </w:rPr>
        <w:t>, at the b</w:t>
      </w:r>
      <w:r w:rsidR="00F75FCA">
        <w:rPr>
          <w:color w:val="auto"/>
        </w:rPr>
        <w:t>eginning and during their award</w:t>
      </w:r>
      <w:r w:rsidR="00A40FF5">
        <w:rPr>
          <w:color w:val="auto"/>
        </w:rPr>
        <w:t xml:space="preserve">. </w:t>
      </w:r>
      <w:r w:rsidR="0007191B">
        <w:rPr>
          <w:color w:val="auto"/>
        </w:rPr>
        <w:t>The response rates for th</w:t>
      </w:r>
      <w:r w:rsidR="00C1065F">
        <w:rPr>
          <w:color w:val="auto"/>
        </w:rPr>
        <w:t xml:space="preserve">is </w:t>
      </w:r>
      <w:r w:rsidR="0007191B">
        <w:rPr>
          <w:color w:val="auto"/>
        </w:rPr>
        <w:t xml:space="preserve">survey </w:t>
      </w:r>
      <w:r w:rsidR="007C1F06">
        <w:rPr>
          <w:color w:val="auto"/>
        </w:rPr>
        <w:t>were</w:t>
      </w:r>
      <w:r w:rsidR="0007191B">
        <w:rPr>
          <w:color w:val="auto"/>
        </w:rPr>
        <w:t xml:space="preserve"> high (91 per cent) for new students and ha</w:t>
      </w:r>
      <w:r w:rsidR="00446C52">
        <w:rPr>
          <w:color w:val="auto"/>
        </w:rPr>
        <w:t>ve</w:t>
      </w:r>
      <w:r w:rsidR="0007191B">
        <w:rPr>
          <w:color w:val="auto"/>
        </w:rPr>
        <w:t xml:space="preserve"> been consistent</w:t>
      </w:r>
      <w:r w:rsidR="00446C52">
        <w:rPr>
          <w:color w:val="auto"/>
        </w:rPr>
        <w:t xml:space="preserve"> (70-78 per cent) </w:t>
      </w:r>
      <w:r w:rsidR="0007191B">
        <w:rPr>
          <w:color w:val="auto"/>
        </w:rPr>
        <w:t xml:space="preserve">for ongoing students </w:t>
      </w:r>
      <w:r w:rsidR="00C1065F">
        <w:rPr>
          <w:color w:val="auto"/>
        </w:rPr>
        <w:t>since 2009</w:t>
      </w:r>
      <w:r w:rsidR="00446C52">
        <w:rPr>
          <w:color w:val="auto"/>
        </w:rPr>
        <w:t>.</w:t>
      </w:r>
      <w:r w:rsidR="00C1065F">
        <w:rPr>
          <w:color w:val="auto"/>
        </w:rPr>
        <w:t xml:space="preserve"> </w:t>
      </w:r>
      <w:r w:rsidR="00BD11A6">
        <w:rPr>
          <w:color w:val="auto"/>
        </w:rPr>
        <w:t xml:space="preserve">These surveys </w:t>
      </w:r>
      <w:r w:rsidR="00446C52">
        <w:rPr>
          <w:color w:val="auto"/>
        </w:rPr>
        <w:t>reported</w:t>
      </w:r>
      <w:r w:rsidR="00BD11A6">
        <w:rPr>
          <w:color w:val="auto"/>
        </w:rPr>
        <w:t xml:space="preserve"> overall high levels of satisfaction </w:t>
      </w:r>
      <w:r w:rsidR="00446C52">
        <w:rPr>
          <w:color w:val="auto"/>
        </w:rPr>
        <w:t>for</w:t>
      </w:r>
      <w:r w:rsidR="00BD11A6">
        <w:rPr>
          <w:color w:val="auto"/>
        </w:rPr>
        <w:t xml:space="preserve"> students and alumni and highlighted some minor areas where DFAT or delivery partners could improve or change. </w:t>
      </w:r>
    </w:p>
    <w:p w:rsidR="00D0075C" w:rsidRDefault="00A546BB" w:rsidP="00A40FF5">
      <w:pPr>
        <w:rPr>
          <w:color w:val="auto"/>
        </w:rPr>
      </w:pPr>
      <w:r>
        <w:rPr>
          <w:color w:val="auto"/>
        </w:rPr>
        <w:t>A</w:t>
      </w:r>
      <w:r w:rsidRPr="00A546BB">
        <w:rPr>
          <w:color w:val="auto"/>
        </w:rPr>
        <w:t xml:space="preserve">n </w:t>
      </w:r>
      <w:r w:rsidRPr="00734D26">
        <w:rPr>
          <w:b/>
          <w:bCs/>
          <w:color w:val="auto"/>
        </w:rPr>
        <w:t>independent evaluation</w:t>
      </w:r>
      <w:r w:rsidRPr="00A546BB">
        <w:rPr>
          <w:color w:val="auto"/>
        </w:rPr>
        <w:t xml:space="preserve"> of the Australia Awards Global Strategy</w:t>
      </w:r>
      <w:r>
        <w:rPr>
          <w:color w:val="auto"/>
        </w:rPr>
        <w:t xml:space="preserve"> was </w:t>
      </w:r>
      <w:r w:rsidRPr="00A546BB">
        <w:rPr>
          <w:color w:val="auto"/>
        </w:rPr>
        <w:t>completed on 4 April 2019</w:t>
      </w:r>
      <w:r w:rsidR="00BD11A6">
        <w:rPr>
          <w:color w:val="auto"/>
        </w:rPr>
        <w:t xml:space="preserve">. A number of </w:t>
      </w:r>
      <w:r w:rsidR="00444D57">
        <w:rPr>
          <w:color w:val="auto"/>
        </w:rPr>
        <w:t>p</w:t>
      </w:r>
      <w:r w:rsidR="00BD11A6">
        <w:rPr>
          <w:color w:val="auto"/>
        </w:rPr>
        <w:t xml:space="preserve">osts also undertook evaluations to inform their future programming </w:t>
      </w:r>
      <w:r w:rsidR="00011B76">
        <w:rPr>
          <w:color w:val="auto"/>
        </w:rPr>
        <w:t>(</w:t>
      </w:r>
      <w:r w:rsidR="00011B76" w:rsidRPr="008C7AB1">
        <w:rPr>
          <w:color w:val="auto"/>
        </w:rPr>
        <w:t xml:space="preserve">Annex </w:t>
      </w:r>
      <w:r w:rsidR="00BD11A6" w:rsidRPr="008C7AB1">
        <w:rPr>
          <w:color w:val="auto"/>
        </w:rPr>
        <w:t>B</w:t>
      </w:r>
      <w:r w:rsidR="00011B76">
        <w:rPr>
          <w:color w:val="auto"/>
        </w:rPr>
        <w:t xml:space="preserve">). </w:t>
      </w:r>
    </w:p>
    <w:p w:rsidR="00BD11A6" w:rsidRDefault="00A546BB" w:rsidP="0049079B">
      <w:pPr>
        <w:rPr>
          <w:color w:val="auto"/>
        </w:rPr>
      </w:pPr>
      <w:r>
        <w:rPr>
          <w:color w:val="auto"/>
        </w:rPr>
        <w:t>Australia Awards continues to perform strongly.</w:t>
      </w:r>
      <w:r w:rsidR="00011B76">
        <w:rPr>
          <w:color w:val="auto"/>
        </w:rPr>
        <w:t xml:space="preserve"> </w:t>
      </w:r>
    </w:p>
    <w:p w:rsidR="00B3350A" w:rsidRDefault="00446C52" w:rsidP="0049079B">
      <w:pPr>
        <w:rPr>
          <w:color w:val="auto"/>
        </w:rPr>
      </w:pPr>
      <w:r>
        <w:rPr>
          <w:color w:val="auto"/>
        </w:rPr>
        <w:t xml:space="preserve">Progress under </w:t>
      </w:r>
      <w:r w:rsidR="006D1F5F">
        <w:rPr>
          <w:color w:val="auto"/>
        </w:rPr>
        <w:t xml:space="preserve">Outcome 3 </w:t>
      </w:r>
      <w:r w:rsidR="00EB4009">
        <w:rPr>
          <w:color w:val="auto"/>
        </w:rPr>
        <w:t>needs to be closely monitored</w:t>
      </w:r>
      <w:r w:rsidR="006D1F5F">
        <w:rPr>
          <w:color w:val="auto"/>
        </w:rPr>
        <w:t xml:space="preserve"> </w:t>
      </w:r>
      <w:r w:rsidR="00EB4009">
        <w:rPr>
          <w:color w:val="auto"/>
        </w:rPr>
        <w:t xml:space="preserve">due to </w:t>
      </w:r>
      <w:r w:rsidR="006D1F5F">
        <w:rPr>
          <w:color w:val="auto"/>
        </w:rPr>
        <w:t>the difficult</w:t>
      </w:r>
      <w:r w:rsidR="00EB4009">
        <w:rPr>
          <w:color w:val="auto"/>
        </w:rPr>
        <w:t xml:space="preserve">ies </w:t>
      </w:r>
      <w:r w:rsidR="006D1F5F">
        <w:rPr>
          <w:color w:val="auto"/>
        </w:rPr>
        <w:t xml:space="preserve">in </w:t>
      </w:r>
      <w:r>
        <w:rPr>
          <w:color w:val="auto"/>
        </w:rPr>
        <w:t xml:space="preserve">tracking </w:t>
      </w:r>
      <w:r w:rsidR="006D1F5F">
        <w:rPr>
          <w:color w:val="auto"/>
        </w:rPr>
        <w:t xml:space="preserve">and </w:t>
      </w:r>
      <w:r w:rsidR="00444D57">
        <w:rPr>
          <w:color w:val="auto"/>
        </w:rPr>
        <w:t xml:space="preserve">annually </w:t>
      </w:r>
      <w:r w:rsidR="006D1F5F">
        <w:rPr>
          <w:color w:val="auto"/>
        </w:rPr>
        <w:t>measuring outcome</w:t>
      </w:r>
      <w:r>
        <w:rPr>
          <w:color w:val="auto"/>
        </w:rPr>
        <w:t>s</w:t>
      </w:r>
      <w:r w:rsidR="006D1F5F">
        <w:rPr>
          <w:color w:val="auto"/>
        </w:rPr>
        <w:t xml:space="preserve"> and</w:t>
      </w:r>
      <w:r>
        <w:rPr>
          <w:color w:val="auto"/>
        </w:rPr>
        <w:t xml:space="preserve"> because</w:t>
      </w:r>
      <w:r w:rsidR="006D1F5F">
        <w:rPr>
          <w:color w:val="auto"/>
        </w:rPr>
        <w:t xml:space="preserve"> its success </w:t>
      </w:r>
      <w:r>
        <w:rPr>
          <w:color w:val="auto"/>
        </w:rPr>
        <w:t xml:space="preserve">is </w:t>
      </w:r>
      <w:r w:rsidR="006D1F5F">
        <w:rPr>
          <w:color w:val="auto"/>
        </w:rPr>
        <w:t xml:space="preserve">dependent on </w:t>
      </w:r>
      <w:r>
        <w:rPr>
          <w:color w:val="auto"/>
        </w:rPr>
        <w:t>factors outside</w:t>
      </w:r>
      <w:r w:rsidR="006D1F5F">
        <w:rPr>
          <w:color w:val="auto"/>
        </w:rPr>
        <w:t xml:space="preserve"> the scope of the program. The results from the annual on-award surveys</w:t>
      </w:r>
      <w:r w:rsidR="00EB4009">
        <w:rPr>
          <w:color w:val="auto"/>
        </w:rPr>
        <w:t xml:space="preserve">, </w:t>
      </w:r>
      <w:r w:rsidR="006D1F5F">
        <w:rPr>
          <w:color w:val="auto"/>
        </w:rPr>
        <w:t xml:space="preserve">the </w:t>
      </w:r>
      <w:r w:rsidR="00756E5D" w:rsidRPr="000A2601">
        <w:rPr>
          <w:rFonts w:cstheme="minorHAnsi"/>
          <w:color w:val="auto"/>
        </w:rPr>
        <w:t>Global Tracer Facility</w:t>
      </w:r>
      <w:r w:rsidR="00756E5D">
        <w:rPr>
          <w:color w:val="auto"/>
        </w:rPr>
        <w:t xml:space="preserve"> s</w:t>
      </w:r>
      <w:r w:rsidR="006D1F5F">
        <w:rPr>
          <w:color w:val="auto"/>
        </w:rPr>
        <w:t>urveys and case studies</w:t>
      </w:r>
      <w:r w:rsidR="00EB4009">
        <w:rPr>
          <w:color w:val="auto"/>
        </w:rPr>
        <w:t xml:space="preserve">, and the AQCs </w:t>
      </w:r>
      <w:r w:rsidR="006D1F5F">
        <w:rPr>
          <w:color w:val="auto"/>
        </w:rPr>
        <w:t>provide strong evidence to support the green ratings of the program’s progress and achievements</w:t>
      </w:r>
      <w:r w:rsidR="00EB4009">
        <w:rPr>
          <w:color w:val="auto"/>
        </w:rPr>
        <w:t xml:space="preserve"> for the other outcomes</w:t>
      </w:r>
      <w:r w:rsidR="006D1F5F">
        <w:rPr>
          <w:color w:val="auto"/>
        </w:rPr>
        <w:t xml:space="preserve">. </w:t>
      </w:r>
    </w:p>
    <w:p w:rsidR="00D0075C" w:rsidRDefault="00D0075C" w:rsidP="0049079B">
      <w:pPr>
        <w:rPr>
          <w:color w:val="auto"/>
        </w:rPr>
      </w:pPr>
      <w:r>
        <w:rPr>
          <w:color w:val="auto"/>
        </w:rPr>
        <w:t>In 2019 th</w:t>
      </w:r>
      <w:r w:rsidRPr="00734D26">
        <w:rPr>
          <w:color w:val="auto"/>
        </w:rPr>
        <w:t xml:space="preserve">e </w:t>
      </w:r>
      <w:r w:rsidRPr="00734D26">
        <w:rPr>
          <w:b/>
          <w:bCs/>
          <w:color w:val="auto"/>
        </w:rPr>
        <w:t>Australia Awards Fellowships</w:t>
      </w:r>
      <w:r w:rsidRPr="00734D26">
        <w:rPr>
          <w:color w:val="auto"/>
        </w:rPr>
        <w:t xml:space="preserve"> program were discontinued. </w:t>
      </w:r>
      <w:r w:rsidR="00957383" w:rsidRPr="00734D26">
        <w:rPr>
          <w:color w:val="auto"/>
        </w:rPr>
        <w:t xml:space="preserve">The Fellowships were a small part of the overall Australia Awards program and the funding has been redirected across the aid portfolio. </w:t>
      </w:r>
      <w:r w:rsidR="00E80BB6" w:rsidRPr="00734D26">
        <w:rPr>
          <w:color w:val="auto"/>
        </w:rPr>
        <w:t xml:space="preserve">Australia Awards scholarships for long-term study remain the highest priority. </w:t>
      </w:r>
    </w:p>
    <w:p w:rsidR="00BD11A6" w:rsidRDefault="00ED51DC" w:rsidP="0049079B">
      <w:pPr>
        <w:rPr>
          <w:color w:val="auto"/>
        </w:rPr>
      </w:pPr>
      <w:r w:rsidRPr="00ED51DC">
        <w:rPr>
          <w:color w:val="auto"/>
        </w:rPr>
        <w:t xml:space="preserve">The Australia Awards are also contributing to DFAT’s </w:t>
      </w:r>
      <w:r w:rsidRPr="00734D26">
        <w:rPr>
          <w:b/>
          <w:bCs/>
          <w:color w:val="auto"/>
        </w:rPr>
        <w:t>disability inclusion and gender equality</w:t>
      </w:r>
      <w:r w:rsidRPr="00ED51DC">
        <w:rPr>
          <w:color w:val="auto"/>
        </w:rPr>
        <w:t xml:space="preserve"> efforts. In 2019 approximately 55 per cent of all awards went to women and 3 per cent to people who identify as living with a disability. The Australia Awards Women’s Leadership Initiative is supporting over 200 Pacific women to develop leadership skills and capabilities, including matching 35 women with Australian mentors.</w:t>
      </w:r>
    </w:p>
    <w:p w:rsidR="00734D26" w:rsidRPr="00734D26" w:rsidRDefault="00734D26" w:rsidP="0049079B">
      <w:pPr>
        <w:rPr>
          <w:b/>
          <w:bCs/>
          <w:color w:val="auto"/>
        </w:rPr>
      </w:pPr>
    </w:p>
    <w:p w:rsidR="002A51CA" w:rsidRPr="008C2F58" w:rsidRDefault="002A51CA" w:rsidP="002A51CA">
      <w:pPr>
        <w:rPr>
          <w:b/>
          <w:sz w:val="24"/>
        </w:rPr>
      </w:pPr>
      <w:r w:rsidRPr="008C2F58">
        <w:rPr>
          <w:b/>
          <w:sz w:val="24"/>
        </w:rPr>
        <w:t xml:space="preserve">Table </w:t>
      </w:r>
      <w:r w:rsidR="00606915">
        <w:rPr>
          <w:b/>
          <w:sz w:val="24"/>
        </w:rPr>
        <w:t>1</w:t>
      </w:r>
      <w:r w:rsidRPr="008C2F58">
        <w:rPr>
          <w:b/>
          <w:sz w:val="24"/>
        </w:rPr>
        <w:t xml:space="preserve"> Rating of the Program's Progress towards Australia</w:t>
      </w:r>
      <w:r w:rsidR="006A6A72">
        <w:rPr>
          <w:b/>
          <w:sz w:val="24"/>
        </w:rPr>
        <w:t xml:space="preserve"> Awards Long-term Outcomes</w:t>
      </w:r>
    </w:p>
    <w:tbl>
      <w:tblPr>
        <w:tblStyle w:val="AP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6"/>
        <w:gridCol w:w="1416"/>
        <w:gridCol w:w="1416"/>
      </w:tblGrid>
      <w:tr w:rsidR="0093764B" w:rsidRPr="00812509" w:rsidTr="0093764B">
        <w:trPr>
          <w:cnfStyle w:val="000000010000" w:firstRow="0" w:lastRow="0" w:firstColumn="0" w:lastColumn="0" w:oddVBand="0" w:evenVBand="0" w:oddHBand="0" w:evenHBand="1" w:firstRowFirstColumn="0" w:firstRowLastColumn="0" w:lastRowFirstColumn="0" w:lastRowLastColumn="0"/>
          <w:trHeight w:val="405"/>
        </w:trPr>
        <w:tc>
          <w:tcPr>
            <w:tcW w:w="6762" w:type="dxa"/>
          </w:tcPr>
          <w:p w:rsidR="0093764B" w:rsidRPr="00812509" w:rsidRDefault="0093764B" w:rsidP="00D05246">
            <w:pPr>
              <w:pStyle w:val="TableTextColumnHeading"/>
            </w:pPr>
            <w:r w:rsidRPr="00812509">
              <w:rPr>
                <w:noProof/>
              </w:rPr>
              <w:drawing>
                <wp:anchor distT="0" distB="0" distL="114300" distR="114300" simplePos="0" relativeHeight="251685888" behindDoc="0" locked="0" layoutInCell="1" allowOverlap="1" wp14:anchorId="2CCFDDD4" wp14:editId="3D7DDD84">
                  <wp:simplePos x="0" y="0"/>
                  <wp:positionH relativeFrom="column">
                    <wp:posOffset>0</wp:posOffset>
                  </wp:positionH>
                  <wp:positionV relativeFrom="paragraph">
                    <wp:posOffset>0</wp:posOffset>
                  </wp:positionV>
                  <wp:extent cx="1857375" cy="228600"/>
                  <wp:effectExtent l="0" t="0" r="9525" b="0"/>
                  <wp:wrapNone/>
                  <wp:docPr id="35" name="Picture 35"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F5F">
              <w:t>Outcome</w:t>
            </w:r>
          </w:p>
        </w:tc>
        <w:tc>
          <w:tcPr>
            <w:tcW w:w="1389" w:type="dxa"/>
          </w:tcPr>
          <w:p w:rsidR="0093764B" w:rsidRPr="00812509" w:rsidRDefault="0093764B" w:rsidP="0093764B">
            <w:pPr>
              <w:pStyle w:val="TableTextColumnHeading"/>
              <w:jc w:val="center"/>
            </w:pPr>
            <w:r w:rsidRPr="00812509">
              <w:t>Previous Rating</w:t>
            </w:r>
          </w:p>
        </w:tc>
        <w:tc>
          <w:tcPr>
            <w:tcW w:w="1375" w:type="dxa"/>
          </w:tcPr>
          <w:p w:rsidR="0093764B" w:rsidRPr="00812509" w:rsidRDefault="0093764B" w:rsidP="0093764B">
            <w:pPr>
              <w:pStyle w:val="TableTextColumnHeading"/>
              <w:jc w:val="center"/>
            </w:pPr>
            <w:r w:rsidRPr="00812509">
              <w:t>Current Rating</w:t>
            </w:r>
          </w:p>
        </w:tc>
      </w:tr>
      <w:tr w:rsidR="0093764B" w:rsidRPr="00812509" w:rsidTr="0093764B">
        <w:trPr>
          <w:cnfStyle w:val="000000010000" w:firstRow="0" w:lastRow="0" w:firstColumn="0" w:lastColumn="0" w:oddVBand="0" w:evenVBand="0" w:oddHBand="0" w:evenHBand="1" w:firstRowFirstColumn="0" w:firstRowLastColumn="0" w:lastRowFirstColumn="0" w:lastRowLastColumn="0"/>
        </w:trPr>
        <w:tc>
          <w:tcPr>
            <w:tcW w:w="6762" w:type="dxa"/>
          </w:tcPr>
          <w:p w:rsidR="0093764B" w:rsidRPr="00812509" w:rsidRDefault="0093764B" w:rsidP="00F45A59">
            <w:pPr>
              <w:pStyle w:val="TableTextEntries"/>
              <w:numPr>
                <w:ilvl w:val="0"/>
                <w:numId w:val="11"/>
              </w:numPr>
              <w:ind w:left="275" w:hanging="304"/>
              <w:rPr>
                <w:rFonts w:asciiTheme="minorHAnsi" w:hAnsiTheme="minorHAnsi"/>
              </w:rPr>
            </w:pPr>
            <w:r>
              <w:rPr>
                <w:rFonts w:asciiTheme="minorHAnsi" w:hAnsiTheme="minorHAnsi"/>
              </w:rPr>
              <w:t>Alumni are using their skills and networks to contribute to sustainable development.</w:t>
            </w:r>
          </w:p>
        </w:tc>
        <w:tc>
          <w:tcPr>
            <w:tcW w:w="1389" w:type="dxa"/>
            <w:shd w:val="clear" w:color="auto" w:fill="72AF2F"/>
            <w:noWrap/>
          </w:tcPr>
          <w:p w:rsidR="0093764B" w:rsidRPr="00812509" w:rsidRDefault="0093764B" w:rsidP="0049079B">
            <w:pPr>
              <w:pStyle w:val="TableTextEntries"/>
              <w:jc w:val="center"/>
              <w:rPr>
                <w:rFonts w:asciiTheme="minorHAnsi" w:hAnsiTheme="minorHAnsi"/>
                <w:color w:val="FFFFFF" w:themeColor="background1"/>
              </w:rPr>
            </w:pPr>
            <w:r w:rsidRPr="00812509">
              <w:rPr>
                <w:rFonts w:asciiTheme="minorHAnsi" w:hAnsiTheme="minorHAnsi"/>
                <w:color w:val="FFFFFF" w:themeColor="background1"/>
              </w:rPr>
              <w:t>Green</w:t>
            </w:r>
          </w:p>
        </w:tc>
        <w:tc>
          <w:tcPr>
            <w:tcW w:w="1375" w:type="dxa"/>
            <w:shd w:val="clear" w:color="auto" w:fill="7FB64D" w:themeFill="accent3" w:themeFillShade="BF"/>
            <w:noWrap/>
          </w:tcPr>
          <w:p w:rsidR="0093764B" w:rsidRPr="00812509" w:rsidRDefault="0093764B" w:rsidP="0049079B">
            <w:pPr>
              <w:pStyle w:val="TableTextEntries"/>
              <w:jc w:val="center"/>
              <w:rPr>
                <w:rFonts w:asciiTheme="minorHAnsi" w:hAnsiTheme="minorHAnsi"/>
                <w:color w:val="FFFFFF" w:themeColor="background1"/>
              </w:rPr>
            </w:pPr>
            <w:r>
              <w:rPr>
                <w:rFonts w:asciiTheme="minorHAnsi" w:hAnsiTheme="minorHAnsi"/>
                <w:color w:val="FFFFFF" w:themeColor="background1"/>
              </w:rPr>
              <w:t>Green</w:t>
            </w:r>
          </w:p>
        </w:tc>
      </w:tr>
      <w:tr w:rsidR="0093764B" w:rsidRPr="00812509" w:rsidTr="0093764B">
        <w:trPr>
          <w:cnfStyle w:val="000000010000" w:firstRow="0" w:lastRow="0" w:firstColumn="0" w:lastColumn="0" w:oddVBand="0" w:evenVBand="0" w:oddHBand="0" w:evenHBand="1" w:firstRowFirstColumn="0" w:firstRowLastColumn="0" w:lastRowFirstColumn="0" w:lastRowLastColumn="0"/>
        </w:trPr>
        <w:tc>
          <w:tcPr>
            <w:tcW w:w="6762" w:type="dxa"/>
          </w:tcPr>
          <w:p w:rsidR="0093764B" w:rsidRPr="00812509" w:rsidRDefault="0093764B" w:rsidP="00F45A59">
            <w:pPr>
              <w:pStyle w:val="TableTextEntries"/>
              <w:numPr>
                <w:ilvl w:val="0"/>
                <w:numId w:val="11"/>
              </w:numPr>
              <w:ind w:left="275" w:hanging="304"/>
              <w:rPr>
                <w:rFonts w:asciiTheme="minorHAnsi" w:hAnsiTheme="minorHAnsi"/>
              </w:rPr>
            </w:pPr>
            <w:r>
              <w:rPr>
                <w:rFonts w:asciiTheme="minorHAnsi" w:hAnsiTheme="minorHAnsi"/>
              </w:rPr>
              <w:t>Alumni are contributing to cooperation between Australia and partner countries.</w:t>
            </w:r>
          </w:p>
        </w:tc>
        <w:tc>
          <w:tcPr>
            <w:tcW w:w="1389" w:type="dxa"/>
            <w:shd w:val="clear" w:color="auto" w:fill="7FB64D" w:themeFill="accent3" w:themeFillShade="BF"/>
            <w:noWrap/>
          </w:tcPr>
          <w:p w:rsidR="0093764B" w:rsidRPr="00702B24" w:rsidRDefault="0093764B" w:rsidP="0049079B">
            <w:pPr>
              <w:pStyle w:val="TableTextEntries"/>
              <w:jc w:val="center"/>
              <w:rPr>
                <w:rFonts w:asciiTheme="minorHAnsi" w:hAnsiTheme="minorHAnsi"/>
                <w:color w:val="FFFFFF" w:themeColor="background1"/>
                <w:highlight w:val="darkGreen"/>
              </w:rPr>
            </w:pPr>
            <w:r w:rsidRPr="0049079B">
              <w:rPr>
                <w:rFonts w:asciiTheme="minorHAnsi" w:hAnsiTheme="minorHAnsi"/>
                <w:color w:val="FFFFFF" w:themeColor="background1"/>
              </w:rPr>
              <w:t>Green</w:t>
            </w:r>
          </w:p>
        </w:tc>
        <w:tc>
          <w:tcPr>
            <w:tcW w:w="1375" w:type="dxa"/>
            <w:shd w:val="clear" w:color="auto" w:fill="7FB64D" w:themeFill="accent3" w:themeFillShade="BF"/>
            <w:noWrap/>
          </w:tcPr>
          <w:p w:rsidR="0093764B" w:rsidRPr="00812509" w:rsidRDefault="0093764B" w:rsidP="0049079B">
            <w:pPr>
              <w:pStyle w:val="TableTextEntries"/>
              <w:jc w:val="center"/>
              <w:rPr>
                <w:rFonts w:asciiTheme="minorHAnsi" w:hAnsiTheme="minorHAnsi"/>
                <w:color w:val="FFFFFF" w:themeColor="background1"/>
              </w:rPr>
            </w:pPr>
            <w:r>
              <w:rPr>
                <w:rFonts w:asciiTheme="minorHAnsi" w:hAnsiTheme="minorHAnsi"/>
                <w:color w:val="FFFFFF" w:themeColor="background1"/>
              </w:rPr>
              <w:t>Green</w:t>
            </w:r>
          </w:p>
        </w:tc>
      </w:tr>
      <w:tr w:rsidR="0093764B" w:rsidRPr="00812509" w:rsidTr="0093764B">
        <w:trPr>
          <w:cnfStyle w:val="000000010000" w:firstRow="0" w:lastRow="0" w:firstColumn="0" w:lastColumn="0" w:oddVBand="0" w:evenVBand="0" w:oddHBand="0" w:evenHBand="1" w:firstRowFirstColumn="0" w:firstRowLastColumn="0" w:lastRowFirstColumn="0" w:lastRowLastColumn="0"/>
        </w:trPr>
        <w:tc>
          <w:tcPr>
            <w:tcW w:w="6762" w:type="dxa"/>
          </w:tcPr>
          <w:p w:rsidR="0093764B" w:rsidRPr="00812509" w:rsidRDefault="0093764B" w:rsidP="00F45A59">
            <w:pPr>
              <w:pStyle w:val="TableTextEntries"/>
              <w:numPr>
                <w:ilvl w:val="0"/>
                <w:numId w:val="11"/>
              </w:numPr>
              <w:ind w:left="275" w:hanging="304"/>
              <w:rPr>
                <w:rFonts w:asciiTheme="minorHAnsi" w:hAnsiTheme="minorHAnsi"/>
              </w:rPr>
            </w:pPr>
            <w:r>
              <w:rPr>
                <w:rFonts w:asciiTheme="minorHAnsi" w:hAnsiTheme="minorHAnsi"/>
              </w:rPr>
              <w:t xml:space="preserve">Effective, mutually advantageous partnerships between institutions and business in Australia and partner countries  </w:t>
            </w:r>
          </w:p>
        </w:tc>
        <w:tc>
          <w:tcPr>
            <w:tcW w:w="1389" w:type="dxa"/>
            <w:shd w:val="clear" w:color="auto" w:fill="FFC000"/>
            <w:noWrap/>
          </w:tcPr>
          <w:p w:rsidR="0093764B" w:rsidRPr="00812509" w:rsidRDefault="0093764B" w:rsidP="0049079B">
            <w:pPr>
              <w:pStyle w:val="TableTextEntries"/>
              <w:jc w:val="center"/>
              <w:rPr>
                <w:rFonts w:asciiTheme="minorHAnsi" w:hAnsiTheme="minorHAnsi"/>
                <w:color w:val="FFFFFF" w:themeColor="background1"/>
              </w:rPr>
            </w:pPr>
            <w:r>
              <w:rPr>
                <w:rFonts w:asciiTheme="minorHAnsi" w:hAnsiTheme="minorHAnsi"/>
                <w:color w:val="FFFFFF" w:themeColor="background1"/>
              </w:rPr>
              <w:t>Amber</w:t>
            </w:r>
          </w:p>
        </w:tc>
        <w:tc>
          <w:tcPr>
            <w:tcW w:w="1375" w:type="dxa"/>
            <w:shd w:val="clear" w:color="auto" w:fill="FFC000"/>
            <w:noWrap/>
          </w:tcPr>
          <w:p w:rsidR="0093764B" w:rsidRPr="00812509" w:rsidRDefault="0093764B" w:rsidP="0049079B">
            <w:pPr>
              <w:pStyle w:val="TableTextEntries"/>
              <w:jc w:val="center"/>
              <w:rPr>
                <w:rFonts w:asciiTheme="minorHAnsi" w:hAnsiTheme="minorHAnsi"/>
                <w:color w:val="FFFFFF" w:themeColor="background1"/>
              </w:rPr>
            </w:pPr>
            <w:r>
              <w:rPr>
                <w:rFonts w:asciiTheme="minorHAnsi" w:hAnsiTheme="minorHAnsi"/>
                <w:color w:val="FFFFFF" w:themeColor="background1"/>
              </w:rPr>
              <w:t>Amber</w:t>
            </w:r>
          </w:p>
        </w:tc>
      </w:tr>
      <w:tr w:rsidR="0093764B" w:rsidRPr="00812509" w:rsidTr="0093764B">
        <w:trPr>
          <w:cnfStyle w:val="000000010000" w:firstRow="0" w:lastRow="0" w:firstColumn="0" w:lastColumn="0" w:oddVBand="0" w:evenVBand="0" w:oddHBand="0" w:evenHBand="1" w:firstRowFirstColumn="0" w:firstRowLastColumn="0" w:lastRowFirstColumn="0" w:lastRowLastColumn="0"/>
        </w:trPr>
        <w:tc>
          <w:tcPr>
            <w:tcW w:w="6762" w:type="dxa"/>
          </w:tcPr>
          <w:p w:rsidR="0093764B" w:rsidRDefault="0093764B" w:rsidP="00F45A59">
            <w:pPr>
              <w:pStyle w:val="TableTextEntries"/>
              <w:numPr>
                <w:ilvl w:val="0"/>
                <w:numId w:val="11"/>
              </w:numPr>
              <w:ind w:left="275" w:hanging="304"/>
              <w:rPr>
                <w:rFonts w:asciiTheme="minorHAnsi" w:hAnsiTheme="minorHAnsi"/>
              </w:rPr>
            </w:pPr>
            <w:r>
              <w:rPr>
                <w:rFonts w:asciiTheme="minorHAnsi" w:hAnsiTheme="minorHAnsi"/>
              </w:rPr>
              <w:t>Alumni view Australia, Australians and Australian expertise positively.</w:t>
            </w:r>
          </w:p>
        </w:tc>
        <w:tc>
          <w:tcPr>
            <w:tcW w:w="1389" w:type="dxa"/>
            <w:shd w:val="clear" w:color="auto" w:fill="7FB64E" w:themeFill="accent6"/>
            <w:noWrap/>
          </w:tcPr>
          <w:p w:rsidR="0093764B" w:rsidRPr="00DF1325" w:rsidRDefault="0093764B" w:rsidP="0049079B">
            <w:pPr>
              <w:pStyle w:val="TableTextEntries"/>
              <w:jc w:val="center"/>
              <w:rPr>
                <w:rFonts w:asciiTheme="minorHAnsi" w:hAnsiTheme="minorHAnsi"/>
                <w:color w:val="FFFFFF" w:themeColor="background1"/>
                <w:highlight w:val="darkGreen"/>
              </w:rPr>
            </w:pPr>
            <w:r w:rsidRPr="0049079B">
              <w:rPr>
                <w:rFonts w:asciiTheme="minorHAnsi" w:hAnsiTheme="minorHAnsi"/>
                <w:color w:val="FFFFFF" w:themeColor="background1"/>
              </w:rPr>
              <w:t>Green</w:t>
            </w:r>
          </w:p>
        </w:tc>
        <w:tc>
          <w:tcPr>
            <w:tcW w:w="1375" w:type="dxa"/>
            <w:shd w:val="clear" w:color="auto" w:fill="7FB64D" w:themeFill="accent3" w:themeFillShade="BF"/>
            <w:noWrap/>
          </w:tcPr>
          <w:p w:rsidR="0093764B" w:rsidRPr="00812509" w:rsidRDefault="0093764B" w:rsidP="0049079B">
            <w:pPr>
              <w:pStyle w:val="TableTextEntries"/>
              <w:jc w:val="center"/>
              <w:rPr>
                <w:rFonts w:asciiTheme="minorHAnsi" w:hAnsiTheme="minorHAnsi"/>
                <w:color w:val="FFFFFF" w:themeColor="background1"/>
              </w:rPr>
            </w:pPr>
            <w:r>
              <w:rPr>
                <w:rFonts w:asciiTheme="minorHAnsi" w:hAnsiTheme="minorHAnsi"/>
                <w:color w:val="FFFFFF" w:themeColor="background1"/>
              </w:rPr>
              <w:t>Green</w:t>
            </w:r>
          </w:p>
        </w:tc>
      </w:tr>
    </w:tbl>
    <w:p w:rsidR="00355959" w:rsidRPr="00812509" w:rsidRDefault="00355959" w:rsidP="00355959">
      <w:pPr>
        <w:pStyle w:val="Note"/>
        <w:rPr>
          <w:rFonts w:asciiTheme="minorHAnsi" w:hAnsiTheme="minorHAnsi"/>
          <w:sz w:val="16"/>
        </w:rPr>
      </w:pPr>
      <w:r w:rsidRPr="00812509">
        <w:rPr>
          <w:rFonts w:asciiTheme="minorHAnsi" w:hAnsiTheme="minorHAnsi"/>
          <w:sz w:val="16"/>
        </w:rPr>
        <w:t xml:space="preserve">Note: </w:t>
      </w:r>
    </w:p>
    <w:p w:rsidR="00355959" w:rsidRPr="00812509" w:rsidRDefault="00355959" w:rsidP="00355959">
      <w:pPr>
        <w:pStyle w:val="Note"/>
        <w:rPr>
          <w:rFonts w:asciiTheme="minorHAnsi" w:hAnsiTheme="minorHAnsi"/>
          <w:sz w:val="16"/>
        </w:rPr>
      </w:pPr>
      <w:r w:rsidRPr="00812509">
        <w:rPr>
          <w:rFonts w:asciiTheme="minorHAnsi" w:hAnsiTheme="minorHAnsi"/>
          <w:color w:val="72AF2F"/>
          <w:sz w:val="16"/>
        </w:rPr>
        <w:sym w:font="Webdings" w:char="F067"/>
      </w:r>
      <w:r w:rsidRPr="00812509">
        <w:rPr>
          <w:rFonts w:asciiTheme="minorHAnsi" w:hAnsiTheme="minorHAnsi"/>
          <w:sz w:val="16"/>
        </w:rPr>
        <w:t> </w:t>
      </w:r>
      <w:r w:rsidRPr="00812509">
        <w:rPr>
          <w:rFonts w:asciiTheme="minorHAnsi" w:hAnsiTheme="minorHAnsi"/>
          <w:sz w:val="16"/>
        </w:rPr>
        <w:t xml:space="preserve"> Green. Progress is as expected at this stage of implementation and it is likely that the objective will be achieved. Standard program management practices are sufficient.</w:t>
      </w:r>
    </w:p>
    <w:p w:rsidR="00355959" w:rsidRPr="00812509" w:rsidRDefault="00355959" w:rsidP="00355959">
      <w:pPr>
        <w:pStyle w:val="Note"/>
        <w:rPr>
          <w:rFonts w:asciiTheme="minorHAnsi" w:hAnsiTheme="minorHAnsi"/>
          <w:sz w:val="16"/>
        </w:rPr>
      </w:pPr>
      <w:r w:rsidRPr="00812509">
        <w:rPr>
          <w:rFonts w:asciiTheme="minorHAnsi" w:hAnsiTheme="minorHAnsi"/>
          <w:color w:val="E36C0A"/>
          <w:sz w:val="16"/>
        </w:rPr>
        <w:sym w:font="Webdings" w:char="F067"/>
      </w:r>
      <w:r w:rsidRPr="00812509">
        <w:rPr>
          <w:rFonts w:asciiTheme="minorHAnsi" w:hAnsiTheme="minorHAnsi"/>
          <w:sz w:val="16"/>
        </w:rPr>
        <w:t> </w:t>
      </w:r>
      <w:r w:rsidRPr="00812509">
        <w:rPr>
          <w:rFonts w:asciiTheme="minorHAnsi" w:hAnsiTheme="minorHAnsi"/>
          <w:sz w:val="16"/>
        </w:rPr>
        <w:t xml:space="preserve"> Amber. Progress is somewhat less than expected at this stage of implementation and restorative action will be necessary if the objective is to be achieved. Close performance monitoring is recommended.</w:t>
      </w:r>
    </w:p>
    <w:p w:rsidR="00355959" w:rsidRDefault="00355959" w:rsidP="00355959">
      <w:pPr>
        <w:pStyle w:val="Note"/>
        <w:rPr>
          <w:rFonts w:asciiTheme="minorHAnsi" w:hAnsiTheme="minorHAnsi"/>
          <w:sz w:val="16"/>
        </w:rPr>
      </w:pPr>
      <w:r w:rsidRPr="00812509">
        <w:rPr>
          <w:rFonts w:asciiTheme="minorHAnsi" w:hAnsiTheme="minorHAnsi"/>
          <w:color w:val="FF0000"/>
          <w:sz w:val="16"/>
        </w:rPr>
        <w:sym w:font="Webdings" w:char="F067"/>
      </w:r>
      <w:r w:rsidRPr="00812509">
        <w:rPr>
          <w:rFonts w:asciiTheme="minorHAnsi" w:hAnsiTheme="minorHAnsi"/>
          <w:sz w:val="16"/>
        </w:rPr>
        <w:t> </w:t>
      </w:r>
      <w:r w:rsidRPr="00812509">
        <w:rPr>
          <w:rFonts w:asciiTheme="minorHAnsi" w:hAnsiTheme="minorHAnsi"/>
          <w:sz w:val="16"/>
        </w:rPr>
        <w:t xml:space="preserve"> Red. Progress is significantly less than expected at this stage of implementation and the objective is not likely to be met given available resources and priorities. Recasting the objective may be required.</w:t>
      </w:r>
    </w:p>
    <w:p w:rsidR="002F6B63" w:rsidRDefault="002F6B63">
      <w:pPr>
        <w:suppressAutoHyphens w:val="0"/>
        <w:spacing w:before="0" w:after="120" w:line="440" w:lineRule="atLeast"/>
        <w:rPr>
          <w:rFonts w:asciiTheme="majorHAnsi" w:eastAsiaTheme="majorEastAsia" w:hAnsiTheme="majorHAnsi" w:cstheme="majorBidi"/>
          <w:caps/>
          <w:sz w:val="32"/>
          <w:szCs w:val="32"/>
        </w:rPr>
      </w:pPr>
      <w:r>
        <w:rPr>
          <w:rFonts w:asciiTheme="majorHAnsi" w:eastAsiaTheme="majorEastAsia" w:hAnsiTheme="majorHAnsi" w:cstheme="majorBidi"/>
          <w:caps/>
          <w:sz w:val="32"/>
          <w:szCs w:val="32"/>
        </w:rPr>
        <w:br w:type="page"/>
      </w:r>
    </w:p>
    <w:p w:rsidR="0072170F" w:rsidRPr="00877607" w:rsidRDefault="005C64B2" w:rsidP="0072170F">
      <w:pPr>
        <w:spacing w:before="240"/>
        <w:rPr>
          <w:rFonts w:asciiTheme="majorHAnsi" w:eastAsiaTheme="majorEastAsia" w:hAnsiTheme="majorHAnsi" w:cstheme="majorBidi"/>
          <w:caps/>
          <w:sz w:val="32"/>
          <w:szCs w:val="32"/>
        </w:rPr>
      </w:pPr>
      <w:r>
        <w:rPr>
          <w:rFonts w:asciiTheme="majorHAnsi" w:eastAsiaTheme="majorEastAsia" w:hAnsiTheme="majorHAnsi" w:cstheme="majorBidi"/>
          <w:caps/>
          <w:sz w:val="32"/>
          <w:szCs w:val="32"/>
        </w:rPr>
        <w:t>OUTCOME</w:t>
      </w:r>
      <w:r w:rsidR="0072170F" w:rsidRPr="00877607">
        <w:rPr>
          <w:rFonts w:asciiTheme="majorHAnsi" w:eastAsiaTheme="majorEastAsia" w:hAnsiTheme="majorHAnsi" w:cstheme="majorBidi"/>
          <w:caps/>
          <w:sz w:val="32"/>
          <w:szCs w:val="32"/>
        </w:rPr>
        <w:t xml:space="preserve"> 1</w:t>
      </w:r>
      <w:r w:rsidR="00823973">
        <w:rPr>
          <w:rFonts w:asciiTheme="majorHAnsi" w:eastAsiaTheme="majorEastAsia" w:hAnsiTheme="majorHAnsi" w:cstheme="majorBidi"/>
          <w:caps/>
          <w:sz w:val="32"/>
          <w:szCs w:val="32"/>
        </w:rPr>
        <w:t>: alumni are using their skills and networks to contribute to sustainable development</w:t>
      </w:r>
    </w:p>
    <w:p w:rsidR="008F462D" w:rsidRDefault="000B3F55" w:rsidP="00721181">
      <w:pPr>
        <w:rPr>
          <w:color w:val="auto"/>
        </w:rPr>
      </w:pPr>
      <w:r>
        <w:rPr>
          <w:color w:val="auto"/>
        </w:rPr>
        <w:t>This section explores alumni’s use and application of skills, knowledge and networks.</w:t>
      </w:r>
      <w:r w:rsidR="00592C5E">
        <w:rPr>
          <w:color w:val="auto"/>
        </w:rPr>
        <w:t xml:space="preserve"> Examples of monitoring and evaluation measures to demonstrate impact include the number or percentage of:</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7"/>
        <w:gridCol w:w="2407"/>
        <w:gridCol w:w="2407"/>
        <w:gridCol w:w="2407"/>
      </w:tblGrid>
      <w:tr w:rsidR="00592C5E" w:rsidTr="00FF512D">
        <w:tc>
          <w:tcPr>
            <w:tcW w:w="2407" w:type="dxa"/>
          </w:tcPr>
          <w:p w:rsidR="00592C5E" w:rsidRPr="00FF512D" w:rsidRDefault="00592C5E" w:rsidP="00721181">
            <w:pPr>
              <w:rPr>
                <w:color w:val="auto"/>
                <w:sz w:val="18"/>
                <w:szCs w:val="18"/>
              </w:rPr>
            </w:pPr>
            <w:r w:rsidRPr="00FF512D">
              <w:rPr>
                <w:color w:val="auto"/>
                <w:sz w:val="18"/>
                <w:szCs w:val="18"/>
              </w:rPr>
              <w:t>… awardees by sector and field of study</w:t>
            </w:r>
          </w:p>
        </w:tc>
        <w:tc>
          <w:tcPr>
            <w:tcW w:w="2407" w:type="dxa"/>
          </w:tcPr>
          <w:p w:rsidR="00592C5E" w:rsidRPr="00FF512D" w:rsidRDefault="00592C5E" w:rsidP="00721181">
            <w:pPr>
              <w:rPr>
                <w:color w:val="auto"/>
                <w:sz w:val="18"/>
                <w:szCs w:val="18"/>
              </w:rPr>
            </w:pPr>
            <w:r w:rsidRPr="00FF512D">
              <w:rPr>
                <w:color w:val="auto"/>
                <w:sz w:val="18"/>
                <w:szCs w:val="18"/>
              </w:rPr>
              <w:t>Awardees achieving a qualification (completion rates)</w:t>
            </w:r>
          </w:p>
        </w:tc>
        <w:tc>
          <w:tcPr>
            <w:tcW w:w="2407" w:type="dxa"/>
          </w:tcPr>
          <w:p w:rsidR="00592C5E" w:rsidRPr="00FF512D" w:rsidRDefault="00592C5E" w:rsidP="00721181">
            <w:pPr>
              <w:rPr>
                <w:color w:val="auto"/>
                <w:sz w:val="18"/>
                <w:szCs w:val="18"/>
              </w:rPr>
            </w:pPr>
            <w:r w:rsidRPr="00FF512D">
              <w:rPr>
                <w:color w:val="auto"/>
                <w:sz w:val="18"/>
                <w:szCs w:val="18"/>
              </w:rPr>
              <w:t>Alumni with increased knowledge and skills</w:t>
            </w:r>
          </w:p>
        </w:tc>
        <w:tc>
          <w:tcPr>
            <w:tcW w:w="2407" w:type="dxa"/>
          </w:tcPr>
          <w:p w:rsidR="00592C5E" w:rsidRPr="00FF512D" w:rsidRDefault="00592C5E" w:rsidP="00721181">
            <w:pPr>
              <w:rPr>
                <w:color w:val="auto"/>
                <w:sz w:val="18"/>
                <w:szCs w:val="18"/>
              </w:rPr>
            </w:pPr>
            <w:r w:rsidRPr="00FF512D">
              <w:rPr>
                <w:color w:val="auto"/>
                <w:sz w:val="18"/>
                <w:szCs w:val="18"/>
              </w:rPr>
              <w:t>Awardees</w:t>
            </w:r>
            <w:r w:rsidR="00FF512D" w:rsidRPr="00FF512D">
              <w:rPr>
                <w:color w:val="auto"/>
                <w:sz w:val="18"/>
                <w:szCs w:val="18"/>
              </w:rPr>
              <w:t>/alumni with a job to return to upon completion of their course</w:t>
            </w:r>
          </w:p>
        </w:tc>
      </w:tr>
    </w:tbl>
    <w:p w:rsidR="00AF1D29" w:rsidRDefault="00AF1D29" w:rsidP="00AF1D29">
      <w:pPr>
        <w:spacing w:before="240" w:line="240" w:lineRule="auto"/>
        <w:rPr>
          <w:rFonts w:eastAsia="Times New Roman" w:cstheme="minorHAnsi"/>
          <w:color w:val="auto"/>
        </w:rPr>
      </w:pPr>
      <w:r w:rsidRPr="00AF1D29">
        <w:rPr>
          <w:rFonts w:eastAsia="Times New Roman" w:cstheme="minorHAnsi"/>
          <w:color w:val="auto"/>
        </w:rPr>
        <w:t xml:space="preserve">The Australia Awards provide cross-cutting support to Australia’s work under each of the Sustainable Development Goals. Participants’ studies can address any of the SDG goals. </w:t>
      </w:r>
      <w:r w:rsidR="00A546BB">
        <w:rPr>
          <w:rFonts w:eastAsia="Times New Roman" w:cstheme="minorHAnsi"/>
          <w:color w:val="auto"/>
        </w:rPr>
        <w:t>Australia Awards continues to make strong progress against Outcome 1 with</w:t>
      </w:r>
      <w:r w:rsidRPr="00AF1D29">
        <w:rPr>
          <w:rFonts w:eastAsia="Times New Roman" w:cstheme="minorHAnsi"/>
          <w:color w:val="auto"/>
        </w:rPr>
        <w:t xml:space="preserve"> the surveys and feedback clearly show</w:t>
      </w:r>
      <w:r w:rsidR="00A546BB">
        <w:rPr>
          <w:rFonts w:eastAsia="Times New Roman" w:cstheme="minorHAnsi"/>
          <w:color w:val="auto"/>
        </w:rPr>
        <w:t>ing</w:t>
      </w:r>
      <w:r w:rsidRPr="00AF1D29">
        <w:rPr>
          <w:rFonts w:eastAsia="Times New Roman" w:cstheme="minorHAnsi"/>
          <w:color w:val="auto"/>
        </w:rPr>
        <w:t xml:space="preserve"> that </w:t>
      </w:r>
      <w:r w:rsidR="00446C52">
        <w:rPr>
          <w:rFonts w:eastAsia="Times New Roman" w:cstheme="minorHAnsi"/>
          <w:color w:val="auto"/>
        </w:rPr>
        <w:t>a</w:t>
      </w:r>
      <w:r w:rsidRPr="00AF1D29">
        <w:rPr>
          <w:rFonts w:eastAsia="Times New Roman" w:cstheme="minorHAnsi"/>
          <w:color w:val="auto"/>
        </w:rPr>
        <w:t xml:space="preserve"> great strength of the investment is the extent to which Alumni contribute to development in their home countries. </w:t>
      </w:r>
    </w:p>
    <w:p w:rsidR="00AF1D29" w:rsidRPr="00AF1D29" w:rsidRDefault="00AF1D29" w:rsidP="00AF1D29">
      <w:pPr>
        <w:rPr>
          <w:rFonts w:cstheme="minorHAnsi"/>
          <w:color w:val="auto"/>
        </w:rPr>
      </w:pPr>
      <w:r w:rsidRPr="00AF1D29">
        <w:rPr>
          <w:rFonts w:cstheme="minorHAnsi"/>
          <w:color w:val="auto"/>
        </w:rPr>
        <w:t xml:space="preserve">At a global level, </w:t>
      </w:r>
      <w:r w:rsidRPr="008025AD">
        <w:rPr>
          <w:rFonts w:cstheme="minorHAnsi"/>
          <w:color w:val="auto"/>
        </w:rPr>
        <w:t xml:space="preserve">the </w:t>
      </w:r>
      <w:r w:rsidR="00E67901" w:rsidRPr="008025AD">
        <w:rPr>
          <w:rFonts w:cstheme="minorHAnsi"/>
          <w:bCs/>
          <w:iCs/>
          <w:color w:val="auto"/>
        </w:rPr>
        <w:t>on-awards surveys</w:t>
      </w:r>
      <w:r w:rsidRPr="008025AD">
        <w:rPr>
          <w:rFonts w:cstheme="minorHAnsi"/>
          <w:color w:val="auto"/>
        </w:rPr>
        <w:t xml:space="preserve"> found</w:t>
      </w:r>
      <w:r w:rsidRPr="00AF1D29">
        <w:rPr>
          <w:rFonts w:cstheme="minorHAnsi"/>
          <w:color w:val="auto"/>
        </w:rPr>
        <w:t xml:space="preserve"> that:</w:t>
      </w:r>
    </w:p>
    <w:p w:rsidR="00AF1D29" w:rsidRPr="00AF1D29" w:rsidRDefault="00AF1D29" w:rsidP="00AF1D29">
      <w:pPr>
        <w:pStyle w:val="ListParagraph"/>
        <w:numPr>
          <w:ilvl w:val="0"/>
          <w:numId w:val="16"/>
        </w:numPr>
        <w:rPr>
          <w:rFonts w:asciiTheme="minorHAnsi" w:hAnsiTheme="minorHAnsi" w:cstheme="minorHAnsi"/>
          <w:sz w:val="22"/>
          <w:szCs w:val="22"/>
        </w:rPr>
      </w:pPr>
      <w:r w:rsidRPr="00AF1D29">
        <w:rPr>
          <w:rFonts w:asciiTheme="minorHAnsi" w:hAnsiTheme="minorHAnsi" w:cstheme="minorHAnsi"/>
          <w:sz w:val="22"/>
          <w:szCs w:val="22"/>
        </w:rPr>
        <w:t xml:space="preserve">98 per cent of ongoing students </w:t>
      </w:r>
      <w:r w:rsidR="003677EF">
        <w:rPr>
          <w:rFonts w:asciiTheme="minorHAnsi" w:hAnsiTheme="minorHAnsi" w:cstheme="minorHAnsi"/>
          <w:sz w:val="22"/>
          <w:szCs w:val="22"/>
        </w:rPr>
        <w:t xml:space="preserve">surveyed </w:t>
      </w:r>
      <w:r w:rsidRPr="00AF1D29">
        <w:rPr>
          <w:rFonts w:asciiTheme="minorHAnsi" w:hAnsiTheme="minorHAnsi" w:cstheme="minorHAnsi"/>
          <w:sz w:val="22"/>
          <w:szCs w:val="22"/>
        </w:rPr>
        <w:t xml:space="preserve">reported that </w:t>
      </w:r>
      <w:r w:rsidR="00A546BB">
        <w:rPr>
          <w:rFonts w:asciiTheme="minorHAnsi" w:hAnsiTheme="minorHAnsi" w:cstheme="minorHAnsi"/>
          <w:sz w:val="22"/>
          <w:szCs w:val="22"/>
        </w:rPr>
        <w:t xml:space="preserve">they </w:t>
      </w:r>
      <w:r w:rsidR="00446C52">
        <w:rPr>
          <w:rFonts w:asciiTheme="minorHAnsi" w:hAnsiTheme="minorHAnsi" w:cstheme="minorHAnsi"/>
          <w:sz w:val="22"/>
          <w:szCs w:val="22"/>
        </w:rPr>
        <w:t>were</w:t>
      </w:r>
      <w:r w:rsidRPr="00AF1D29">
        <w:rPr>
          <w:rFonts w:asciiTheme="minorHAnsi" w:hAnsiTheme="minorHAnsi" w:cstheme="minorHAnsi"/>
          <w:sz w:val="22"/>
          <w:szCs w:val="22"/>
        </w:rPr>
        <w:t xml:space="preserve"> positioned well to use their skills, knowledge and networks to contribute to sustainable development </w:t>
      </w:r>
    </w:p>
    <w:p w:rsidR="00AF1D29" w:rsidRPr="00AF1D29" w:rsidRDefault="00AF1D29" w:rsidP="00AF1D29">
      <w:pPr>
        <w:pStyle w:val="ListParagraph"/>
        <w:numPr>
          <w:ilvl w:val="0"/>
          <w:numId w:val="16"/>
        </w:numPr>
        <w:rPr>
          <w:rFonts w:asciiTheme="minorHAnsi" w:hAnsiTheme="minorHAnsi" w:cstheme="minorHAnsi"/>
          <w:sz w:val="22"/>
          <w:szCs w:val="22"/>
        </w:rPr>
      </w:pPr>
      <w:r w:rsidRPr="00AF1D29">
        <w:rPr>
          <w:rFonts w:asciiTheme="minorHAnsi" w:hAnsiTheme="minorHAnsi" w:cstheme="minorHAnsi"/>
          <w:sz w:val="22"/>
          <w:szCs w:val="22"/>
        </w:rPr>
        <w:t xml:space="preserve">97 per cent of respondents reported that their study experience </w:t>
      </w:r>
      <w:r w:rsidR="00446C52">
        <w:rPr>
          <w:rFonts w:asciiTheme="minorHAnsi" w:hAnsiTheme="minorHAnsi" w:cstheme="minorHAnsi"/>
          <w:sz w:val="22"/>
          <w:szCs w:val="22"/>
        </w:rPr>
        <w:t>would</w:t>
      </w:r>
      <w:r w:rsidRPr="00AF1D29">
        <w:rPr>
          <w:rFonts w:asciiTheme="minorHAnsi" w:hAnsiTheme="minorHAnsi" w:cstheme="minorHAnsi"/>
          <w:sz w:val="22"/>
          <w:szCs w:val="22"/>
        </w:rPr>
        <w:t xml:space="preserve"> help them make a positive impact on the community in their home country </w:t>
      </w:r>
    </w:p>
    <w:p w:rsidR="00AF1D29" w:rsidRPr="00AF1D29" w:rsidRDefault="00AF1D29" w:rsidP="00AF1D29">
      <w:pPr>
        <w:pStyle w:val="ListParagraph"/>
        <w:numPr>
          <w:ilvl w:val="0"/>
          <w:numId w:val="16"/>
        </w:numPr>
        <w:rPr>
          <w:rFonts w:asciiTheme="minorHAnsi" w:hAnsiTheme="minorHAnsi" w:cstheme="minorHAnsi"/>
          <w:sz w:val="22"/>
          <w:szCs w:val="22"/>
        </w:rPr>
      </w:pPr>
      <w:r w:rsidRPr="00AF1D29">
        <w:rPr>
          <w:rFonts w:asciiTheme="minorHAnsi" w:hAnsiTheme="minorHAnsi" w:cstheme="minorHAnsi"/>
          <w:sz w:val="22"/>
          <w:szCs w:val="22"/>
        </w:rPr>
        <w:t xml:space="preserve">91 per cent of respondents reported that their course/curriculum </w:t>
      </w:r>
      <w:r w:rsidR="00446C52">
        <w:rPr>
          <w:rFonts w:asciiTheme="minorHAnsi" w:hAnsiTheme="minorHAnsi" w:cstheme="minorHAnsi"/>
          <w:sz w:val="22"/>
          <w:szCs w:val="22"/>
        </w:rPr>
        <w:t>was</w:t>
      </w:r>
      <w:r w:rsidRPr="00AF1D29">
        <w:rPr>
          <w:rFonts w:asciiTheme="minorHAnsi" w:hAnsiTheme="minorHAnsi" w:cstheme="minorHAnsi"/>
          <w:sz w:val="22"/>
          <w:szCs w:val="22"/>
        </w:rPr>
        <w:t xml:space="preserve"> well aligned with the learning and development outcomes they </w:t>
      </w:r>
      <w:r w:rsidR="00446C52">
        <w:rPr>
          <w:rFonts w:asciiTheme="minorHAnsi" w:hAnsiTheme="minorHAnsi" w:cstheme="minorHAnsi"/>
          <w:sz w:val="22"/>
          <w:szCs w:val="22"/>
        </w:rPr>
        <w:t>were</w:t>
      </w:r>
      <w:r w:rsidRPr="00AF1D29">
        <w:rPr>
          <w:rFonts w:asciiTheme="minorHAnsi" w:hAnsiTheme="minorHAnsi" w:cstheme="minorHAnsi"/>
          <w:sz w:val="22"/>
          <w:szCs w:val="22"/>
        </w:rPr>
        <w:t xml:space="preserve"> seeking.</w:t>
      </w:r>
    </w:p>
    <w:p w:rsidR="00B97E99" w:rsidRPr="00B97E99" w:rsidRDefault="001953DD" w:rsidP="00B97E99">
      <w:pPr>
        <w:rPr>
          <w:rFonts w:asciiTheme="majorHAnsi" w:eastAsia="Times New Roman" w:hAnsiTheme="majorHAnsi"/>
          <w:color w:val="auto"/>
          <w:sz w:val="28"/>
        </w:rPr>
      </w:pPr>
      <w:r>
        <w:rPr>
          <w:rFonts w:asciiTheme="majorHAnsi" w:eastAsia="Times New Roman" w:hAnsiTheme="majorHAnsi"/>
          <w:color w:val="auto"/>
          <w:sz w:val="28"/>
        </w:rPr>
        <w:t xml:space="preserve">Relevance of studies and employment outcomes </w:t>
      </w:r>
    </w:p>
    <w:p w:rsidR="00E67901" w:rsidRDefault="00A546BB" w:rsidP="00A546BB">
      <w:pPr>
        <w:rPr>
          <w:color w:val="auto"/>
        </w:rPr>
      </w:pPr>
      <w:r>
        <w:rPr>
          <w:color w:val="auto"/>
        </w:rPr>
        <w:t>I</w:t>
      </w:r>
      <w:r w:rsidR="00B97E99">
        <w:rPr>
          <w:color w:val="auto"/>
        </w:rPr>
        <w:t>n 2018-19, there was considerable effort to ensure that applicant</w:t>
      </w:r>
      <w:r w:rsidR="00446C52">
        <w:rPr>
          <w:color w:val="auto"/>
        </w:rPr>
        <w:t xml:space="preserve"> and </w:t>
      </w:r>
      <w:r w:rsidR="00B97E99">
        <w:rPr>
          <w:color w:val="auto"/>
        </w:rPr>
        <w:t xml:space="preserve">awardee profiles </w:t>
      </w:r>
      <w:r w:rsidR="00446C52">
        <w:rPr>
          <w:color w:val="auto"/>
        </w:rPr>
        <w:t>were</w:t>
      </w:r>
      <w:r w:rsidR="00B97E99">
        <w:rPr>
          <w:color w:val="auto"/>
        </w:rPr>
        <w:t xml:space="preserve"> consistent with the objectives and principles of the Australia Awards. </w:t>
      </w:r>
      <w:r>
        <w:rPr>
          <w:color w:val="auto"/>
        </w:rPr>
        <w:t>I</w:t>
      </w:r>
      <w:r w:rsidRPr="00E331F7">
        <w:rPr>
          <w:color w:val="auto"/>
        </w:rPr>
        <w:t>n 201</w:t>
      </w:r>
      <w:r>
        <w:rPr>
          <w:color w:val="auto"/>
        </w:rPr>
        <w:t xml:space="preserve">9, the </w:t>
      </w:r>
      <w:r w:rsidRPr="00E331F7">
        <w:rPr>
          <w:color w:val="auto"/>
        </w:rPr>
        <w:t>top fields of study for Australia Awards Scholarships were education, governance, health, infrastructure, rural development and food security</w:t>
      </w:r>
      <w:r>
        <w:rPr>
          <w:color w:val="auto"/>
        </w:rPr>
        <w:t xml:space="preserve"> (see Figure 2). </w:t>
      </w:r>
    </w:p>
    <w:p w:rsidR="001953DD" w:rsidRDefault="0094082D" w:rsidP="00B97E99">
      <w:pPr>
        <w:rPr>
          <w:color w:val="auto"/>
        </w:rPr>
      </w:pPr>
      <w:r>
        <w:rPr>
          <w:color w:val="auto"/>
        </w:rPr>
        <w:t xml:space="preserve">In </w:t>
      </w:r>
      <w:r w:rsidR="00E67901">
        <w:rPr>
          <w:color w:val="auto"/>
        </w:rPr>
        <w:t>201</w:t>
      </w:r>
      <w:r w:rsidR="00143940">
        <w:rPr>
          <w:color w:val="auto"/>
        </w:rPr>
        <w:t>8</w:t>
      </w:r>
      <w:r w:rsidR="00E67901">
        <w:rPr>
          <w:color w:val="auto"/>
        </w:rPr>
        <w:t xml:space="preserve"> on-awards </w:t>
      </w:r>
      <w:r>
        <w:rPr>
          <w:color w:val="auto"/>
        </w:rPr>
        <w:t xml:space="preserve">global </w:t>
      </w:r>
      <w:r w:rsidR="00E67901">
        <w:rPr>
          <w:color w:val="auto"/>
        </w:rPr>
        <w:t>surveys</w:t>
      </w:r>
      <w:r>
        <w:rPr>
          <w:color w:val="auto"/>
        </w:rPr>
        <w:t>,</w:t>
      </w:r>
      <w:r w:rsidR="00E67901">
        <w:rPr>
          <w:color w:val="auto"/>
        </w:rPr>
        <w:t xml:space="preserve"> </w:t>
      </w:r>
      <w:r w:rsidR="00A546BB" w:rsidRPr="001748A3">
        <w:rPr>
          <w:color w:val="auto"/>
        </w:rPr>
        <w:t>97 per cent of respondents reported that the Australia Awards ha</w:t>
      </w:r>
      <w:r>
        <w:rPr>
          <w:color w:val="auto"/>
        </w:rPr>
        <w:t>d</w:t>
      </w:r>
      <w:r w:rsidR="00A546BB" w:rsidRPr="001748A3">
        <w:rPr>
          <w:color w:val="auto"/>
        </w:rPr>
        <w:t xml:space="preserve"> motivated them to support development initiatives in their home countr</w:t>
      </w:r>
      <w:r>
        <w:rPr>
          <w:color w:val="auto"/>
        </w:rPr>
        <w:t>ies. O</w:t>
      </w:r>
      <w:r w:rsidR="00A546BB" w:rsidRPr="001748A3">
        <w:rPr>
          <w:color w:val="auto"/>
        </w:rPr>
        <w:t xml:space="preserve">f the 890 students who reported </w:t>
      </w:r>
      <w:r>
        <w:rPr>
          <w:color w:val="auto"/>
        </w:rPr>
        <w:t xml:space="preserve">being </w:t>
      </w:r>
      <w:r w:rsidR="00A546BB" w:rsidRPr="001748A3">
        <w:rPr>
          <w:color w:val="auto"/>
        </w:rPr>
        <w:t xml:space="preserve">close to completing their studies, 71 per cent had work arrangements in place (either returning to the same organisation they left or moving to a different organisation). </w:t>
      </w:r>
      <w:r w:rsidR="00FB48FA">
        <w:rPr>
          <w:color w:val="auto"/>
        </w:rPr>
        <w:t>Country programs report</w:t>
      </w:r>
      <w:r>
        <w:rPr>
          <w:color w:val="auto"/>
        </w:rPr>
        <w:t>ed</w:t>
      </w:r>
      <w:r w:rsidR="00FB48FA">
        <w:rPr>
          <w:color w:val="auto"/>
        </w:rPr>
        <w:t xml:space="preserve"> that climate change and disaster management </w:t>
      </w:r>
      <w:r>
        <w:rPr>
          <w:color w:val="auto"/>
        </w:rPr>
        <w:t>were</w:t>
      </w:r>
      <w:r w:rsidR="00FB48FA">
        <w:rPr>
          <w:color w:val="auto"/>
        </w:rPr>
        <w:t xml:space="preserve"> </w:t>
      </w:r>
      <w:r w:rsidR="001953DD">
        <w:rPr>
          <w:color w:val="auto"/>
        </w:rPr>
        <w:t>area</w:t>
      </w:r>
      <w:r>
        <w:rPr>
          <w:color w:val="auto"/>
        </w:rPr>
        <w:t>s</w:t>
      </w:r>
      <w:r w:rsidR="001953DD">
        <w:rPr>
          <w:color w:val="auto"/>
        </w:rPr>
        <w:t xml:space="preserve"> of interest for students. For example, Australia Awards in </w:t>
      </w:r>
      <w:r w:rsidR="001953DD" w:rsidRPr="001953DD">
        <w:rPr>
          <w:b/>
          <w:bCs/>
          <w:color w:val="auto"/>
        </w:rPr>
        <w:t>Indonesia</w:t>
      </w:r>
      <w:r w:rsidR="001953DD">
        <w:rPr>
          <w:color w:val="auto"/>
        </w:rPr>
        <w:t xml:space="preserve"> reported that 13 of its </w:t>
      </w:r>
      <w:r>
        <w:rPr>
          <w:color w:val="auto"/>
        </w:rPr>
        <w:t>scholars</w:t>
      </w:r>
      <w:r w:rsidR="001953DD">
        <w:rPr>
          <w:color w:val="auto"/>
        </w:rPr>
        <w:t>, including four women, were studying th</w:t>
      </w:r>
      <w:r>
        <w:rPr>
          <w:color w:val="auto"/>
        </w:rPr>
        <w:t>ese</w:t>
      </w:r>
      <w:r w:rsidR="001953DD">
        <w:rPr>
          <w:color w:val="auto"/>
        </w:rPr>
        <w:t xml:space="preserve"> area</w:t>
      </w:r>
      <w:r>
        <w:rPr>
          <w:color w:val="auto"/>
        </w:rPr>
        <w:t>s</w:t>
      </w:r>
      <w:r w:rsidR="001953DD">
        <w:rPr>
          <w:color w:val="auto"/>
        </w:rPr>
        <w:t xml:space="preserve"> in Australia</w:t>
      </w:r>
      <w:r>
        <w:rPr>
          <w:color w:val="auto"/>
        </w:rPr>
        <w:t xml:space="preserve"> and that </w:t>
      </w:r>
      <w:r w:rsidR="001953DD">
        <w:rPr>
          <w:color w:val="auto"/>
        </w:rPr>
        <w:t xml:space="preserve">five </w:t>
      </w:r>
      <w:r>
        <w:rPr>
          <w:color w:val="auto"/>
        </w:rPr>
        <w:t xml:space="preserve">of its short courses focussed on </w:t>
      </w:r>
      <w:r w:rsidR="001953DD">
        <w:rPr>
          <w:color w:val="auto"/>
        </w:rPr>
        <w:t xml:space="preserve">managing water in urban settings and better climate services. </w:t>
      </w:r>
    </w:p>
    <w:p w:rsidR="00EF212E" w:rsidRPr="006A6A72" w:rsidRDefault="00EF212E" w:rsidP="00EF212E">
      <w:pPr>
        <w:rPr>
          <w:rFonts w:asciiTheme="majorHAnsi" w:eastAsia="Times New Roman" w:hAnsiTheme="majorHAnsi"/>
          <w:color w:val="auto"/>
          <w:sz w:val="28"/>
        </w:rPr>
      </w:pPr>
      <w:r w:rsidRPr="006A6A72">
        <w:rPr>
          <w:rFonts w:asciiTheme="majorHAnsi" w:eastAsia="Times New Roman" w:hAnsiTheme="majorHAnsi"/>
          <w:color w:val="auto"/>
          <w:sz w:val="28"/>
        </w:rPr>
        <w:t>Applying skills, knowledge and networks</w:t>
      </w:r>
    </w:p>
    <w:p w:rsidR="00EF212E" w:rsidRDefault="00EF212E" w:rsidP="00EF212E">
      <w:pPr>
        <w:rPr>
          <w:rFonts w:eastAsia="Times New Roman"/>
          <w:color w:val="auto"/>
        </w:rPr>
      </w:pPr>
      <w:r w:rsidRPr="00AF1D29">
        <w:rPr>
          <w:rFonts w:eastAsia="Times New Roman" w:cstheme="minorHAnsi"/>
          <w:color w:val="auto"/>
        </w:rPr>
        <w:t xml:space="preserve">The 2019 </w:t>
      </w:r>
      <w:r>
        <w:rPr>
          <w:rFonts w:eastAsia="Times New Roman" w:cstheme="minorHAnsi"/>
          <w:color w:val="auto"/>
        </w:rPr>
        <w:t xml:space="preserve">Global </w:t>
      </w:r>
      <w:r w:rsidRPr="00AF1D29">
        <w:rPr>
          <w:rFonts w:eastAsia="Times New Roman" w:cstheme="minorHAnsi"/>
          <w:color w:val="auto"/>
        </w:rPr>
        <w:t>Tracer</w:t>
      </w:r>
      <w:r>
        <w:rPr>
          <w:rFonts w:eastAsia="Times New Roman"/>
          <w:color w:val="auto"/>
        </w:rPr>
        <w:t xml:space="preserve"> Survey Report</w:t>
      </w:r>
      <w:r>
        <w:rPr>
          <w:rStyle w:val="FootnoteReference"/>
          <w:rFonts w:eastAsia="Times New Roman"/>
          <w:color w:val="auto"/>
        </w:rPr>
        <w:t xml:space="preserve"> </w:t>
      </w:r>
      <w:r>
        <w:rPr>
          <w:rStyle w:val="FootnoteReference"/>
          <w:rFonts w:eastAsia="Times New Roman"/>
          <w:color w:val="auto"/>
        </w:rPr>
        <w:footnoteReference w:id="10"/>
      </w:r>
      <w:r>
        <w:rPr>
          <w:rFonts w:eastAsia="Times New Roman"/>
          <w:color w:val="auto"/>
        </w:rPr>
        <w:t xml:space="preserve"> found that 95 per cent of scholarship alum</w:t>
      </w:r>
      <w:r w:rsidR="00632CB1">
        <w:rPr>
          <w:rFonts w:eastAsia="Times New Roman"/>
          <w:color w:val="auto"/>
        </w:rPr>
        <w:t>ni surveyed and 97 per cent of F</w:t>
      </w:r>
      <w:r>
        <w:rPr>
          <w:rFonts w:eastAsia="Times New Roman"/>
          <w:color w:val="auto"/>
        </w:rPr>
        <w:t xml:space="preserve">ellowship alumni reported that they had </w:t>
      </w:r>
      <w:r w:rsidRPr="009248DB">
        <w:rPr>
          <w:rFonts w:eastAsia="Times New Roman"/>
          <w:b/>
          <w:bCs/>
          <w:color w:val="auto"/>
        </w:rPr>
        <w:t>introduced improved practices and innovations</w:t>
      </w:r>
      <w:r>
        <w:rPr>
          <w:rFonts w:eastAsia="Times New Roman"/>
          <w:color w:val="auto"/>
        </w:rPr>
        <w:t xml:space="preserve"> as a result of their Australia Awards scholarship or </w:t>
      </w:r>
      <w:r w:rsidR="00632CB1">
        <w:rPr>
          <w:rFonts w:eastAsia="Times New Roman"/>
          <w:color w:val="auto"/>
        </w:rPr>
        <w:t>fellowship</w:t>
      </w:r>
      <w:r>
        <w:rPr>
          <w:rFonts w:eastAsia="Times New Roman"/>
          <w:color w:val="auto"/>
        </w:rPr>
        <w:t>. This experience is repeated at a country program level</w:t>
      </w:r>
      <w:r w:rsidR="00B159DB">
        <w:rPr>
          <w:rFonts w:eastAsia="Times New Roman"/>
          <w:color w:val="auto"/>
        </w:rPr>
        <w:t xml:space="preserve"> and was consistent when disaggregated by region, sex and field of study. </w:t>
      </w:r>
    </w:p>
    <w:p w:rsidR="00EF212E" w:rsidRDefault="00632CB1" w:rsidP="00A75517">
      <w:pPr>
        <w:rPr>
          <w:rFonts w:eastAsia="Times New Roman"/>
          <w:color w:val="auto"/>
        </w:rPr>
      </w:pPr>
      <w:r>
        <w:rPr>
          <w:rFonts w:eastAsia="Times New Roman"/>
          <w:color w:val="auto"/>
        </w:rPr>
        <w:t>In 2019 t</w:t>
      </w:r>
      <w:r w:rsidR="00EF212E">
        <w:rPr>
          <w:rFonts w:eastAsia="Times New Roman"/>
          <w:color w:val="auto"/>
        </w:rPr>
        <w:t xml:space="preserve">he </w:t>
      </w:r>
      <w:r w:rsidR="00EF212E" w:rsidRPr="00143940">
        <w:rPr>
          <w:rFonts w:eastAsia="Times New Roman"/>
          <w:b/>
          <w:color w:val="auto"/>
        </w:rPr>
        <w:t>Indonesia</w:t>
      </w:r>
      <w:r w:rsidR="00EF212E">
        <w:rPr>
          <w:rFonts w:eastAsia="Times New Roman"/>
          <w:color w:val="auto"/>
        </w:rPr>
        <w:t xml:space="preserve"> program conducted a study</w:t>
      </w:r>
      <w:r>
        <w:rPr>
          <w:rFonts w:eastAsia="Times New Roman"/>
          <w:color w:val="auto"/>
        </w:rPr>
        <w:t xml:space="preserve"> to assess the alumni contribution to the private sector, focussing on </w:t>
      </w:r>
      <w:r w:rsidR="00EF212E">
        <w:rPr>
          <w:rFonts w:eastAsia="Times New Roman"/>
          <w:color w:val="auto"/>
        </w:rPr>
        <w:t xml:space="preserve">the food industry. It found that since 2012, 442 Indonesians (42 per cent women) with scholarships from Australia Awards had completed food-related courses in Australia and that they had made an impact in food sectors including strengthening policy, improving food products and reducing production costs. </w:t>
      </w:r>
    </w:p>
    <w:p w:rsidR="00EF212E" w:rsidRPr="00DC06B6" w:rsidRDefault="00EF212E" w:rsidP="00EF212E">
      <w:pPr>
        <w:rPr>
          <w:color w:val="auto"/>
        </w:rPr>
      </w:pPr>
    </w:p>
    <w:p w:rsidR="006418CC" w:rsidRDefault="00EF212E" w:rsidP="006418CC">
      <w:pPr>
        <w:rPr>
          <w:rFonts w:eastAsia="Times New Roman"/>
          <w:b/>
          <w:bCs/>
          <w:color w:val="auto"/>
        </w:rPr>
      </w:pPr>
      <w:r w:rsidRPr="0021466C">
        <w:rPr>
          <w:noProof/>
          <w:lang w:val="en-AU" w:eastAsia="en-AU"/>
        </w:rPr>
        <mc:AlternateContent>
          <mc:Choice Requires="wps">
            <w:drawing>
              <wp:anchor distT="0" distB="0" distL="114300" distR="114300" simplePos="0" relativeHeight="251688960" behindDoc="1" locked="0" layoutInCell="1" allowOverlap="1" wp14:anchorId="20A7E014" wp14:editId="634C31E9">
                <wp:simplePos x="0" y="0"/>
                <wp:positionH relativeFrom="margin">
                  <wp:align>right</wp:align>
                </wp:positionH>
                <wp:positionV relativeFrom="paragraph">
                  <wp:posOffset>0</wp:posOffset>
                </wp:positionV>
                <wp:extent cx="6090285" cy="2990850"/>
                <wp:effectExtent l="0" t="0" r="24765" b="19050"/>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85" cy="2990850"/>
                        </a:xfrm>
                        <a:prstGeom prst="rect">
                          <a:avLst/>
                        </a:prstGeom>
                        <a:solidFill>
                          <a:schemeClr val="bg1"/>
                        </a:solidFill>
                        <a:ln w="25400" cap="flat" cmpd="sng" algn="ctr">
                          <a:solidFill>
                            <a:srgbClr val="65C5B4"/>
                          </a:solidFill>
                          <a:prstDash val="solid"/>
                          <a:headEnd/>
                          <a:tailEnd/>
                        </a:ln>
                        <a:effectLst/>
                      </wps:spPr>
                      <wps:txbx>
                        <w:txbxContent>
                          <w:p w:rsidR="004D4A55" w:rsidRPr="002E77E9" w:rsidRDefault="004D4A55" w:rsidP="00B97E99">
                            <w:pPr>
                              <w:spacing w:before="0" w:after="0" w:line="240" w:lineRule="auto"/>
                              <w:rPr>
                                <w:rFonts w:asciiTheme="majorHAnsi" w:hAnsiTheme="majorHAnsi" w:cstheme="majorHAnsi"/>
                                <w:b/>
                              </w:rPr>
                            </w:pPr>
                            <w:r w:rsidRPr="002E77E9">
                              <w:rPr>
                                <w:rFonts w:asciiTheme="majorHAnsi" w:hAnsiTheme="majorHAnsi" w:cstheme="majorHAnsi"/>
                                <w:b/>
                              </w:rPr>
                              <w:t>Case Study – Australia Awards Women’s Leadership Initiative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57"/>
                            </w:tblGrid>
                            <w:tr w:rsidR="004D4A55" w:rsidTr="00DC6211">
                              <w:trPr>
                                <w:trHeight w:val="2695"/>
                              </w:trPr>
                              <w:tc>
                                <w:tcPr>
                                  <w:tcW w:w="6658" w:type="dxa"/>
                                </w:tcPr>
                                <w:p w:rsidR="004D4A55" w:rsidRDefault="004D4A55" w:rsidP="00DC6211">
                                  <w:pPr>
                                    <w:spacing w:before="0" w:after="0" w:line="240" w:lineRule="auto"/>
                                    <w:rPr>
                                      <w:rFonts w:cstheme="minorHAnsi"/>
                                      <w:sz w:val="20"/>
                                      <w:szCs w:val="20"/>
                                    </w:rPr>
                                  </w:pPr>
                                </w:p>
                                <w:p w:rsidR="004D4A55" w:rsidRPr="002E77E9" w:rsidRDefault="004D4A55" w:rsidP="00DC6211">
                                  <w:pPr>
                                    <w:spacing w:before="0" w:after="0" w:line="240" w:lineRule="auto"/>
                                    <w:rPr>
                                      <w:rFonts w:asciiTheme="majorHAnsi" w:hAnsiTheme="majorHAnsi" w:cstheme="majorHAnsi"/>
                                      <w:noProof/>
                                      <w:sz w:val="20"/>
                                      <w:szCs w:val="20"/>
                                      <w:lang w:eastAsia="en-AU"/>
                                    </w:rPr>
                                  </w:pPr>
                                  <w:r w:rsidRPr="002E77E9">
                                    <w:rPr>
                                      <w:rFonts w:cstheme="minorHAnsi"/>
                                      <w:sz w:val="20"/>
                                      <w:szCs w:val="20"/>
                                    </w:rPr>
                                    <w:t xml:space="preserve">Australia Awards Women’s Leadership Initiative participant Malia Vaka'uta from Tonga is a registered nurse who recently completed her Masters of Education in Management and Leadership at the University of Sydney. Malia identified women’s health and wellbeing as a key development issue she wanted to address on her return to Tonga. Through the Women’s Leadership Initiative she was paired with Australian mentor Anita George, Manager of Prevention at the McCabe Centre for Law and Cancer in Melbourne. With support from Anita, who advises developing country governments on legislative approaches to tackling cancer, diabetes and other non-communicable diseases (NCDs), Malia is encouraging her fellow nurses in Tonga to become ‘models of wellness’ and healthy lifestyle advocates in Tonga.   </w:t>
                                  </w:r>
                                </w:p>
                              </w:tc>
                              <w:tc>
                                <w:tcPr>
                                  <w:tcW w:w="2657" w:type="dxa"/>
                                </w:tcPr>
                                <w:p w:rsidR="004D4A55" w:rsidRDefault="004D4A55" w:rsidP="009A0008">
                                  <w:pPr>
                                    <w:rPr>
                                      <w:lang w:val="en-AU"/>
                                    </w:rPr>
                                  </w:pPr>
                                  <w:r>
                                    <w:rPr>
                                      <w:rFonts w:cstheme="minorHAnsi"/>
                                      <w:noProof/>
                                      <w:sz w:val="24"/>
                                      <w:szCs w:val="24"/>
                                      <w:lang w:val="en-AU" w:eastAsia="en-AU"/>
                                    </w:rPr>
                                    <w:drawing>
                                      <wp:inline distT="0" distB="0" distL="0" distR="0" wp14:anchorId="6C685084" wp14:editId="78E5D42E">
                                        <wp:extent cx="1476411" cy="10568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LI photo_Malia and Anita.jpg"/>
                                                <pic:cNvPicPr/>
                                              </pic:nvPicPr>
                                              <pic:blipFill rotWithShape="1">
                                                <a:blip r:embed="rId21" cstate="print">
                                                  <a:extLst>
                                                    <a:ext uri="{28A0092B-C50C-407E-A947-70E740481C1C}">
                                                      <a14:useLocalDpi xmlns:a14="http://schemas.microsoft.com/office/drawing/2010/main" val="0"/>
                                                    </a:ext>
                                                  </a:extLst>
                                                </a:blip>
                                                <a:srcRect l="15454" t="21874" r="6604"/>
                                                <a:stretch/>
                                              </pic:blipFill>
                                              <pic:spPr bwMode="auto">
                                                <a:xfrm>
                                                  <a:off x="0" y="0"/>
                                                  <a:ext cx="1485528" cy="1063414"/>
                                                </a:xfrm>
                                                <a:prstGeom prst="rect">
                                                  <a:avLst/>
                                                </a:prstGeom>
                                                <a:ln>
                                                  <a:noFill/>
                                                </a:ln>
                                                <a:extLst>
                                                  <a:ext uri="{53640926-AAD7-44D8-BBD7-CCE9431645EC}">
                                                    <a14:shadowObscured xmlns:a14="http://schemas.microsoft.com/office/drawing/2010/main"/>
                                                  </a:ext>
                                                </a:extLst>
                                              </pic:spPr>
                                            </pic:pic>
                                          </a:graphicData>
                                        </a:graphic>
                                      </wp:inline>
                                    </w:drawing>
                                  </w:r>
                                </w:p>
                                <w:p w:rsidR="004D4A55" w:rsidRPr="002E77E9" w:rsidRDefault="004D4A55" w:rsidP="002E77E9">
                                  <w:pPr>
                                    <w:pStyle w:val="Caption"/>
                                    <w:spacing w:before="0" w:after="0" w:line="240" w:lineRule="auto"/>
                                    <w:jc w:val="center"/>
                                    <w:rPr>
                                      <w:sz w:val="18"/>
                                      <w:szCs w:val="16"/>
                                    </w:rPr>
                                  </w:pPr>
                                  <w:r w:rsidRPr="00DC6211">
                                    <w:rPr>
                                      <w:sz w:val="14"/>
                                      <w:szCs w:val="12"/>
                                    </w:rPr>
                                    <w:t>Australia Awards Women's Leadership Initiative participant, Malia Vaka'uta and mentor, Anita George</w:t>
                                  </w:r>
                                </w:p>
                              </w:tc>
                            </w:tr>
                          </w:tbl>
                          <w:p w:rsidR="004D4A55" w:rsidRPr="002E77E9" w:rsidRDefault="004D4A55" w:rsidP="00B97E99">
                            <w:pPr>
                              <w:spacing w:before="0" w:after="0" w:line="240" w:lineRule="auto"/>
                              <w:ind w:left="142"/>
                              <w:rPr>
                                <w:rFonts w:cstheme="minorHAnsi"/>
                                <w:sz w:val="20"/>
                                <w:szCs w:val="20"/>
                              </w:rPr>
                            </w:pPr>
                            <w:r w:rsidRPr="002E77E9">
                              <w:rPr>
                                <w:rFonts w:cstheme="minorHAnsi"/>
                                <w:sz w:val="20"/>
                                <w:szCs w:val="20"/>
                              </w:rPr>
                              <w:t>Malia returned to Tonga in early 2019. With continued guidance from Anita, she has initiated a wellness project with the Nursing Institute in Tonga. Malia is committed to using her newfound leadership and the opportunities provided by WLI to make a positive impact on her country’s development. “Actions speak louder than words…this project will allow me to talk confidently to the student nurses and the people of Tonga about health issues  . . . (and to be) a role model of health.”</w:t>
                            </w:r>
                          </w:p>
                        </w:txbxContent>
                      </wps:txbx>
                      <wps:bodyPr rot="0" vert="horz" wrap="square" lIns="72000" tIns="0" rIns="7200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20A7E014" id="_x0000_t202" coordsize="21600,21600" o:spt="202" path="m,l,21600r21600,l21600,xe">
                <v:stroke joinstyle="miter"/>
                <v:path gradientshapeok="t" o:connecttype="rect"/>
              </v:shapetype>
              <v:shape id="Text Box 2" o:spid="_x0000_s1026" type="#_x0000_t202" style="position:absolute;margin-left:428.35pt;margin-top:0;width:479.55pt;height:235.5pt;z-index:-251627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" fillcolor="white [3212]" strokecolor="#65c5b4" strokeweight="2pt">
                <v:textbox inset="2mm,0,2mm,0">
                  <w:txbxContent>
                    <w:p w:rsidR="004D4A55" w:rsidRPr="002E77E9" w:rsidRDefault="004D4A55" w:rsidP="00B97E99">
                      <w:pPr>
                        <w:spacing w:before="0" w:after="0" w:line="240" w:lineRule="auto"/>
                        <w:rPr>
                          <w:rFonts w:asciiTheme="majorHAnsi" w:hAnsiTheme="majorHAnsi" w:cstheme="majorHAnsi"/>
                          <w:b/>
                        </w:rPr>
                      </w:pPr>
                      <w:r w:rsidRPr="002E77E9">
                        <w:rPr>
                          <w:rFonts w:asciiTheme="majorHAnsi" w:hAnsiTheme="majorHAnsi" w:cstheme="majorHAnsi"/>
                          <w:b/>
                        </w:rPr>
                        <w:t>Case Study – Australia Awards Women’s Leadership Initiative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57"/>
                      </w:tblGrid>
                      <w:tr w:rsidR="004D4A55" w:rsidTr="00DC6211">
                        <w:trPr>
                          <w:trHeight w:val="2695"/>
                        </w:trPr>
                        <w:tc>
                          <w:tcPr>
                            <w:tcW w:w="6658" w:type="dxa"/>
                          </w:tcPr>
                          <w:p w:rsidR="004D4A55" w:rsidRDefault="004D4A55" w:rsidP="00DC6211">
                            <w:pPr>
                              <w:spacing w:before="0" w:after="0" w:line="240" w:lineRule="auto"/>
                              <w:rPr>
                                <w:rFonts w:cstheme="minorHAnsi"/>
                                <w:sz w:val="20"/>
                                <w:szCs w:val="20"/>
                              </w:rPr>
                            </w:pPr>
                          </w:p>
                          <w:p w:rsidR="004D4A55" w:rsidRPr="002E77E9" w:rsidRDefault="004D4A55" w:rsidP="00DC6211">
                            <w:pPr>
                              <w:spacing w:before="0" w:after="0" w:line="240" w:lineRule="auto"/>
                              <w:rPr>
                                <w:rFonts w:asciiTheme="majorHAnsi" w:hAnsiTheme="majorHAnsi" w:cstheme="majorHAnsi"/>
                                <w:noProof/>
                                <w:sz w:val="20"/>
                                <w:szCs w:val="20"/>
                                <w:lang w:eastAsia="en-AU"/>
                              </w:rPr>
                            </w:pPr>
                            <w:r w:rsidRPr="002E77E9">
                              <w:rPr>
                                <w:rFonts w:cstheme="minorHAnsi"/>
                                <w:sz w:val="20"/>
                                <w:szCs w:val="20"/>
                              </w:rPr>
                              <w:t xml:space="preserve">Australia Awards Women’s Leadership Initiative participant Malia Vaka'uta from Tonga is a registered nurse who recently completed her Masters of Education in Management and Leadership at the University of Sydney. Malia identified women’s health and wellbeing as a key development issue she wanted to address on her return to Tonga. Through the Women’s Leadership Initiative she was paired with Australian mentor Anita George, Manager of Prevention at the McCabe Centre for Law and Cancer in Melbourne. With support from Anita, who advises developing country governments on legislative approaches to tackling cancer, diabetes and other non-communicable diseases (NCDs), Malia is encouraging her fellow nurses in Tonga to become ‘models of wellness’ and healthy lifestyle advocates in Tonga.   </w:t>
                            </w:r>
                          </w:p>
                        </w:tc>
                        <w:tc>
                          <w:tcPr>
                            <w:tcW w:w="2657" w:type="dxa"/>
                          </w:tcPr>
                          <w:p w:rsidR="004D4A55" w:rsidRDefault="004D4A55" w:rsidP="009A0008">
                            <w:pPr>
                              <w:rPr>
                                <w:lang w:val="en-AU"/>
                              </w:rPr>
                            </w:pPr>
                            <w:r>
                              <w:rPr>
                                <w:rFonts w:cstheme="minorHAnsi"/>
                                <w:noProof/>
                                <w:sz w:val="24"/>
                                <w:szCs w:val="24"/>
                                <w:lang w:val="en-AU" w:eastAsia="en-AU"/>
                              </w:rPr>
                              <w:drawing>
                                <wp:inline distT="0" distB="0" distL="0" distR="0" wp14:anchorId="6C685084" wp14:editId="78E5D42E">
                                  <wp:extent cx="1476411" cy="10568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LI photo_Malia and Anita.jpg"/>
                                          <pic:cNvPicPr/>
                                        </pic:nvPicPr>
                                        <pic:blipFill rotWithShape="1">
                                          <a:blip r:embed="rId21" cstate="print">
                                            <a:extLst>
                                              <a:ext uri="{28A0092B-C50C-407E-A947-70E740481C1C}">
                                                <a14:useLocalDpi xmlns:a14="http://schemas.microsoft.com/office/drawing/2010/main" val="0"/>
                                              </a:ext>
                                            </a:extLst>
                                          </a:blip>
                                          <a:srcRect l="15454" t="21874" r="6604"/>
                                          <a:stretch/>
                                        </pic:blipFill>
                                        <pic:spPr bwMode="auto">
                                          <a:xfrm>
                                            <a:off x="0" y="0"/>
                                            <a:ext cx="1485528" cy="1063414"/>
                                          </a:xfrm>
                                          <a:prstGeom prst="rect">
                                            <a:avLst/>
                                          </a:prstGeom>
                                          <a:ln>
                                            <a:noFill/>
                                          </a:ln>
                                          <a:extLst>
                                            <a:ext uri="{53640926-AAD7-44D8-BBD7-CCE9431645EC}">
                                              <a14:shadowObscured xmlns:a14="http://schemas.microsoft.com/office/drawing/2010/main"/>
                                            </a:ext>
                                          </a:extLst>
                                        </pic:spPr>
                                      </pic:pic>
                                    </a:graphicData>
                                  </a:graphic>
                                </wp:inline>
                              </w:drawing>
                            </w:r>
                          </w:p>
                          <w:p w:rsidR="004D4A55" w:rsidRPr="002E77E9" w:rsidRDefault="004D4A55" w:rsidP="002E77E9">
                            <w:pPr>
                              <w:pStyle w:val="Caption"/>
                              <w:spacing w:before="0" w:after="0" w:line="240" w:lineRule="auto"/>
                              <w:jc w:val="center"/>
                              <w:rPr>
                                <w:sz w:val="18"/>
                                <w:szCs w:val="16"/>
                              </w:rPr>
                            </w:pPr>
                            <w:r w:rsidRPr="00DC6211">
                              <w:rPr>
                                <w:sz w:val="14"/>
                                <w:szCs w:val="12"/>
                              </w:rPr>
                              <w:t>Australia Awards Women's Leadership Initiative participant, Malia Vaka'uta and mentor, Anita George</w:t>
                            </w:r>
                          </w:p>
                        </w:tc>
                      </w:tr>
                    </w:tbl>
                    <w:p w:rsidR="004D4A55" w:rsidRPr="002E77E9" w:rsidRDefault="004D4A55" w:rsidP="00B97E99">
                      <w:pPr>
                        <w:spacing w:before="0" w:after="0" w:line="240" w:lineRule="auto"/>
                        <w:ind w:left="142"/>
                        <w:rPr>
                          <w:rFonts w:cstheme="minorHAnsi"/>
                          <w:sz w:val="20"/>
                          <w:szCs w:val="20"/>
                        </w:rPr>
                      </w:pPr>
                      <w:r w:rsidRPr="002E77E9">
                        <w:rPr>
                          <w:rFonts w:cstheme="minorHAnsi"/>
                          <w:sz w:val="20"/>
                          <w:szCs w:val="20"/>
                        </w:rPr>
                        <w:t>Malia returned to Tonga in early 2019. With continued guidance from Anita, she has initiated a wellness project with the Nursing Institute in Tonga. Malia is committed to using her newfound leadership and the opportunities provided by WLI to make a positive impact on her country’s development. “Actions speak louder than words…this project will allow me to talk confidently to the student nurses and the people of Tonga about health issues  . . . (and to be) a role model of health.”</w:t>
                      </w:r>
                    </w:p>
                  </w:txbxContent>
                </v:textbox>
                <w10:wrap type="topAndBottom" anchorx="margin"/>
              </v:shape>
            </w:pict>
          </mc:Fallback>
        </mc:AlternateContent>
      </w:r>
    </w:p>
    <w:p w:rsidR="00AF1D29" w:rsidRDefault="00AF1D29" w:rsidP="006418CC">
      <w:pPr>
        <w:rPr>
          <w:rFonts w:eastAsia="Times New Roman"/>
          <w:color w:val="auto"/>
        </w:rPr>
      </w:pPr>
      <w:r w:rsidRPr="00506864">
        <w:rPr>
          <w:rFonts w:eastAsia="Times New Roman"/>
          <w:b/>
          <w:bCs/>
          <w:color w:val="auto"/>
        </w:rPr>
        <w:t>Vanuatu</w:t>
      </w:r>
      <w:r>
        <w:rPr>
          <w:rFonts w:eastAsia="Times New Roman"/>
          <w:color w:val="auto"/>
        </w:rPr>
        <w:t xml:space="preserve"> post’s AQC identified an ongoing challenge </w:t>
      </w:r>
      <w:r w:rsidR="00632CB1">
        <w:rPr>
          <w:rFonts w:eastAsia="Times New Roman"/>
          <w:color w:val="auto"/>
        </w:rPr>
        <w:t xml:space="preserve">as a </w:t>
      </w:r>
      <w:r>
        <w:rPr>
          <w:rFonts w:eastAsia="Times New Roman"/>
          <w:color w:val="auto"/>
        </w:rPr>
        <w:t>lack of impact beyond major provincial centres and that a third of alumni identified workplace restrictions, i</w:t>
      </w:r>
      <w:r w:rsidR="003677EF">
        <w:rPr>
          <w:rFonts w:eastAsia="Times New Roman"/>
          <w:color w:val="auto"/>
        </w:rPr>
        <w:t>.</w:t>
      </w:r>
      <w:r>
        <w:rPr>
          <w:rFonts w:eastAsia="Times New Roman"/>
          <w:color w:val="auto"/>
        </w:rPr>
        <w:t>e</w:t>
      </w:r>
      <w:r w:rsidR="003677EF">
        <w:rPr>
          <w:rFonts w:eastAsia="Times New Roman"/>
          <w:color w:val="auto"/>
        </w:rPr>
        <w:t>.</w:t>
      </w:r>
      <w:r>
        <w:rPr>
          <w:rFonts w:eastAsia="Times New Roman"/>
          <w:color w:val="auto"/>
        </w:rPr>
        <w:t xml:space="preserve"> inefficient processes, lack of resources and technology and outdated policy frameworks as barriers to them applying their newly acquired skills and knowledge. </w:t>
      </w:r>
    </w:p>
    <w:p w:rsidR="00DC06B6" w:rsidRDefault="00DC06B6" w:rsidP="00AF1D29">
      <w:pPr>
        <w:spacing w:before="240" w:line="240" w:lineRule="auto"/>
        <w:rPr>
          <w:rFonts w:eastAsia="Times New Roman"/>
          <w:color w:val="auto"/>
        </w:rPr>
      </w:pPr>
      <w:r>
        <w:rPr>
          <w:rFonts w:eastAsia="Times New Roman"/>
          <w:color w:val="auto"/>
        </w:rPr>
        <w:t xml:space="preserve">In 2019 in </w:t>
      </w:r>
      <w:r w:rsidRPr="00DC06B6">
        <w:rPr>
          <w:rFonts w:eastAsia="Times New Roman"/>
          <w:b/>
          <w:bCs/>
          <w:color w:val="auto"/>
        </w:rPr>
        <w:t>Tanzania</w:t>
      </w:r>
      <w:r w:rsidRPr="00143940">
        <w:rPr>
          <w:rStyle w:val="FootnoteReference"/>
          <w:rFonts w:eastAsia="Times New Roman"/>
          <w:bCs/>
          <w:color w:val="auto"/>
        </w:rPr>
        <w:footnoteReference w:id="11"/>
      </w:r>
      <w:r>
        <w:rPr>
          <w:rFonts w:eastAsia="Times New Roman"/>
          <w:color w:val="auto"/>
        </w:rPr>
        <w:t>, more than 500 staff, contractors and truck drivers have been train</w:t>
      </w:r>
      <w:r w:rsidR="001C64C1">
        <w:rPr>
          <w:rFonts w:eastAsia="Times New Roman"/>
          <w:color w:val="auto"/>
        </w:rPr>
        <w:t>ed</w:t>
      </w:r>
      <w:r>
        <w:rPr>
          <w:rFonts w:eastAsia="Times New Roman"/>
          <w:color w:val="auto"/>
        </w:rPr>
        <w:t xml:space="preserve"> on occupational health and safety as a result of </w:t>
      </w:r>
      <w:r w:rsidR="00632CB1">
        <w:rPr>
          <w:rFonts w:eastAsia="Times New Roman"/>
          <w:color w:val="auto"/>
        </w:rPr>
        <w:t>an</w:t>
      </w:r>
      <w:r>
        <w:rPr>
          <w:rFonts w:eastAsia="Times New Roman"/>
          <w:color w:val="auto"/>
        </w:rPr>
        <w:t xml:space="preserve"> initiative of one alumnus. </w:t>
      </w:r>
      <w:r w:rsidRPr="00DC06B6">
        <w:rPr>
          <w:rFonts w:eastAsia="Times New Roman"/>
          <w:color w:val="auto"/>
        </w:rPr>
        <w:t xml:space="preserve">Through </w:t>
      </w:r>
      <w:r>
        <w:rPr>
          <w:rFonts w:eastAsia="Times New Roman"/>
          <w:color w:val="auto"/>
        </w:rPr>
        <w:t>his</w:t>
      </w:r>
      <w:r w:rsidRPr="00DC06B6">
        <w:rPr>
          <w:rFonts w:eastAsia="Times New Roman"/>
          <w:color w:val="auto"/>
        </w:rPr>
        <w:t xml:space="preserve"> efforts and despite a quadruple growth in staff, </w:t>
      </w:r>
      <w:r>
        <w:rPr>
          <w:rFonts w:eastAsia="Times New Roman"/>
          <w:color w:val="auto"/>
        </w:rPr>
        <w:t xml:space="preserve">his </w:t>
      </w:r>
      <w:r w:rsidRPr="00DC06B6">
        <w:rPr>
          <w:rFonts w:eastAsia="Times New Roman"/>
          <w:color w:val="auto"/>
        </w:rPr>
        <w:t xml:space="preserve">company has had zero recordable injury rates and loss of containment, fire incidents, truck accidents and pollution for the past 12 months. </w:t>
      </w:r>
      <w:r>
        <w:rPr>
          <w:rFonts w:eastAsia="Times New Roman"/>
          <w:color w:val="auto"/>
        </w:rPr>
        <w:t xml:space="preserve">The alumnus </w:t>
      </w:r>
      <w:r w:rsidRPr="00DC06B6">
        <w:rPr>
          <w:rFonts w:eastAsia="Times New Roman"/>
          <w:color w:val="auto"/>
        </w:rPr>
        <w:t xml:space="preserve">completed an Australia Awards Master of Health, Safety and Environment at the Queensland University of Technology in 2016. The program equipped him with skills in work safety, occupational safety, process safety, ergonomics and environmental management, all crucial pillars of </w:t>
      </w:r>
      <w:r>
        <w:rPr>
          <w:rFonts w:eastAsia="Times New Roman"/>
          <w:color w:val="auto"/>
        </w:rPr>
        <w:t>health and safety</w:t>
      </w:r>
      <w:r w:rsidRPr="00DC06B6">
        <w:rPr>
          <w:rFonts w:eastAsia="Times New Roman"/>
          <w:color w:val="auto"/>
        </w:rPr>
        <w:t xml:space="preserve"> management.</w:t>
      </w:r>
    </w:p>
    <w:p w:rsidR="00C433EB" w:rsidRPr="00ED7C94" w:rsidRDefault="00ED7C94" w:rsidP="001748A3">
      <w:pPr>
        <w:rPr>
          <w:rFonts w:asciiTheme="majorHAnsi" w:hAnsiTheme="majorHAnsi"/>
          <w:color w:val="auto"/>
          <w:sz w:val="28"/>
        </w:rPr>
      </w:pPr>
      <w:bookmarkStart w:id="3" w:name="_Hlk15997472"/>
      <w:r w:rsidRPr="00ED7C94">
        <w:rPr>
          <w:rFonts w:asciiTheme="majorHAnsi" w:hAnsiTheme="majorHAnsi"/>
          <w:color w:val="auto"/>
          <w:sz w:val="28"/>
        </w:rPr>
        <w:t>Overall progress towards achieving Long-term Outcome 1</w:t>
      </w:r>
    </w:p>
    <w:p w:rsidR="00EF212E" w:rsidRDefault="00ED7C94" w:rsidP="00EF212E">
      <w:pPr>
        <w:rPr>
          <w:rFonts w:asciiTheme="majorHAnsi" w:eastAsiaTheme="majorEastAsia" w:hAnsiTheme="majorHAnsi" w:cstheme="majorBidi"/>
          <w:caps/>
          <w:sz w:val="32"/>
          <w:szCs w:val="32"/>
        </w:rPr>
      </w:pPr>
      <w:r>
        <w:rPr>
          <w:color w:val="auto"/>
        </w:rPr>
        <w:t>The available data suggest that alumni are using their skills, knowledge and networks to contribute to sustainable development. Again in 2019, while on-award, scholars report</w:t>
      </w:r>
      <w:r w:rsidR="00632CB1">
        <w:rPr>
          <w:color w:val="auto"/>
        </w:rPr>
        <w:t>ed</w:t>
      </w:r>
      <w:r>
        <w:rPr>
          <w:color w:val="auto"/>
        </w:rPr>
        <w:t xml:space="preserve"> that the knowledge and skills provided by their course or research </w:t>
      </w:r>
      <w:r w:rsidR="00632CB1">
        <w:rPr>
          <w:color w:val="auto"/>
        </w:rPr>
        <w:t>would</w:t>
      </w:r>
      <w:r>
        <w:rPr>
          <w:color w:val="auto"/>
        </w:rPr>
        <w:t xml:space="preserve"> be useful for working on development issues in their home countr</w:t>
      </w:r>
      <w:r w:rsidR="00632CB1">
        <w:rPr>
          <w:color w:val="auto"/>
        </w:rPr>
        <w:t>ies</w:t>
      </w:r>
      <w:r>
        <w:rPr>
          <w:color w:val="auto"/>
        </w:rPr>
        <w:t>. On return, alumni overwhelmingly agree</w:t>
      </w:r>
      <w:r w:rsidR="00632CB1">
        <w:rPr>
          <w:color w:val="auto"/>
        </w:rPr>
        <w:t>d</w:t>
      </w:r>
      <w:r>
        <w:rPr>
          <w:color w:val="auto"/>
        </w:rPr>
        <w:t xml:space="preserve"> that they </w:t>
      </w:r>
      <w:r w:rsidR="00632CB1">
        <w:rPr>
          <w:color w:val="auto"/>
        </w:rPr>
        <w:t>were</w:t>
      </w:r>
      <w:r>
        <w:rPr>
          <w:color w:val="auto"/>
        </w:rPr>
        <w:t xml:space="preserve"> passing on skills and knowledge and introducing improved practices and innovations through their work. Based on the available evidence, progress is as expected at this stage of implementation. </w:t>
      </w:r>
      <w:bookmarkEnd w:id="3"/>
      <w:r w:rsidR="00EF212E">
        <w:rPr>
          <w:rFonts w:asciiTheme="majorHAnsi" w:eastAsiaTheme="majorEastAsia" w:hAnsiTheme="majorHAnsi" w:cstheme="majorBidi"/>
          <w:caps/>
          <w:sz w:val="32"/>
          <w:szCs w:val="32"/>
        </w:rPr>
        <w:br w:type="page"/>
      </w:r>
    </w:p>
    <w:p w:rsidR="00D53ACD" w:rsidRPr="00877607" w:rsidRDefault="00ED2D1D" w:rsidP="00D53ACD">
      <w:pPr>
        <w:spacing w:before="240"/>
        <w:rPr>
          <w:rFonts w:asciiTheme="majorHAnsi" w:eastAsiaTheme="majorEastAsia" w:hAnsiTheme="majorHAnsi" w:cstheme="majorBidi"/>
          <w:caps/>
          <w:sz w:val="32"/>
          <w:szCs w:val="32"/>
        </w:rPr>
      </w:pPr>
      <w:r>
        <w:rPr>
          <w:rFonts w:asciiTheme="majorHAnsi" w:eastAsiaTheme="majorEastAsia" w:hAnsiTheme="majorHAnsi" w:cstheme="majorBidi"/>
          <w:caps/>
          <w:sz w:val="32"/>
          <w:szCs w:val="32"/>
        </w:rPr>
        <w:t>OUTCOME</w:t>
      </w:r>
      <w:r w:rsidRPr="00877607">
        <w:rPr>
          <w:rFonts w:asciiTheme="majorHAnsi" w:eastAsiaTheme="majorEastAsia" w:hAnsiTheme="majorHAnsi" w:cstheme="majorBidi"/>
          <w:caps/>
          <w:sz w:val="32"/>
          <w:szCs w:val="32"/>
        </w:rPr>
        <w:t xml:space="preserve"> </w:t>
      </w:r>
      <w:r w:rsidR="00D53ACD">
        <w:rPr>
          <w:rFonts w:asciiTheme="majorHAnsi" w:eastAsiaTheme="majorEastAsia" w:hAnsiTheme="majorHAnsi" w:cstheme="majorBidi"/>
          <w:caps/>
          <w:sz w:val="32"/>
          <w:szCs w:val="32"/>
        </w:rPr>
        <w:t>2: alumni are contributing to co</w:t>
      </w:r>
      <w:r w:rsidR="00632CB1">
        <w:rPr>
          <w:rFonts w:asciiTheme="majorHAnsi" w:eastAsiaTheme="majorEastAsia" w:hAnsiTheme="majorHAnsi" w:cstheme="majorBidi"/>
          <w:caps/>
          <w:sz w:val="32"/>
          <w:szCs w:val="32"/>
        </w:rPr>
        <w:t>o</w:t>
      </w:r>
      <w:r w:rsidR="00D53ACD">
        <w:rPr>
          <w:rFonts w:asciiTheme="majorHAnsi" w:eastAsiaTheme="majorEastAsia" w:hAnsiTheme="majorHAnsi" w:cstheme="majorBidi"/>
          <w:caps/>
          <w:sz w:val="32"/>
          <w:szCs w:val="32"/>
        </w:rPr>
        <w:t xml:space="preserve">peration between australia and partner countries </w:t>
      </w:r>
    </w:p>
    <w:p w:rsidR="00B55205" w:rsidRDefault="00D53ACD" w:rsidP="00B55205">
      <w:pPr>
        <w:spacing w:after="120"/>
        <w:rPr>
          <w:rFonts w:eastAsia="Times New Roman" w:cstheme="minorHAnsi"/>
          <w:color w:val="auto"/>
        </w:rPr>
      </w:pPr>
      <w:r w:rsidRPr="00E331F7">
        <w:rPr>
          <w:rFonts w:eastAsia="Times New Roman" w:cstheme="minorHAnsi"/>
          <w:color w:val="auto"/>
        </w:rPr>
        <w:t xml:space="preserve">This outcome addresses the </w:t>
      </w:r>
      <w:r w:rsidR="005906A0">
        <w:rPr>
          <w:rFonts w:eastAsia="Times New Roman" w:cstheme="minorHAnsi"/>
          <w:color w:val="auto"/>
        </w:rPr>
        <w:t xml:space="preserve">breadth </w:t>
      </w:r>
      <w:r w:rsidRPr="00E331F7">
        <w:rPr>
          <w:rFonts w:eastAsia="Times New Roman" w:cstheme="minorHAnsi"/>
          <w:color w:val="auto"/>
        </w:rPr>
        <w:t>of contributions alumni make to the relationship between partner countries and Australia ranging from the use of technical skills and knowledge</w:t>
      </w:r>
      <w:r w:rsidR="00632CB1">
        <w:rPr>
          <w:rFonts w:eastAsia="Times New Roman" w:cstheme="minorHAnsi"/>
          <w:color w:val="auto"/>
        </w:rPr>
        <w:t xml:space="preserve"> and </w:t>
      </w:r>
      <w:r w:rsidRPr="00E331F7">
        <w:rPr>
          <w:rFonts w:eastAsia="Times New Roman" w:cstheme="minorHAnsi"/>
          <w:color w:val="auto"/>
        </w:rPr>
        <w:t xml:space="preserve">trade linkages </w:t>
      </w:r>
      <w:r w:rsidR="00632CB1">
        <w:rPr>
          <w:rFonts w:eastAsia="Times New Roman" w:cstheme="minorHAnsi"/>
          <w:color w:val="auto"/>
        </w:rPr>
        <w:t>to</w:t>
      </w:r>
      <w:r w:rsidRPr="00E331F7">
        <w:rPr>
          <w:rFonts w:eastAsia="Times New Roman" w:cstheme="minorHAnsi"/>
          <w:color w:val="auto"/>
        </w:rPr>
        <w:t xml:space="preserve"> facilitating other beneficial relationships. </w:t>
      </w:r>
      <w:r w:rsidR="000D3548">
        <w:rPr>
          <w:rFonts w:eastAsia="Times New Roman" w:cstheme="minorHAnsi"/>
          <w:color w:val="auto"/>
        </w:rPr>
        <w:t xml:space="preserve">It is </w:t>
      </w:r>
      <w:r w:rsidR="00B55205">
        <w:rPr>
          <w:rFonts w:eastAsia="Times New Roman" w:cstheme="minorHAnsi"/>
          <w:color w:val="auto"/>
        </w:rPr>
        <w:t xml:space="preserve">measured </w:t>
      </w:r>
      <w:r w:rsidR="00632CB1">
        <w:rPr>
          <w:rFonts w:eastAsia="Times New Roman" w:cstheme="minorHAnsi"/>
          <w:color w:val="auto"/>
        </w:rPr>
        <w:t>using</w:t>
      </w:r>
      <w:r w:rsidR="00B55205">
        <w:rPr>
          <w:rFonts w:eastAsia="Times New Roman" w:cstheme="minorHAnsi"/>
          <w:color w:val="auto"/>
        </w:rPr>
        <w:t xml:space="preserve"> information collected through the annual </w:t>
      </w:r>
      <w:r w:rsidR="006B6C19">
        <w:rPr>
          <w:rFonts w:eastAsia="Times New Roman"/>
          <w:color w:val="auto"/>
        </w:rPr>
        <w:t>on-award surveys</w:t>
      </w:r>
      <w:r w:rsidR="00632CB1">
        <w:rPr>
          <w:rFonts w:eastAsia="Times New Roman" w:cstheme="minorHAnsi"/>
          <w:color w:val="auto"/>
        </w:rPr>
        <w:t xml:space="preserve">, </w:t>
      </w:r>
      <w:r w:rsidR="00ED2D1D">
        <w:rPr>
          <w:rFonts w:eastAsia="Times New Roman" w:cstheme="minorHAnsi"/>
          <w:color w:val="auto"/>
        </w:rPr>
        <w:t xml:space="preserve">Global </w:t>
      </w:r>
      <w:r w:rsidR="00B55205">
        <w:rPr>
          <w:rFonts w:eastAsia="Times New Roman" w:cstheme="minorHAnsi"/>
          <w:color w:val="auto"/>
        </w:rPr>
        <w:t>Tracer Facility reports</w:t>
      </w:r>
      <w:r w:rsidR="00ED2D1D">
        <w:rPr>
          <w:rFonts w:eastAsia="Times New Roman" w:cstheme="minorHAnsi"/>
          <w:color w:val="auto"/>
        </w:rPr>
        <w:t>,</w:t>
      </w:r>
      <w:r w:rsidR="00B55205">
        <w:rPr>
          <w:rFonts w:eastAsia="Times New Roman" w:cstheme="minorHAnsi"/>
          <w:color w:val="auto"/>
        </w:rPr>
        <w:t xml:space="preserve"> AQCs</w:t>
      </w:r>
      <w:r w:rsidR="005906A0">
        <w:rPr>
          <w:rFonts w:eastAsia="Times New Roman" w:cstheme="minorHAnsi"/>
          <w:color w:val="auto"/>
        </w:rPr>
        <w:t xml:space="preserve">, and </w:t>
      </w:r>
      <w:r w:rsidR="00466841">
        <w:rPr>
          <w:rFonts w:eastAsia="Times New Roman" w:cstheme="minorHAnsi"/>
          <w:color w:val="auto"/>
        </w:rPr>
        <w:t>alumni activities and anecdotal reports from posts</w:t>
      </w:r>
      <w:r w:rsidR="005906A0">
        <w:rPr>
          <w:rFonts w:eastAsia="Times New Roman" w:cstheme="minorHAnsi"/>
          <w:color w:val="auto"/>
        </w:rPr>
        <w:t xml:space="preserve">. </w:t>
      </w:r>
      <w:r w:rsidR="000D3548">
        <w:rPr>
          <w:rFonts w:eastAsia="Times New Roman" w:cstheme="minorHAnsi"/>
          <w:color w:val="auto"/>
        </w:rPr>
        <w:t>Measures used include</w:t>
      </w:r>
      <w:r w:rsidR="00632CB1">
        <w:rPr>
          <w:rFonts w:eastAsia="Times New Roman" w:cstheme="minorHAnsi"/>
          <w:color w:val="auto"/>
        </w:rPr>
        <w:t>d</w:t>
      </w:r>
      <w:r w:rsidR="000D3548">
        <w:rPr>
          <w:rFonts w:eastAsia="Times New Roman" w:cstheme="minorHAnsi"/>
          <w:color w:val="auto"/>
        </w:rPr>
        <w:t xml:space="preserve"> frequency of contact, </w:t>
      </w:r>
      <w:r w:rsidR="00632CB1">
        <w:rPr>
          <w:rFonts w:eastAsia="Times New Roman" w:cstheme="minorHAnsi"/>
          <w:color w:val="auto"/>
        </w:rPr>
        <w:t>and the</w:t>
      </w:r>
      <w:r w:rsidR="000D3548">
        <w:rPr>
          <w:rFonts w:eastAsia="Times New Roman" w:cstheme="minorHAnsi"/>
          <w:color w:val="auto"/>
        </w:rPr>
        <w:t xml:space="preserve"> types of people and organisations with whom alumni </w:t>
      </w:r>
      <w:r w:rsidR="00632CB1">
        <w:rPr>
          <w:rFonts w:eastAsia="Times New Roman" w:cstheme="minorHAnsi"/>
          <w:color w:val="auto"/>
        </w:rPr>
        <w:t>were</w:t>
      </w:r>
      <w:r w:rsidR="000D3548">
        <w:rPr>
          <w:rFonts w:eastAsia="Times New Roman" w:cstheme="minorHAnsi"/>
          <w:color w:val="auto"/>
        </w:rPr>
        <w:t xml:space="preserve"> maintaining contact. It also </w:t>
      </w:r>
      <w:r w:rsidR="009656F6">
        <w:rPr>
          <w:rFonts w:eastAsia="Times New Roman" w:cstheme="minorHAnsi"/>
          <w:color w:val="auto"/>
        </w:rPr>
        <w:t>examine</w:t>
      </w:r>
      <w:r w:rsidR="00632CB1">
        <w:rPr>
          <w:rFonts w:eastAsia="Times New Roman" w:cstheme="minorHAnsi"/>
          <w:color w:val="auto"/>
        </w:rPr>
        <w:t>d</w:t>
      </w:r>
      <w:r w:rsidR="000D3548">
        <w:rPr>
          <w:rFonts w:eastAsia="Times New Roman" w:cstheme="minorHAnsi"/>
          <w:color w:val="auto"/>
        </w:rPr>
        <w:t xml:space="preserve"> the types of cooperative relationships that alumni have made with Australians, using a range of examples provided by alumni. </w:t>
      </w:r>
      <w:r w:rsidR="005906A0">
        <w:rPr>
          <w:rFonts w:eastAsia="Times New Roman" w:cstheme="minorHAnsi"/>
          <w:color w:val="auto"/>
        </w:rPr>
        <w:t>This information and data</w:t>
      </w:r>
      <w:r w:rsidR="00466841">
        <w:rPr>
          <w:rFonts w:eastAsia="Times New Roman" w:cstheme="minorHAnsi"/>
          <w:color w:val="auto"/>
        </w:rPr>
        <w:t xml:space="preserve"> indicate that this long-term objective is on track.</w:t>
      </w:r>
    </w:p>
    <w:p w:rsidR="00F93B5C" w:rsidRPr="00F93B5C" w:rsidRDefault="00CC0A63" w:rsidP="000D3548">
      <w:pPr>
        <w:spacing w:after="120"/>
        <w:rPr>
          <w:rFonts w:asciiTheme="majorHAnsi" w:eastAsia="Times New Roman" w:hAnsiTheme="majorHAnsi"/>
          <w:color w:val="auto"/>
          <w:sz w:val="28"/>
        </w:rPr>
      </w:pPr>
      <w:r>
        <w:rPr>
          <w:rFonts w:asciiTheme="majorHAnsi" w:eastAsia="Times New Roman" w:hAnsiTheme="majorHAnsi"/>
          <w:color w:val="auto"/>
          <w:sz w:val="28"/>
        </w:rPr>
        <w:t>Cooperation</w:t>
      </w:r>
      <w:r w:rsidR="001D744B">
        <w:rPr>
          <w:rFonts w:asciiTheme="majorHAnsi" w:eastAsia="Times New Roman" w:hAnsiTheme="majorHAnsi"/>
          <w:color w:val="auto"/>
          <w:sz w:val="28"/>
        </w:rPr>
        <w:t>, Social</w:t>
      </w:r>
      <w:r>
        <w:rPr>
          <w:rFonts w:asciiTheme="majorHAnsi" w:eastAsia="Times New Roman" w:hAnsiTheme="majorHAnsi"/>
          <w:color w:val="auto"/>
          <w:sz w:val="28"/>
        </w:rPr>
        <w:t xml:space="preserve"> and Professional Links</w:t>
      </w:r>
    </w:p>
    <w:p w:rsidR="00CC0A63" w:rsidRDefault="00CC0A63" w:rsidP="00B55205">
      <w:pPr>
        <w:spacing w:after="120"/>
        <w:rPr>
          <w:rFonts w:eastAsia="Times New Roman"/>
          <w:color w:val="auto"/>
        </w:rPr>
      </w:pPr>
      <w:r>
        <w:rPr>
          <w:rFonts w:eastAsia="Times New Roman"/>
          <w:color w:val="auto"/>
        </w:rPr>
        <w:t>Examples of monitoring and evaluation measures to demonstrate the impact of cooperation and professional links between Australia and alumni include the number and percentage of:</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7"/>
        <w:gridCol w:w="2407"/>
        <w:gridCol w:w="2407"/>
        <w:gridCol w:w="2407"/>
      </w:tblGrid>
      <w:tr w:rsidR="001D744B" w:rsidTr="001D744B">
        <w:tc>
          <w:tcPr>
            <w:tcW w:w="2407" w:type="dxa"/>
          </w:tcPr>
          <w:p w:rsidR="001D744B" w:rsidRPr="009656F6" w:rsidRDefault="001D744B" w:rsidP="00B55205">
            <w:pPr>
              <w:spacing w:after="120"/>
              <w:rPr>
                <w:rFonts w:eastAsia="Times New Roman"/>
                <w:color w:val="auto"/>
                <w:sz w:val="20"/>
                <w:szCs w:val="20"/>
              </w:rPr>
            </w:pPr>
            <w:r w:rsidRPr="009656F6">
              <w:rPr>
                <w:rFonts w:eastAsia="Times New Roman"/>
                <w:color w:val="auto"/>
                <w:sz w:val="20"/>
                <w:szCs w:val="20"/>
              </w:rPr>
              <w:t>Alumni reporting continued social contact with friends in Australia</w:t>
            </w:r>
          </w:p>
        </w:tc>
        <w:tc>
          <w:tcPr>
            <w:tcW w:w="2407" w:type="dxa"/>
          </w:tcPr>
          <w:p w:rsidR="001D744B" w:rsidRPr="009656F6" w:rsidRDefault="001D744B" w:rsidP="00B55205">
            <w:pPr>
              <w:spacing w:after="120"/>
              <w:rPr>
                <w:rFonts w:eastAsia="Times New Roman"/>
                <w:color w:val="auto"/>
                <w:sz w:val="20"/>
                <w:szCs w:val="20"/>
              </w:rPr>
            </w:pPr>
            <w:r w:rsidRPr="009656F6">
              <w:rPr>
                <w:rFonts w:eastAsia="Times New Roman"/>
                <w:color w:val="auto"/>
                <w:sz w:val="20"/>
                <w:szCs w:val="20"/>
              </w:rPr>
              <w:t>Frequency of alumni contact with Australian businesses</w:t>
            </w:r>
          </w:p>
        </w:tc>
        <w:tc>
          <w:tcPr>
            <w:tcW w:w="2407" w:type="dxa"/>
          </w:tcPr>
          <w:p w:rsidR="001D744B" w:rsidRPr="009656F6" w:rsidRDefault="001D744B" w:rsidP="00B55205">
            <w:pPr>
              <w:spacing w:after="120"/>
              <w:rPr>
                <w:rFonts w:eastAsia="Times New Roman"/>
                <w:color w:val="auto"/>
                <w:sz w:val="20"/>
                <w:szCs w:val="20"/>
              </w:rPr>
            </w:pPr>
            <w:r w:rsidRPr="009656F6">
              <w:rPr>
                <w:rFonts w:eastAsia="Times New Roman"/>
                <w:color w:val="auto"/>
                <w:sz w:val="20"/>
                <w:szCs w:val="20"/>
              </w:rPr>
              <w:t>Frequency of contact with Australian embassy/high commission/consulate</w:t>
            </w:r>
          </w:p>
        </w:tc>
        <w:tc>
          <w:tcPr>
            <w:tcW w:w="2407" w:type="dxa"/>
          </w:tcPr>
          <w:p w:rsidR="001D744B" w:rsidRPr="009656F6" w:rsidRDefault="001D744B" w:rsidP="00B55205">
            <w:pPr>
              <w:spacing w:after="120"/>
              <w:rPr>
                <w:rFonts w:eastAsia="Times New Roman"/>
                <w:color w:val="auto"/>
                <w:sz w:val="20"/>
                <w:szCs w:val="20"/>
              </w:rPr>
            </w:pPr>
            <w:r w:rsidRPr="009656F6">
              <w:rPr>
                <w:rFonts w:eastAsia="Times New Roman"/>
                <w:color w:val="auto"/>
                <w:sz w:val="20"/>
                <w:szCs w:val="20"/>
              </w:rPr>
              <w:t xml:space="preserve">Frequency of contact with alumni Australian host institutions </w:t>
            </w:r>
          </w:p>
        </w:tc>
      </w:tr>
    </w:tbl>
    <w:p w:rsidR="00F26508" w:rsidRDefault="00632CB1" w:rsidP="00F26508">
      <w:pPr>
        <w:spacing w:after="120"/>
        <w:rPr>
          <w:rFonts w:eastAsia="Times New Roman"/>
          <w:color w:val="auto"/>
        </w:rPr>
      </w:pPr>
      <w:r>
        <w:rPr>
          <w:rFonts w:eastAsia="Times New Roman"/>
          <w:color w:val="auto"/>
        </w:rPr>
        <w:t xml:space="preserve">In the </w:t>
      </w:r>
      <w:r w:rsidR="006B6C19">
        <w:rPr>
          <w:rFonts w:eastAsia="Times New Roman"/>
          <w:color w:val="auto"/>
        </w:rPr>
        <w:t>2018 on-award surveys</w:t>
      </w:r>
      <w:r>
        <w:rPr>
          <w:rFonts w:eastAsia="Times New Roman"/>
          <w:color w:val="auto"/>
        </w:rPr>
        <w:t>,</w:t>
      </w:r>
      <w:r w:rsidR="006B6C19">
        <w:rPr>
          <w:rFonts w:eastAsia="Times New Roman"/>
          <w:color w:val="auto"/>
        </w:rPr>
        <w:t xml:space="preserve"> </w:t>
      </w:r>
      <w:r w:rsidR="00B55205">
        <w:rPr>
          <w:rFonts w:eastAsia="Times New Roman"/>
          <w:color w:val="auto"/>
        </w:rPr>
        <w:t xml:space="preserve">77 per cent of ongoing students who responded to the survey reported that they </w:t>
      </w:r>
      <w:r w:rsidR="006629E3">
        <w:rPr>
          <w:rFonts w:eastAsia="Times New Roman"/>
          <w:color w:val="auto"/>
        </w:rPr>
        <w:t>were well</w:t>
      </w:r>
      <w:r w:rsidR="00B55205">
        <w:rPr>
          <w:rFonts w:eastAsia="Times New Roman"/>
          <w:color w:val="auto"/>
        </w:rPr>
        <w:t xml:space="preserve"> positioned to contribute to cooperation between Australia and partner countries. Th</w:t>
      </w:r>
      <w:r w:rsidR="00ED2D1D">
        <w:rPr>
          <w:rFonts w:eastAsia="Times New Roman"/>
          <w:color w:val="auto"/>
        </w:rPr>
        <w:t>e</w:t>
      </w:r>
      <w:r w:rsidR="00B55205">
        <w:rPr>
          <w:rFonts w:eastAsia="Times New Roman"/>
          <w:color w:val="auto"/>
        </w:rPr>
        <w:t xml:space="preserve"> </w:t>
      </w:r>
      <w:r w:rsidR="00ED2D1D">
        <w:rPr>
          <w:rFonts w:eastAsia="Times New Roman"/>
          <w:color w:val="auto"/>
        </w:rPr>
        <w:t>survey</w:t>
      </w:r>
      <w:r w:rsidR="00894CC4">
        <w:rPr>
          <w:rFonts w:eastAsia="Times New Roman"/>
          <w:color w:val="auto"/>
        </w:rPr>
        <w:t xml:space="preserve"> </w:t>
      </w:r>
      <w:r w:rsidR="00ED2D1D">
        <w:rPr>
          <w:rFonts w:eastAsia="Times New Roman"/>
          <w:color w:val="auto"/>
        </w:rPr>
        <w:t>findings</w:t>
      </w:r>
      <w:r w:rsidR="00B55205">
        <w:rPr>
          <w:rFonts w:eastAsia="Times New Roman"/>
          <w:color w:val="auto"/>
        </w:rPr>
        <w:t xml:space="preserve"> also suggested there </w:t>
      </w:r>
      <w:r w:rsidR="006629E3">
        <w:rPr>
          <w:rFonts w:eastAsia="Times New Roman"/>
          <w:color w:val="auto"/>
        </w:rPr>
        <w:t>were</w:t>
      </w:r>
      <w:r w:rsidR="00B55205">
        <w:rPr>
          <w:rFonts w:eastAsia="Times New Roman"/>
          <w:color w:val="auto"/>
        </w:rPr>
        <w:t xml:space="preserve"> further opportunities for improvement to broaden the </w:t>
      </w:r>
      <w:r w:rsidR="00B55205" w:rsidRPr="001D744B">
        <w:rPr>
          <w:rFonts w:eastAsia="Times New Roman"/>
          <w:b/>
          <w:bCs/>
          <w:color w:val="auto"/>
        </w:rPr>
        <w:t>social interactions</w:t>
      </w:r>
      <w:r w:rsidR="00B55205">
        <w:rPr>
          <w:rFonts w:eastAsia="Times New Roman"/>
          <w:color w:val="auto"/>
        </w:rPr>
        <w:t xml:space="preserve"> between Australia Award students and their Australian counterparts and wider Australian community. As has </w:t>
      </w:r>
      <w:r w:rsidR="001B00CD">
        <w:rPr>
          <w:rFonts w:eastAsia="Times New Roman"/>
          <w:color w:val="auto"/>
        </w:rPr>
        <w:t xml:space="preserve">been the case </w:t>
      </w:r>
      <w:r w:rsidR="00B55205">
        <w:rPr>
          <w:rFonts w:eastAsia="Times New Roman"/>
          <w:color w:val="auto"/>
        </w:rPr>
        <w:t xml:space="preserve">for the last six years, students reported that, apart from their family, they were most likely to spend time in a social setting with other international students (81 per cent) and students from their own country (74 per cent). Only 34 per cent of respondents reported spending time with Australian students and 38 per cent with Australians who </w:t>
      </w:r>
      <w:r w:rsidR="006629E3">
        <w:rPr>
          <w:rFonts w:eastAsia="Times New Roman"/>
          <w:color w:val="auto"/>
        </w:rPr>
        <w:t>weren’t</w:t>
      </w:r>
      <w:r w:rsidR="00B55205">
        <w:rPr>
          <w:rFonts w:eastAsia="Times New Roman"/>
          <w:color w:val="auto"/>
        </w:rPr>
        <w:t xml:space="preserve"> students. </w:t>
      </w:r>
    </w:p>
    <w:p w:rsidR="00734D26" w:rsidRDefault="00734D26" w:rsidP="00734D26">
      <w:pPr>
        <w:spacing w:after="120"/>
        <w:rPr>
          <w:rFonts w:eastAsia="Times New Roman"/>
          <w:color w:val="auto"/>
        </w:rPr>
      </w:pPr>
      <w:r>
        <w:rPr>
          <w:noProof/>
          <w:lang w:val="en-AU" w:eastAsia="en-AU"/>
        </w:rPr>
        <w:drawing>
          <wp:inline distT="0" distB="0" distL="0" distR="0" wp14:anchorId="198F39C1" wp14:editId="26A75D5C">
            <wp:extent cx="6086475" cy="2524125"/>
            <wp:effectExtent l="0" t="0" r="9525" b="9525"/>
            <wp:docPr id="3" name="Chart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34D26" w:rsidRDefault="00734D26" w:rsidP="00734D26">
      <w:pPr>
        <w:spacing w:after="120"/>
        <w:rPr>
          <w:rFonts w:eastAsia="Times New Roman"/>
          <w:color w:val="auto"/>
          <w:sz w:val="18"/>
          <w:szCs w:val="18"/>
        </w:rPr>
      </w:pPr>
      <w:r w:rsidRPr="00D62067">
        <w:rPr>
          <w:rFonts w:eastAsia="Times New Roman"/>
          <w:color w:val="auto"/>
          <w:sz w:val="18"/>
          <w:szCs w:val="18"/>
        </w:rPr>
        <w:t xml:space="preserve">Figure </w:t>
      </w:r>
      <w:r w:rsidR="00ED1F78">
        <w:rPr>
          <w:rFonts w:eastAsia="Times New Roman"/>
          <w:color w:val="auto"/>
          <w:sz w:val="18"/>
          <w:szCs w:val="18"/>
        </w:rPr>
        <w:t>5</w:t>
      </w:r>
      <w:r w:rsidRPr="00D62067">
        <w:rPr>
          <w:rFonts w:eastAsia="Times New Roman"/>
          <w:color w:val="auto"/>
          <w:sz w:val="18"/>
          <w:szCs w:val="18"/>
        </w:rPr>
        <w:t>: Source Australia Awards Global Tracer Facility Survey Report Year 3, Alumni of 2011 to 2016</w:t>
      </w:r>
    </w:p>
    <w:p w:rsidR="00734D26" w:rsidRDefault="00734D26" w:rsidP="00F26508">
      <w:pPr>
        <w:spacing w:after="120"/>
        <w:rPr>
          <w:rFonts w:eastAsia="Times New Roman"/>
          <w:color w:val="auto"/>
        </w:rPr>
      </w:pPr>
    </w:p>
    <w:p w:rsidR="00CC0A63" w:rsidRDefault="00ED1F78" w:rsidP="00CC0A63">
      <w:pPr>
        <w:spacing w:after="120"/>
        <w:rPr>
          <w:rFonts w:eastAsia="Times New Roman"/>
          <w:color w:val="auto"/>
        </w:rPr>
      </w:pPr>
      <w:r>
        <w:rPr>
          <w:rFonts w:eastAsia="Times New Roman"/>
          <w:b/>
          <w:bCs/>
          <w:color w:val="auto"/>
        </w:rPr>
        <w:t>Figure 5</w:t>
      </w:r>
      <w:r w:rsidR="00294F96">
        <w:rPr>
          <w:rFonts w:eastAsia="Times New Roman"/>
          <w:color w:val="auto"/>
        </w:rPr>
        <w:t xml:space="preserve"> illustrates a number of the measures available in </w:t>
      </w:r>
      <w:r w:rsidR="006629E3">
        <w:rPr>
          <w:rFonts w:eastAsia="Times New Roman"/>
          <w:color w:val="auto"/>
        </w:rPr>
        <w:t xml:space="preserve">the </w:t>
      </w:r>
      <w:r w:rsidR="00294F96" w:rsidRPr="00AF1D29">
        <w:rPr>
          <w:rFonts w:eastAsia="Times New Roman" w:cstheme="minorHAnsi"/>
          <w:color w:val="auto"/>
        </w:rPr>
        <w:t xml:space="preserve">2019 </w:t>
      </w:r>
      <w:r w:rsidR="00294F96">
        <w:rPr>
          <w:rFonts w:eastAsia="Times New Roman" w:cstheme="minorHAnsi"/>
          <w:color w:val="auto"/>
        </w:rPr>
        <w:t xml:space="preserve">Global </w:t>
      </w:r>
      <w:r w:rsidR="00294F96" w:rsidRPr="00AF1D29">
        <w:rPr>
          <w:rFonts w:eastAsia="Times New Roman" w:cstheme="minorHAnsi"/>
          <w:color w:val="auto"/>
        </w:rPr>
        <w:t>Tracer</w:t>
      </w:r>
      <w:r w:rsidR="00294F96">
        <w:rPr>
          <w:rFonts w:eastAsia="Times New Roman"/>
          <w:color w:val="auto"/>
        </w:rPr>
        <w:t xml:space="preserve"> Survey Report</w:t>
      </w:r>
      <w:r w:rsidR="00294F96">
        <w:rPr>
          <w:rStyle w:val="FootnoteReference"/>
          <w:rFonts w:eastAsia="Times New Roman"/>
          <w:color w:val="auto"/>
        </w:rPr>
        <w:t xml:space="preserve"> </w:t>
      </w:r>
      <w:r w:rsidR="00294F96">
        <w:rPr>
          <w:rStyle w:val="FootnoteReference"/>
          <w:rFonts w:eastAsia="Times New Roman"/>
          <w:color w:val="auto"/>
        </w:rPr>
        <w:footnoteReference w:id="12"/>
      </w:r>
      <w:r w:rsidR="00294F96">
        <w:rPr>
          <w:rFonts w:eastAsia="Times New Roman"/>
          <w:color w:val="auto"/>
        </w:rPr>
        <w:t xml:space="preserve"> to assess the levels of social and professional links reported by alumni. The 2019 survey </w:t>
      </w:r>
      <w:r w:rsidR="00CC0A63">
        <w:rPr>
          <w:rFonts w:eastAsia="Times New Roman"/>
          <w:color w:val="auto"/>
        </w:rPr>
        <w:t>found that 40 per cent of all alumni surveyed reported that they sometimes</w:t>
      </w:r>
      <w:r w:rsidR="003677EF">
        <w:rPr>
          <w:rFonts w:eastAsia="Times New Roman"/>
          <w:color w:val="auto"/>
        </w:rPr>
        <w:t>,</w:t>
      </w:r>
      <w:r w:rsidR="00CC0A63">
        <w:rPr>
          <w:rFonts w:eastAsia="Times New Roman"/>
          <w:color w:val="auto"/>
        </w:rPr>
        <w:t xml:space="preserve"> often or always had </w:t>
      </w:r>
      <w:r w:rsidR="00CC0A63" w:rsidRPr="001D744B">
        <w:rPr>
          <w:rFonts w:eastAsia="Times New Roman"/>
          <w:b/>
          <w:bCs/>
          <w:color w:val="auto"/>
        </w:rPr>
        <w:t>contact with professional associations or Australian businesses</w:t>
      </w:r>
      <w:r w:rsidR="00CC0A63">
        <w:rPr>
          <w:rFonts w:eastAsia="Times New Roman"/>
          <w:color w:val="auto"/>
        </w:rPr>
        <w:t xml:space="preserve"> (30 per cent of fellowship alumni, 41 per cent scholarship respondents). The ongoing levels of social contact were marginally higher with 77 per cent sometimes, often or always having contact with friends in Australia (63 per cent of fellowship alumni and 81 per cent of scholarship alumni). Contact with an Australian embassy, high commission or consulate was reportedly less frequent with only 33 per cent sometimes, often or always having contact (23 per cent of fellowship alumni and 36 per cent of scholarship alumni)</w:t>
      </w:r>
      <w:r w:rsidR="00315E63">
        <w:rPr>
          <w:rFonts w:eastAsia="Times New Roman"/>
          <w:color w:val="auto"/>
        </w:rPr>
        <w:t>.</w:t>
      </w:r>
      <w:r w:rsidR="00CC0A63">
        <w:rPr>
          <w:rFonts w:eastAsia="Times New Roman"/>
          <w:color w:val="auto"/>
        </w:rPr>
        <w:t xml:space="preserve"> </w:t>
      </w:r>
      <w:r w:rsidR="00B159DB">
        <w:rPr>
          <w:rFonts w:eastAsia="Times New Roman"/>
          <w:color w:val="auto"/>
        </w:rPr>
        <w:t xml:space="preserve">The study found no major differences across region, sex or field of study. </w:t>
      </w:r>
    </w:p>
    <w:p w:rsidR="000C7AFC" w:rsidRPr="00143940" w:rsidRDefault="000C7AFC" w:rsidP="00CC0A63">
      <w:pPr>
        <w:spacing w:after="120"/>
        <w:rPr>
          <w:rFonts w:eastAsia="Times New Roman"/>
          <w:color w:val="auto"/>
        </w:rPr>
      </w:pPr>
      <w:r w:rsidRPr="00143940">
        <w:rPr>
          <w:rFonts w:eastAsia="Times New Roman"/>
          <w:color w:val="auto"/>
        </w:rPr>
        <w:t xml:space="preserve">Of all the links identified by alumni through the Tracer Survey, by far the most common link was with an Australian university </w:t>
      </w:r>
      <w:r w:rsidR="00734D26">
        <w:rPr>
          <w:rFonts w:eastAsia="Times New Roman"/>
          <w:color w:val="auto"/>
        </w:rPr>
        <w:t xml:space="preserve">- </w:t>
      </w:r>
      <w:r w:rsidRPr="00143940">
        <w:rPr>
          <w:rFonts w:eastAsia="Times New Roman"/>
          <w:color w:val="auto"/>
        </w:rPr>
        <w:t>4</w:t>
      </w:r>
      <w:r w:rsidRPr="000C7AFC">
        <w:rPr>
          <w:rFonts w:eastAsia="Times New Roman"/>
          <w:color w:val="auto"/>
        </w:rPr>
        <w:t>9 per cent of all partnerships</w:t>
      </w:r>
      <w:r w:rsidR="00734D26">
        <w:rPr>
          <w:rFonts w:eastAsia="Times New Roman"/>
          <w:color w:val="auto"/>
        </w:rPr>
        <w:t xml:space="preserve"> (Figure </w:t>
      </w:r>
      <w:r w:rsidR="00ED1F78">
        <w:rPr>
          <w:rFonts w:eastAsia="Times New Roman"/>
          <w:color w:val="auto"/>
        </w:rPr>
        <w:t>6</w:t>
      </w:r>
      <w:r w:rsidR="00734D26">
        <w:rPr>
          <w:rFonts w:eastAsia="Times New Roman"/>
          <w:color w:val="auto"/>
        </w:rPr>
        <w:t>)</w:t>
      </w:r>
      <w:r w:rsidRPr="00143940">
        <w:rPr>
          <w:rFonts w:eastAsia="Times New Roman"/>
          <w:color w:val="auto"/>
        </w:rPr>
        <w:t>.</w:t>
      </w:r>
    </w:p>
    <w:p w:rsidR="000C7AFC" w:rsidRDefault="00C01021" w:rsidP="000C7AFC">
      <w:pPr>
        <w:pStyle w:val="Caption"/>
      </w:pPr>
      <w:r>
        <w:rPr>
          <w:noProof/>
          <w:lang w:val="en-AU" w:eastAsia="en-AU"/>
        </w:rPr>
        <w:drawing>
          <wp:inline distT="0" distB="0" distL="0" distR="0" wp14:anchorId="6BEA5DBC" wp14:editId="36FAF9AB">
            <wp:extent cx="5124450" cy="2886075"/>
            <wp:effectExtent l="0" t="0" r="0" b="9525"/>
            <wp:docPr id="7" name="Chart 7">
              <a:extLst xmlns:a="http://schemas.openxmlformats.org/drawingml/2006/main">
                <a:ext uri="{FF2B5EF4-FFF2-40B4-BE49-F238E27FC236}">
                  <a16:creationId xmlns:a16="http://schemas.microsoft.com/office/drawing/2014/main" id="{3B3246B8-77A2-4B00-842F-47F9C011A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17AA" w:rsidRDefault="001417AA" w:rsidP="000C7AFC">
      <w:pPr>
        <w:pStyle w:val="Caption"/>
        <w:rPr>
          <w:b w:val="0"/>
          <w:bCs/>
        </w:rPr>
      </w:pPr>
    </w:p>
    <w:p w:rsidR="000C7AFC" w:rsidRPr="007925A6" w:rsidRDefault="000C7AFC" w:rsidP="000C7AFC">
      <w:pPr>
        <w:pStyle w:val="Caption"/>
        <w:rPr>
          <w:b w:val="0"/>
          <w:bCs/>
          <w:szCs w:val="22"/>
        </w:rPr>
      </w:pPr>
      <w:r w:rsidRPr="007925A6">
        <w:rPr>
          <w:b w:val="0"/>
          <w:bCs/>
        </w:rPr>
        <w:t xml:space="preserve">Figure </w:t>
      </w:r>
      <w:r w:rsidR="00ED1F78">
        <w:rPr>
          <w:b w:val="0"/>
          <w:bCs/>
        </w:rPr>
        <w:t>6</w:t>
      </w:r>
      <w:r w:rsidRPr="007925A6">
        <w:rPr>
          <w:b w:val="0"/>
          <w:bCs/>
        </w:rPr>
        <w:t xml:space="preserve">: </w:t>
      </w:r>
      <w:r w:rsidRPr="007925A6">
        <w:rPr>
          <w:rFonts w:eastAsia="Times New Roman"/>
          <w:b w:val="0"/>
          <w:bCs/>
          <w:color w:val="auto"/>
          <w:sz w:val="18"/>
        </w:rPr>
        <w:t>Source Australia Awards Global Tracer Facility Survey Report Year 3, Alumni of 2011 to 2016</w:t>
      </w:r>
      <w:r w:rsidRPr="007925A6">
        <w:rPr>
          <w:b w:val="0"/>
          <w:bCs/>
          <w:noProof/>
          <w:lang w:eastAsia="en-AU"/>
        </w:rPr>
        <w:t xml:space="preserve"> </w:t>
      </w:r>
    </w:p>
    <w:p w:rsidR="004C111D" w:rsidRPr="004C111D" w:rsidRDefault="004C111D" w:rsidP="004C111D">
      <w:pPr>
        <w:spacing w:after="120"/>
        <w:rPr>
          <w:rFonts w:asciiTheme="majorHAnsi" w:eastAsia="Times New Roman" w:hAnsiTheme="majorHAnsi"/>
          <w:color w:val="auto"/>
          <w:sz w:val="28"/>
        </w:rPr>
      </w:pPr>
      <w:r w:rsidRPr="004C111D">
        <w:rPr>
          <w:rFonts w:asciiTheme="majorHAnsi" w:eastAsia="Times New Roman" w:hAnsiTheme="majorHAnsi"/>
          <w:color w:val="auto"/>
          <w:sz w:val="28"/>
        </w:rPr>
        <w:t>On-award experiences</w:t>
      </w:r>
    </w:p>
    <w:p w:rsidR="00FC2EF3" w:rsidRDefault="00FC2EF3" w:rsidP="009656F6">
      <w:pPr>
        <w:rPr>
          <w:bCs/>
          <w:color w:val="auto"/>
        </w:rPr>
      </w:pPr>
      <w:r w:rsidRPr="001E1C06">
        <w:rPr>
          <w:bCs/>
          <w:color w:val="auto"/>
        </w:rPr>
        <w:t xml:space="preserve">Students’ on-award experience is highly valuable in developing strategic networks and linkages with Australians and Australian organisations. </w:t>
      </w:r>
      <w:r w:rsidR="00BF4A68">
        <w:rPr>
          <w:bCs/>
          <w:color w:val="auto"/>
        </w:rPr>
        <w:t>Country programs have supported a range of activities to strengthen people-to-people links with Australia</w:t>
      </w:r>
      <w:r w:rsidR="00853903">
        <w:rPr>
          <w:bCs/>
          <w:color w:val="auto"/>
        </w:rPr>
        <w:t xml:space="preserve"> while students are on-award</w:t>
      </w:r>
      <w:r w:rsidR="00BF4A68">
        <w:rPr>
          <w:bCs/>
          <w:color w:val="auto"/>
        </w:rPr>
        <w:t xml:space="preserve">.  </w:t>
      </w:r>
    </w:p>
    <w:p w:rsidR="00227DB2" w:rsidRDefault="00BF4A68" w:rsidP="009656F6">
      <w:pPr>
        <w:rPr>
          <w:bCs/>
          <w:color w:val="auto"/>
        </w:rPr>
      </w:pPr>
      <w:r>
        <w:rPr>
          <w:bCs/>
          <w:color w:val="auto"/>
        </w:rPr>
        <w:t>For example, i</w:t>
      </w:r>
      <w:r w:rsidR="00227DB2" w:rsidRPr="00262523">
        <w:rPr>
          <w:bCs/>
          <w:color w:val="auto"/>
        </w:rPr>
        <w:t xml:space="preserve">n October 2018 DFAT brought together 58 scholars from the region to Canberra for the inaugural </w:t>
      </w:r>
      <w:r w:rsidR="00227DB2" w:rsidRPr="00853903">
        <w:rPr>
          <w:color w:val="auto"/>
        </w:rPr>
        <w:t xml:space="preserve">Australia Awards – </w:t>
      </w:r>
      <w:r w:rsidR="00227DB2" w:rsidRPr="00853903">
        <w:rPr>
          <w:b/>
          <w:color w:val="auto"/>
        </w:rPr>
        <w:t>South and West Asia</w:t>
      </w:r>
      <w:r w:rsidR="00227DB2" w:rsidRPr="00853903">
        <w:rPr>
          <w:color w:val="auto"/>
        </w:rPr>
        <w:t xml:space="preserve"> Scholars Forum</w:t>
      </w:r>
      <w:r w:rsidR="00227DB2" w:rsidRPr="00262523">
        <w:rPr>
          <w:bCs/>
          <w:color w:val="auto"/>
        </w:rPr>
        <w:t>. It attracted over 100 participants, including Australia Awards scholars and alumni, senior diplomats from the South and West Asian region, representatives from Australia’s education institutions, and senior DFAT officers. The event deployed innovative technologies—including real-time photo-sharing and polling systems—to facilitate high levels of engagement and generate linkages. Media coverage included three SBS interviews with scholars.</w:t>
      </w:r>
    </w:p>
    <w:p w:rsidR="00F26508" w:rsidRDefault="00F26508" w:rsidP="00F26508">
      <w:pPr>
        <w:rPr>
          <w:bCs/>
          <w:color w:val="auto"/>
        </w:rPr>
      </w:pPr>
      <w:r>
        <w:rPr>
          <w:bCs/>
          <w:color w:val="auto"/>
        </w:rPr>
        <w:t xml:space="preserve">Australia Awards - </w:t>
      </w:r>
      <w:r w:rsidRPr="0055109A">
        <w:rPr>
          <w:b/>
          <w:color w:val="auto"/>
        </w:rPr>
        <w:t>Africa</w:t>
      </w:r>
      <w:r>
        <w:rPr>
          <w:bCs/>
          <w:color w:val="auto"/>
        </w:rPr>
        <w:t xml:space="preserve"> </w:t>
      </w:r>
      <w:r w:rsidRPr="0055109A">
        <w:rPr>
          <w:bCs/>
          <w:color w:val="auto"/>
        </w:rPr>
        <w:t xml:space="preserve">organised for 19 scholars (male 12, female 7) and one </w:t>
      </w:r>
      <w:r w:rsidR="005B2C18" w:rsidRPr="0055109A">
        <w:rPr>
          <w:bCs/>
          <w:color w:val="auto"/>
        </w:rPr>
        <w:t>alumnus</w:t>
      </w:r>
      <w:r w:rsidRPr="0055109A">
        <w:rPr>
          <w:bCs/>
          <w:color w:val="auto"/>
        </w:rPr>
        <w:t xml:space="preserve"> to </w:t>
      </w:r>
      <w:r>
        <w:rPr>
          <w:bCs/>
          <w:color w:val="auto"/>
        </w:rPr>
        <w:t>participate in</w:t>
      </w:r>
      <w:r w:rsidRPr="0055109A">
        <w:rPr>
          <w:bCs/>
          <w:color w:val="auto"/>
        </w:rPr>
        <w:t xml:space="preserve"> Australia Africa Week during August 2018. </w:t>
      </w:r>
      <w:r w:rsidR="00FC2EF3">
        <w:rPr>
          <w:bCs/>
          <w:color w:val="auto"/>
        </w:rPr>
        <w:t xml:space="preserve">Throughout the week, participants engaged with business and government delegates from Australia and African countries. </w:t>
      </w:r>
      <w:r w:rsidRPr="0055109A">
        <w:rPr>
          <w:bCs/>
          <w:color w:val="auto"/>
        </w:rPr>
        <w:t xml:space="preserve">African journalists </w:t>
      </w:r>
      <w:r w:rsidR="00FC2EF3">
        <w:rPr>
          <w:bCs/>
          <w:color w:val="auto"/>
        </w:rPr>
        <w:t xml:space="preserve">interviewed some scholars </w:t>
      </w:r>
      <w:r w:rsidRPr="0055109A">
        <w:rPr>
          <w:bCs/>
          <w:color w:val="auto"/>
        </w:rPr>
        <w:t xml:space="preserve">as part of DFAT’s international media visits program. </w:t>
      </w:r>
    </w:p>
    <w:p w:rsidR="001E1C06" w:rsidRDefault="001E1C06" w:rsidP="009656F6">
      <w:pPr>
        <w:rPr>
          <w:bCs/>
          <w:color w:val="auto"/>
        </w:rPr>
      </w:pPr>
      <w:r w:rsidRPr="001E1C06">
        <w:rPr>
          <w:bCs/>
          <w:color w:val="auto"/>
        </w:rPr>
        <w:t xml:space="preserve">Australia Awards </w:t>
      </w:r>
      <w:r w:rsidRPr="001E1C06">
        <w:rPr>
          <w:b/>
          <w:color w:val="auto"/>
        </w:rPr>
        <w:t>Indonesia</w:t>
      </w:r>
      <w:r w:rsidRPr="001E1C06">
        <w:rPr>
          <w:bCs/>
          <w:color w:val="auto"/>
        </w:rPr>
        <w:t>’s On Award Enrichment program works with universities and key public and private organisations to contribute to the development of strategic networks and linkages. For example, in 2018 it held an interactive Professional Linkages Workshop to assist new scholars establishing a professional network in Australia.  Activities range</w:t>
      </w:r>
      <w:r w:rsidR="00C4755A">
        <w:rPr>
          <w:bCs/>
          <w:color w:val="auto"/>
        </w:rPr>
        <w:t>d</w:t>
      </w:r>
      <w:r w:rsidRPr="001E1C06">
        <w:rPr>
          <w:bCs/>
          <w:color w:val="auto"/>
        </w:rPr>
        <w:t xml:space="preserve"> from how to navigate a room at a networking event to developing an effective ‘elevator pitch’.</w:t>
      </w:r>
    </w:p>
    <w:p w:rsidR="005071C8" w:rsidRDefault="005071C8" w:rsidP="004C111D">
      <w:pPr>
        <w:spacing w:after="120"/>
        <w:rPr>
          <w:rFonts w:asciiTheme="majorHAnsi" w:eastAsia="Times New Roman" w:hAnsiTheme="majorHAnsi"/>
          <w:color w:val="auto"/>
          <w:sz w:val="28"/>
        </w:rPr>
      </w:pPr>
    </w:p>
    <w:p w:rsidR="005071C8" w:rsidRDefault="005071C8" w:rsidP="004C111D">
      <w:pPr>
        <w:spacing w:after="120"/>
        <w:rPr>
          <w:rFonts w:asciiTheme="majorHAnsi" w:eastAsia="Times New Roman" w:hAnsiTheme="majorHAnsi"/>
          <w:color w:val="auto"/>
          <w:sz w:val="28"/>
        </w:rPr>
      </w:pPr>
    </w:p>
    <w:p w:rsidR="004C111D" w:rsidRPr="004C111D" w:rsidRDefault="004C111D" w:rsidP="004C111D">
      <w:pPr>
        <w:spacing w:after="120"/>
        <w:rPr>
          <w:rFonts w:asciiTheme="majorHAnsi" w:eastAsia="Times New Roman" w:hAnsiTheme="majorHAnsi"/>
          <w:color w:val="auto"/>
          <w:sz w:val="28"/>
        </w:rPr>
      </w:pPr>
      <w:r w:rsidRPr="004C111D">
        <w:rPr>
          <w:rFonts w:asciiTheme="majorHAnsi" w:eastAsia="Times New Roman" w:hAnsiTheme="majorHAnsi"/>
          <w:color w:val="auto"/>
          <w:sz w:val="28"/>
        </w:rPr>
        <w:t>Alumni activity</w:t>
      </w:r>
    </w:p>
    <w:p w:rsidR="001417AA" w:rsidRPr="00E331F7" w:rsidRDefault="001417AA" w:rsidP="001417AA">
      <w:pPr>
        <w:spacing w:after="120"/>
        <w:rPr>
          <w:rFonts w:eastAsia="Times New Roman" w:cstheme="minorHAnsi"/>
          <w:color w:val="auto"/>
        </w:rPr>
      </w:pPr>
      <w:r w:rsidRPr="00E331F7">
        <w:rPr>
          <w:rFonts w:eastAsia="Times New Roman" w:cstheme="minorHAnsi"/>
          <w:color w:val="auto"/>
        </w:rPr>
        <w:t xml:space="preserve">The </w:t>
      </w:r>
      <w:bookmarkStart w:id="4" w:name="_Hlk16154553"/>
      <w:r w:rsidRPr="00E331F7">
        <w:rPr>
          <w:rFonts w:eastAsia="Times New Roman" w:cstheme="minorHAnsi"/>
          <w:color w:val="auto"/>
        </w:rPr>
        <w:t xml:space="preserve">Australia Global Alumni Engagement Strategy 2016-2020 </w:t>
      </w:r>
      <w:bookmarkEnd w:id="4"/>
      <w:r w:rsidRPr="00E331F7">
        <w:rPr>
          <w:rFonts w:eastAsia="Times New Roman" w:cstheme="minorHAnsi"/>
          <w:color w:val="auto"/>
        </w:rPr>
        <w:t>seeks to grow a global alumni community that engages and promotes Australia and advances our national interests, especially in the Indo-Pacific. It aims to:</w:t>
      </w:r>
    </w:p>
    <w:p w:rsidR="001417AA" w:rsidRPr="00E331F7" w:rsidRDefault="001417AA" w:rsidP="001417AA">
      <w:pPr>
        <w:pStyle w:val="ListParagraph"/>
        <w:numPr>
          <w:ilvl w:val="0"/>
          <w:numId w:val="15"/>
        </w:numPr>
        <w:rPr>
          <w:rFonts w:asciiTheme="minorHAnsi" w:hAnsiTheme="minorHAnsi" w:cstheme="minorHAnsi"/>
          <w:sz w:val="22"/>
          <w:szCs w:val="22"/>
        </w:rPr>
      </w:pPr>
      <w:r w:rsidRPr="00E331F7">
        <w:rPr>
          <w:rFonts w:asciiTheme="minorHAnsi" w:hAnsiTheme="minorHAnsi" w:cstheme="minorHAnsi"/>
          <w:sz w:val="22"/>
          <w:szCs w:val="22"/>
        </w:rPr>
        <w:t>strengthen diplomatic access and influence</w:t>
      </w:r>
    </w:p>
    <w:p w:rsidR="001417AA" w:rsidRPr="00E331F7" w:rsidRDefault="001417AA" w:rsidP="001417AA">
      <w:pPr>
        <w:pStyle w:val="ListParagraph"/>
        <w:numPr>
          <w:ilvl w:val="0"/>
          <w:numId w:val="15"/>
        </w:numPr>
        <w:rPr>
          <w:rFonts w:asciiTheme="minorHAnsi" w:hAnsiTheme="minorHAnsi" w:cstheme="minorHAnsi"/>
          <w:sz w:val="22"/>
          <w:szCs w:val="22"/>
        </w:rPr>
      </w:pPr>
      <w:r w:rsidRPr="00E331F7">
        <w:rPr>
          <w:rFonts w:asciiTheme="minorHAnsi" w:hAnsiTheme="minorHAnsi" w:cstheme="minorHAnsi"/>
          <w:sz w:val="22"/>
          <w:szCs w:val="22"/>
        </w:rPr>
        <w:t>grow trade, investment and business linkages</w:t>
      </w:r>
    </w:p>
    <w:p w:rsidR="001417AA" w:rsidRPr="00E331F7" w:rsidRDefault="001417AA" w:rsidP="001417AA">
      <w:pPr>
        <w:pStyle w:val="ListParagraph"/>
        <w:numPr>
          <w:ilvl w:val="0"/>
          <w:numId w:val="15"/>
        </w:numPr>
        <w:rPr>
          <w:rFonts w:asciiTheme="minorHAnsi" w:hAnsiTheme="minorHAnsi" w:cstheme="minorHAnsi"/>
          <w:sz w:val="22"/>
          <w:szCs w:val="22"/>
        </w:rPr>
      </w:pPr>
      <w:r w:rsidRPr="00E331F7">
        <w:rPr>
          <w:rFonts w:asciiTheme="minorHAnsi" w:hAnsiTheme="minorHAnsi" w:cstheme="minorHAnsi"/>
          <w:sz w:val="22"/>
          <w:szCs w:val="22"/>
        </w:rPr>
        <w:t>promote capabilities in education, science, research and innovation</w:t>
      </w:r>
    </w:p>
    <w:p w:rsidR="001417AA" w:rsidRPr="00E331F7" w:rsidRDefault="001417AA" w:rsidP="001417AA">
      <w:pPr>
        <w:pStyle w:val="ListParagraph"/>
        <w:numPr>
          <w:ilvl w:val="0"/>
          <w:numId w:val="15"/>
        </w:numPr>
        <w:rPr>
          <w:rFonts w:asciiTheme="minorHAnsi" w:hAnsiTheme="minorHAnsi" w:cstheme="minorHAnsi"/>
          <w:sz w:val="22"/>
          <w:szCs w:val="22"/>
        </w:rPr>
      </w:pPr>
      <w:r w:rsidRPr="00E331F7">
        <w:rPr>
          <w:rFonts w:asciiTheme="minorHAnsi" w:hAnsiTheme="minorHAnsi" w:cstheme="minorHAnsi"/>
          <w:sz w:val="22"/>
          <w:szCs w:val="22"/>
        </w:rPr>
        <w:t>showcase Australia as a contemporary, innovative, open society.</w:t>
      </w:r>
    </w:p>
    <w:p w:rsidR="001417AA" w:rsidRDefault="001417AA" w:rsidP="001417AA">
      <w:pPr>
        <w:spacing w:after="120"/>
        <w:rPr>
          <w:rFonts w:eastAsia="Times New Roman"/>
          <w:color w:val="auto"/>
        </w:rPr>
      </w:pPr>
      <w:r>
        <w:rPr>
          <w:rFonts w:eastAsia="Times New Roman"/>
          <w:color w:val="auto"/>
        </w:rPr>
        <w:t xml:space="preserve">As part of their routine reporting processes, many Australia Awards investments report on alumni events held during the year. For example, in </w:t>
      </w:r>
      <w:r w:rsidRPr="00903164">
        <w:rPr>
          <w:rFonts w:eastAsia="Times New Roman"/>
          <w:b/>
          <w:bCs/>
          <w:color w:val="auto"/>
        </w:rPr>
        <w:t>Indonesia</w:t>
      </w:r>
      <w:r>
        <w:rPr>
          <w:rFonts w:eastAsia="Times New Roman"/>
          <w:color w:val="auto"/>
        </w:rPr>
        <w:t xml:space="preserve"> in </w:t>
      </w:r>
      <w:r w:rsidRPr="000F7B13">
        <w:rPr>
          <w:rFonts w:eastAsia="Times New Roman"/>
          <w:color w:val="auto"/>
        </w:rPr>
        <w:t>2018</w:t>
      </w:r>
      <w:r>
        <w:rPr>
          <w:rFonts w:eastAsia="Times New Roman"/>
          <w:color w:val="auto"/>
        </w:rPr>
        <w:t>,</w:t>
      </w:r>
      <w:r w:rsidRPr="000F7B13">
        <w:rPr>
          <w:rFonts w:eastAsia="Times New Roman"/>
          <w:color w:val="auto"/>
        </w:rPr>
        <w:t xml:space="preserve"> the program delivered 90 alumni engagement activities (10 fewer compared to 2017) across Indonesia involving over 11,772 participants (a 59</w:t>
      </w:r>
      <w:r>
        <w:rPr>
          <w:rFonts w:eastAsia="Times New Roman"/>
          <w:color w:val="auto"/>
        </w:rPr>
        <w:t> per cent</w:t>
      </w:r>
      <w:r w:rsidRPr="000F7B13">
        <w:rPr>
          <w:rFonts w:eastAsia="Times New Roman"/>
          <w:color w:val="auto"/>
        </w:rPr>
        <w:t xml:space="preserve"> increase in participants compared to 2017)</w:t>
      </w:r>
      <w:r>
        <w:rPr>
          <w:rFonts w:eastAsia="Times New Roman"/>
          <w:color w:val="auto"/>
        </w:rPr>
        <w:t xml:space="preserve"> and the Indonesia a</w:t>
      </w:r>
      <w:r w:rsidRPr="000F7B13">
        <w:rPr>
          <w:rFonts w:eastAsia="Times New Roman"/>
          <w:color w:val="auto"/>
        </w:rPr>
        <w:t>lumni database increased from 12,800 members in January 2018 to over 14,500 members in January 2019 (a 14</w:t>
      </w:r>
      <w:r>
        <w:rPr>
          <w:rFonts w:eastAsia="Times New Roman"/>
          <w:color w:val="auto"/>
        </w:rPr>
        <w:t> per cent</w:t>
      </w:r>
      <w:r w:rsidRPr="000F7B13">
        <w:rPr>
          <w:rFonts w:eastAsia="Times New Roman"/>
          <w:color w:val="auto"/>
        </w:rPr>
        <w:t xml:space="preserve"> increase). </w:t>
      </w:r>
      <w:r>
        <w:rPr>
          <w:rFonts w:eastAsia="Times New Roman"/>
          <w:color w:val="auto"/>
        </w:rPr>
        <w:t xml:space="preserve">The Indonesia program also reported that it held </w:t>
      </w:r>
      <w:r w:rsidRPr="000D3548">
        <w:rPr>
          <w:rFonts w:eastAsia="Times New Roman"/>
          <w:color w:val="auto"/>
        </w:rPr>
        <w:t xml:space="preserve">specific alumni networking events </w:t>
      </w:r>
      <w:r>
        <w:rPr>
          <w:rFonts w:eastAsia="Times New Roman"/>
          <w:color w:val="auto"/>
        </w:rPr>
        <w:t xml:space="preserve">to promote gender equality. </w:t>
      </w:r>
    </w:p>
    <w:p w:rsidR="001417AA" w:rsidRDefault="001417AA" w:rsidP="001417AA">
      <w:pPr>
        <w:spacing w:after="120"/>
        <w:rPr>
          <w:rFonts w:eastAsia="Times New Roman"/>
          <w:color w:val="auto"/>
        </w:rPr>
      </w:pPr>
      <w:r>
        <w:rPr>
          <w:rFonts w:eastAsia="Times New Roman"/>
          <w:color w:val="auto"/>
        </w:rPr>
        <w:t xml:space="preserve">In 2018-19, the Alumni Strategy continued to guide the building of a </w:t>
      </w:r>
      <w:r w:rsidRPr="000255E0">
        <w:rPr>
          <w:rFonts w:eastAsia="Times New Roman"/>
          <w:color w:val="auto"/>
        </w:rPr>
        <w:t xml:space="preserve">strong global alumni community. </w:t>
      </w:r>
      <w:r>
        <w:rPr>
          <w:rFonts w:eastAsia="Times New Roman"/>
          <w:color w:val="auto"/>
        </w:rPr>
        <w:t xml:space="preserve">For example, in </w:t>
      </w:r>
      <w:r w:rsidRPr="00903164">
        <w:rPr>
          <w:rFonts w:eastAsia="Times New Roman"/>
          <w:b/>
          <w:bCs/>
          <w:color w:val="auto"/>
        </w:rPr>
        <w:t>Papua New Guinea</w:t>
      </w:r>
      <w:r>
        <w:rPr>
          <w:rFonts w:eastAsia="Times New Roman"/>
          <w:color w:val="auto"/>
        </w:rPr>
        <w:t xml:space="preserve"> t</w:t>
      </w:r>
      <w:r w:rsidRPr="000F7B13">
        <w:rPr>
          <w:rFonts w:eastAsia="Times New Roman"/>
          <w:color w:val="auto"/>
        </w:rPr>
        <w:t xml:space="preserve">he 2018 alumni activities </w:t>
      </w:r>
      <w:r>
        <w:rPr>
          <w:rFonts w:eastAsia="Times New Roman"/>
          <w:color w:val="auto"/>
        </w:rPr>
        <w:t xml:space="preserve">included </w:t>
      </w:r>
      <w:r w:rsidRPr="000F7B13">
        <w:rPr>
          <w:rFonts w:eastAsia="Times New Roman"/>
          <w:color w:val="auto"/>
        </w:rPr>
        <w:t>five regional professional development workshops for 146 alumni from 20 provinces and 26 activities</w:t>
      </w:r>
      <w:r>
        <w:rPr>
          <w:rFonts w:eastAsia="Times New Roman"/>
          <w:color w:val="auto"/>
        </w:rPr>
        <w:t xml:space="preserve">. It </w:t>
      </w:r>
      <w:r w:rsidRPr="000F7B13">
        <w:rPr>
          <w:rFonts w:eastAsia="Times New Roman"/>
          <w:color w:val="auto"/>
        </w:rPr>
        <w:t>provided secretariat support for the nine provincial alumni chapters across PNG and launched two new chapters, in Milne Bay and National Capital District</w:t>
      </w:r>
      <w:r>
        <w:rPr>
          <w:rFonts w:eastAsia="Times New Roman"/>
          <w:color w:val="auto"/>
        </w:rPr>
        <w:t>. It provided small grants to s</w:t>
      </w:r>
      <w:r w:rsidRPr="000F7B13">
        <w:rPr>
          <w:rFonts w:eastAsia="Times New Roman"/>
          <w:color w:val="auto"/>
        </w:rPr>
        <w:t>even alumn</w:t>
      </w:r>
      <w:r>
        <w:rPr>
          <w:rFonts w:eastAsia="Times New Roman"/>
          <w:color w:val="auto"/>
        </w:rPr>
        <w:t xml:space="preserve">i for activities that </w:t>
      </w:r>
      <w:r w:rsidRPr="004A2BD2">
        <w:rPr>
          <w:rFonts w:eastAsia="Times New Roman"/>
          <w:color w:val="auto"/>
        </w:rPr>
        <w:t>includ</w:t>
      </w:r>
      <w:r>
        <w:rPr>
          <w:rFonts w:eastAsia="Times New Roman"/>
          <w:color w:val="auto"/>
        </w:rPr>
        <w:t xml:space="preserve">ed supporting </w:t>
      </w:r>
      <w:r w:rsidRPr="004A2BD2">
        <w:rPr>
          <w:rFonts w:eastAsia="Times New Roman"/>
          <w:color w:val="auto"/>
        </w:rPr>
        <w:t xml:space="preserve">alumni to deliver published research </w:t>
      </w:r>
      <w:r>
        <w:rPr>
          <w:rFonts w:eastAsia="Times New Roman"/>
          <w:color w:val="auto"/>
        </w:rPr>
        <w:t xml:space="preserve">on their work in PNG at international conferences. </w:t>
      </w:r>
    </w:p>
    <w:p w:rsidR="009027CE" w:rsidRPr="00E0062C" w:rsidRDefault="00E0062C" w:rsidP="009027CE">
      <w:pPr>
        <w:rPr>
          <w:rFonts w:eastAsia="Times New Roman" w:cstheme="minorHAnsi"/>
          <w:color w:val="auto"/>
        </w:rPr>
      </w:pPr>
      <w:bookmarkStart w:id="5" w:name="_Hlk18560783"/>
      <w:r w:rsidRPr="00E0062C">
        <w:rPr>
          <w:rFonts w:eastAsia="Times New Roman" w:cstheme="minorHAnsi"/>
          <w:color w:val="auto"/>
        </w:rPr>
        <w:t>T</w:t>
      </w:r>
      <w:r w:rsidR="009027CE" w:rsidRPr="00E0062C">
        <w:rPr>
          <w:rFonts w:eastAsia="Times New Roman" w:cstheme="minorHAnsi"/>
          <w:color w:val="auto"/>
        </w:rPr>
        <w:t xml:space="preserve">he </w:t>
      </w:r>
      <w:r w:rsidR="009027CE" w:rsidRPr="00E0062C">
        <w:rPr>
          <w:rFonts w:eastAsia="Times New Roman" w:cstheme="minorHAnsi"/>
          <w:b/>
          <w:bCs/>
          <w:color w:val="auto"/>
        </w:rPr>
        <w:t>South and West Asia</w:t>
      </w:r>
      <w:r w:rsidR="009027CE" w:rsidRPr="00E0062C">
        <w:rPr>
          <w:rFonts w:eastAsia="Times New Roman" w:cstheme="minorHAnsi"/>
          <w:color w:val="auto"/>
        </w:rPr>
        <w:t xml:space="preserve"> program conducted an extensive program of engagement, initiatives and events</w:t>
      </w:r>
      <w:r w:rsidRPr="00E0062C">
        <w:rPr>
          <w:rFonts w:eastAsia="Times New Roman" w:cstheme="minorHAnsi"/>
          <w:color w:val="auto"/>
        </w:rPr>
        <w:t xml:space="preserve"> </w:t>
      </w:r>
      <w:r w:rsidR="00874A49">
        <w:rPr>
          <w:rFonts w:eastAsia="Times New Roman" w:cstheme="minorHAnsi"/>
          <w:color w:val="auto"/>
        </w:rPr>
        <w:t xml:space="preserve">with Australia Awards alumni </w:t>
      </w:r>
      <w:r w:rsidRPr="00E0062C">
        <w:rPr>
          <w:rFonts w:eastAsia="Times New Roman" w:cstheme="minorHAnsi"/>
          <w:color w:val="auto"/>
        </w:rPr>
        <w:t>throughout 2018. Approximately 2,000 alumni attended one or more of the regional and country-level engagement events conducted during the year. These included:</w:t>
      </w:r>
      <w:r w:rsidR="009027CE" w:rsidRPr="00E0062C">
        <w:rPr>
          <w:rFonts w:eastAsia="Times New Roman" w:cstheme="minorHAnsi"/>
          <w:color w:val="auto"/>
        </w:rPr>
        <w:t xml:space="preserve"> a blood donation drive organised by the </w:t>
      </w:r>
      <w:r w:rsidR="009027CE" w:rsidRPr="00E0062C">
        <w:rPr>
          <w:rFonts w:eastAsia="Times New Roman" w:cstheme="minorHAnsi"/>
          <w:b/>
          <w:bCs/>
          <w:color w:val="auto"/>
        </w:rPr>
        <w:t>Bhutan</w:t>
      </w:r>
      <w:r w:rsidR="009027CE" w:rsidRPr="00E0062C">
        <w:rPr>
          <w:rFonts w:eastAsia="Times New Roman" w:cstheme="minorHAnsi"/>
          <w:color w:val="auto"/>
        </w:rPr>
        <w:t xml:space="preserve"> Australia Alumni Association that attracted over 100 donors</w:t>
      </w:r>
      <w:r w:rsidRPr="00E0062C">
        <w:rPr>
          <w:rFonts w:eastAsia="Times New Roman" w:cstheme="minorHAnsi"/>
          <w:color w:val="auto"/>
        </w:rPr>
        <w:t>;</w:t>
      </w:r>
      <w:r w:rsidR="009027CE" w:rsidRPr="00E0062C">
        <w:rPr>
          <w:rFonts w:eastAsia="Times New Roman" w:cstheme="minorHAnsi"/>
          <w:color w:val="auto"/>
        </w:rPr>
        <w:t xml:space="preserve"> a Research Forum organised by </w:t>
      </w:r>
      <w:r w:rsidR="009027CE" w:rsidRPr="00E0062C">
        <w:rPr>
          <w:rFonts w:eastAsia="Times New Roman" w:cstheme="minorHAnsi"/>
          <w:b/>
          <w:bCs/>
          <w:color w:val="auto"/>
        </w:rPr>
        <w:t>Maldives</w:t>
      </w:r>
      <w:r w:rsidR="009027CE" w:rsidRPr="00E0062C">
        <w:rPr>
          <w:rFonts w:eastAsia="Times New Roman" w:cstheme="minorHAnsi"/>
          <w:color w:val="auto"/>
        </w:rPr>
        <w:t xml:space="preserve"> Australia Alumni covering a range of topics, including sustainable development, security, agriculture, health and the environment</w:t>
      </w:r>
      <w:r w:rsidRPr="00E0062C">
        <w:rPr>
          <w:rFonts w:eastAsia="Times New Roman" w:cstheme="minorHAnsi"/>
          <w:color w:val="auto"/>
        </w:rPr>
        <w:t xml:space="preserve">; </w:t>
      </w:r>
      <w:r w:rsidR="009027CE" w:rsidRPr="00E0062C">
        <w:rPr>
          <w:rFonts w:eastAsia="Times New Roman" w:cstheme="minorHAnsi"/>
          <w:color w:val="auto"/>
        </w:rPr>
        <w:t xml:space="preserve">and an event in </w:t>
      </w:r>
      <w:r w:rsidR="009027CE" w:rsidRPr="00E0062C">
        <w:rPr>
          <w:rFonts w:eastAsia="Times New Roman" w:cstheme="minorHAnsi"/>
          <w:b/>
          <w:bCs/>
          <w:color w:val="auto"/>
        </w:rPr>
        <w:t>Kathmandu</w:t>
      </w:r>
      <w:r w:rsidR="009027CE" w:rsidRPr="00E0062C">
        <w:rPr>
          <w:rFonts w:eastAsia="Times New Roman" w:cstheme="minorHAnsi"/>
          <w:color w:val="auto"/>
        </w:rPr>
        <w:t>, ‘Celebrating Partnerships and Diversity’, the keynote address of which was signed in Auslan by 2015 Young Australian of the Year, Drisana Levitzke-Gray</w:t>
      </w:r>
      <w:r w:rsidRPr="00E0062C">
        <w:rPr>
          <w:rFonts w:eastAsia="Times New Roman" w:cstheme="minorHAnsi"/>
          <w:color w:val="auto"/>
        </w:rPr>
        <w:t>.</w:t>
      </w:r>
    </w:p>
    <w:bookmarkEnd w:id="5"/>
    <w:p w:rsidR="001417AA" w:rsidRDefault="001417AA" w:rsidP="001417AA">
      <w:pPr>
        <w:spacing w:after="120" w:line="280" w:lineRule="exact"/>
        <w:rPr>
          <w:rFonts w:eastAsia="Times New Roman"/>
          <w:color w:val="auto"/>
        </w:rPr>
      </w:pPr>
      <w:r>
        <w:rPr>
          <w:rFonts w:eastAsia="Times New Roman"/>
          <w:color w:val="auto"/>
        </w:rPr>
        <w:t xml:space="preserve">The </w:t>
      </w:r>
      <w:r w:rsidRPr="00903164">
        <w:rPr>
          <w:rFonts w:eastAsia="Times New Roman"/>
          <w:b/>
          <w:bCs/>
          <w:color w:val="auto"/>
        </w:rPr>
        <w:t>African Women in Leadership Network</w:t>
      </w:r>
      <w:r>
        <w:rPr>
          <w:rFonts w:eastAsia="Times New Roman"/>
          <w:color w:val="auto"/>
        </w:rPr>
        <w:t xml:space="preserve"> is a voluntary network of Australia Awards alumni and scholars who commit to promoting the awards to eligible women from their countries, to mentor women and girls, and to lead inclusive change through the Alumni Association, workplace and community levels. In 2018 the Network connected all of the 209 scholars who had requested mentors before they started their scholarship. In 2018, Australia Awards Africa funded 15 projects through its Small Grants Scheme, which provides funds for alumni development projects and professional development activities; 90 per cent of the alumni projects funded included members from the Women in Leadership Network. Training workshops for the Network members were held in four African cities in March 2019 and included participants from 19 African countries. </w:t>
      </w:r>
    </w:p>
    <w:p w:rsidR="009656F6" w:rsidRPr="00ED7C94" w:rsidRDefault="009656F6" w:rsidP="009656F6">
      <w:pPr>
        <w:rPr>
          <w:rFonts w:asciiTheme="majorHAnsi" w:hAnsiTheme="majorHAnsi"/>
          <w:color w:val="auto"/>
          <w:sz w:val="28"/>
        </w:rPr>
      </w:pPr>
      <w:r w:rsidRPr="00ED7C94">
        <w:rPr>
          <w:rFonts w:asciiTheme="majorHAnsi" w:hAnsiTheme="majorHAnsi"/>
          <w:color w:val="auto"/>
          <w:sz w:val="28"/>
        </w:rPr>
        <w:t xml:space="preserve">Overall progress towards achieving Long-term Outcome </w:t>
      </w:r>
      <w:r w:rsidR="00446914">
        <w:rPr>
          <w:rFonts w:asciiTheme="majorHAnsi" w:hAnsiTheme="majorHAnsi"/>
          <w:color w:val="auto"/>
          <w:sz w:val="28"/>
        </w:rPr>
        <w:t>2</w:t>
      </w:r>
    </w:p>
    <w:p w:rsidR="00EF212E" w:rsidRDefault="009656F6" w:rsidP="001E1C06">
      <w:pPr>
        <w:spacing w:after="120"/>
        <w:rPr>
          <w:rFonts w:asciiTheme="majorHAnsi" w:eastAsiaTheme="majorEastAsia" w:hAnsiTheme="majorHAnsi" w:cstheme="majorBidi"/>
          <w:caps/>
          <w:sz w:val="32"/>
          <w:szCs w:val="32"/>
        </w:rPr>
      </w:pPr>
      <w:r>
        <w:rPr>
          <w:color w:val="auto"/>
        </w:rPr>
        <w:t xml:space="preserve">The available data and case studies being collected by the Global Tracer Facility, AQC reporting and other sources suggest that alumni are making a sound contribution to the cooperation between Australia and partner countries. The ongoing work under the </w:t>
      </w:r>
      <w:r w:rsidRPr="00143940">
        <w:rPr>
          <w:i/>
          <w:color w:val="auto"/>
        </w:rPr>
        <w:t>Australia Global Alumni Engagement Strategy 2016-2020</w:t>
      </w:r>
      <w:r>
        <w:rPr>
          <w:color w:val="auto"/>
        </w:rPr>
        <w:t xml:space="preserve"> is providing a useful framework for increased engagement with alumni</w:t>
      </w:r>
      <w:r w:rsidR="00446914">
        <w:rPr>
          <w:color w:val="auto"/>
        </w:rPr>
        <w:t>.</w:t>
      </w:r>
      <w:r>
        <w:rPr>
          <w:color w:val="auto"/>
        </w:rPr>
        <w:t xml:space="preserve"> </w:t>
      </w:r>
      <w:r w:rsidR="00446914">
        <w:rPr>
          <w:color w:val="auto"/>
        </w:rPr>
        <w:t>M</w:t>
      </w:r>
      <w:r>
        <w:rPr>
          <w:color w:val="auto"/>
        </w:rPr>
        <w:t xml:space="preserve">ore work is needed to build robust and standardised measures of global performance against this outcome.  </w:t>
      </w:r>
      <w:r w:rsidR="0057782A">
        <w:rPr>
          <w:color w:val="auto"/>
        </w:rPr>
        <w:t>This is being addressed as part of the revision of the Australia Awards Global Strategy and its monitoring and evaluation framework.</w:t>
      </w:r>
      <w:r w:rsidR="00EF212E">
        <w:rPr>
          <w:rFonts w:asciiTheme="majorHAnsi" w:eastAsiaTheme="majorEastAsia" w:hAnsiTheme="majorHAnsi" w:cstheme="majorBidi"/>
          <w:caps/>
          <w:sz w:val="32"/>
          <w:szCs w:val="32"/>
        </w:rPr>
        <w:br w:type="page"/>
      </w:r>
    </w:p>
    <w:p w:rsidR="00E0254D" w:rsidRPr="00877607" w:rsidRDefault="00B55205" w:rsidP="00E0254D">
      <w:pPr>
        <w:spacing w:before="240"/>
        <w:rPr>
          <w:rFonts w:asciiTheme="majorHAnsi" w:eastAsiaTheme="majorEastAsia" w:hAnsiTheme="majorHAnsi" w:cstheme="majorBidi"/>
          <w:caps/>
          <w:sz w:val="32"/>
          <w:szCs w:val="32"/>
        </w:rPr>
      </w:pPr>
      <w:r>
        <w:rPr>
          <w:rFonts w:asciiTheme="majorHAnsi" w:eastAsiaTheme="majorEastAsia" w:hAnsiTheme="majorHAnsi" w:cstheme="majorBidi"/>
          <w:caps/>
          <w:sz w:val="32"/>
          <w:szCs w:val="32"/>
        </w:rPr>
        <w:t>Outcome</w:t>
      </w:r>
      <w:r w:rsidR="00E0254D" w:rsidRPr="00877607">
        <w:rPr>
          <w:rFonts w:asciiTheme="majorHAnsi" w:eastAsiaTheme="majorEastAsia" w:hAnsiTheme="majorHAnsi" w:cstheme="majorBidi"/>
          <w:caps/>
          <w:sz w:val="32"/>
          <w:szCs w:val="32"/>
        </w:rPr>
        <w:t xml:space="preserve"> </w:t>
      </w:r>
      <w:r w:rsidR="00E0254D">
        <w:rPr>
          <w:rFonts w:asciiTheme="majorHAnsi" w:eastAsiaTheme="majorEastAsia" w:hAnsiTheme="majorHAnsi" w:cstheme="majorBidi"/>
          <w:caps/>
          <w:sz w:val="32"/>
          <w:szCs w:val="32"/>
        </w:rPr>
        <w:t xml:space="preserve">3: effective, mutually advantageous partnerships between institutions and business in Australia and partner countries </w:t>
      </w:r>
    </w:p>
    <w:p w:rsidR="00653C2C" w:rsidRDefault="00653C2C" w:rsidP="00FF19C4">
      <w:pPr>
        <w:spacing w:after="120"/>
        <w:rPr>
          <w:rFonts w:eastAsia="Times New Roman"/>
          <w:color w:val="auto"/>
        </w:rPr>
      </w:pPr>
      <w:r>
        <w:rPr>
          <w:rFonts w:eastAsia="Times New Roman"/>
          <w:color w:val="auto"/>
        </w:rPr>
        <w:t xml:space="preserve">This section </w:t>
      </w:r>
      <w:r w:rsidR="006629E3">
        <w:rPr>
          <w:rFonts w:eastAsia="Times New Roman"/>
          <w:color w:val="auto"/>
        </w:rPr>
        <w:t xml:space="preserve">assesses how </w:t>
      </w:r>
      <w:r>
        <w:rPr>
          <w:rFonts w:eastAsia="Times New Roman"/>
          <w:color w:val="auto"/>
        </w:rPr>
        <w:t>alumni contribut</w:t>
      </w:r>
      <w:r w:rsidR="006629E3">
        <w:rPr>
          <w:rFonts w:eastAsia="Times New Roman"/>
          <w:color w:val="auto"/>
        </w:rPr>
        <w:t>e</w:t>
      </w:r>
      <w:r>
        <w:rPr>
          <w:rFonts w:eastAsia="Times New Roman"/>
          <w:color w:val="auto"/>
        </w:rPr>
        <w:t xml:space="preserve"> to positive relationships between their countr</w:t>
      </w:r>
      <w:r w:rsidR="006629E3">
        <w:rPr>
          <w:rFonts w:eastAsia="Times New Roman"/>
          <w:color w:val="auto"/>
        </w:rPr>
        <w:t>ies</w:t>
      </w:r>
      <w:r>
        <w:rPr>
          <w:rFonts w:eastAsia="Times New Roman"/>
          <w:color w:val="auto"/>
        </w:rPr>
        <w:t xml:space="preserve"> and Australia. It does this by reporting on partnerships and links developed over time, drawing mainly on </w:t>
      </w:r>
      <w:r w:rsidR="001D0B77">
        <w:rPr>
          <w:rFonts w:eastAsia="Times New Roman"/>
          <w:color w:val="auto"/>
        </w:rPr>
        <w:t xml:space="preserve">case studies and </w:t>
      </w:r>
      <w:r>
        <w:rPr>
          <w:rFonts w:eastAsia="Times New Roman"/>
          <w:color w:val="auto"/>
        </w:rPr>
        <w:t xml:space="preserve">data related to long-term Australia Awards scholars and alumni. </w:t>
      </w:r>
      <w:r w:rsidR="001D0B77">
        <w:rPr>
          <w:rFonts w:eastAsia="Times New Roman"/>
          <w:color w:val="auto"/>
        </w:rPr>
        <w:t>Monitoring and evaluating their impact over time, however, is problematic. In particular, for short courses t</w:t>
      </w:r>
      <w:r>
        <w:rPr>
          <w:rFonts w:eastAsia="Times New Roman"/>
          <w:color w:val="auto"/>
        </w:rPr>
        <w:t xml:space="preserve">here are limited </w:t>
      </w:r>
      <w:r w:rsidR="004340BF">
        <w:rPr>
          <w:rFonts w:eastAsia="Times New Roman"/>
          <w:color w:val="auto"/>
        </w:rPr>
        <w:t xml:space="preserve">comparable </w:t>
      </w:r>
      <w:r>
        <w:rPr>
          <w:rFonts w:eastAsia="Times New Roman"/>
          <w:color w:val="auto"/>
        </w:rPr>
        <w:t>global data on performance towards achieving Outcome 3</w:t>
      </w:r>
      <w:r w:rsidR="00D21F90">
        <w:rPr>
          <w:rFonts w:eastAsia="Times New Roman"/>
          <w:color w:val="auto"/>
        </w:rPr>
        <w:t>. The main source</w:t>
      </w:r>
      <w:r w:rsidR="005071C8">
        <w:rPr>
          <w:rFonts w:eastAsia="Times New Roman"/>
          <w:color w:val="auto"/>
        </w:rPr>
        <w:t>s</w:t>
      </w:r>
      <w:r w:rsidR="00D21F90">
        <w:rPr>
          <w:rFonts w:eastAsia="Times New Roman"/>
          <w:color w:val="auto"/>
        </w:rPr>
        <w:t xml:space="preserve"> of </w:t>
      </w:r>
      <w:r w:rsidR="00070CA4">
        <w:rPr>
          <w:rFonts w:eastAsia="Times New Roman"/>
          <w:color w:val="auto"/>
        </w:rPr>
        <w:t>evidence for Outcome 3</w:t>
      </w:r>
      <w:r w:rsidR="00D21F90">
        <w:rPr>
          <w:rFonts w:eastAsia="Times New Roman"/>
          <w:color w:val="auto"/>
        </w:rPr>
        <w:t xml:space="preserve"> are case studies </w:t>
      </w:r>
      <w:r w:rsidR="001D0B77">
        <w:rPr>
          <w:rFonts w:eastAsia="Times New Roman"/>
          <w:color w:val="auto"/>
        </w:rPr>
        <w:t>which are difficult to aggregate and analyse to determine trends or to assess whether partnership building is increasing</w:t>
      </w:r>
      <w:r w:rsidR="00D21F90">
        <w:rPr>
          <w:rFonts w:eastAsia="Times New Roman"/>
          <w:color w:val="auto"/>
        </w:rPr>
        <w:t xml:space="preserve"> or decreasing</w:t>
      </w:r>
      <w:r w:rsidR="001D0B77">
        <w:rPr>
          <w:rFonts w:eastAsia="Times New Roman"/>
          <w:color w:val="auto"/>
        </w:rPr>
        <w:t>. It also makes it difficult to capture</w:t>
      </w:r>
      <w:r w:rsidR="00070CA4">
        <w:rPr>
          <w:rFonts w:eastAsia="Times New Roman"/>
          <w:color w:val="auto"/>
        </w:rPr>
        <w:t xml:space="preserve"> the</w:t>
      </w:r>
      <w:r w:rsidR="001D0B77">
        <w:rPr>
          <w:rFonts w:eastAsia="Times New Roman"/>
          <w:color w:val="auto"/>
        </w:rPr>
        <w:t xml:space="preserve"> full picture of alumni-driven activities and to attribute links and partnerships solely to Australia Awards. </w:t>
      </w:r>
    </w:p>
    <w:p w:rsidR="006D796A" w:rsidRDefault="006D796A" w:rsidP="00FF19C4">
      <w:pPr>
        <w:spacing w:after="120"/>
        <w:rPr>
          <w:rFonts w:eastAsia="Times New Roman"/>
          <w:color w:val="auto"/>
        </w:rPr>
      </w:pPr>
      <w:r w:rsidRPr="006D796A">
        <w:rPr>
          <w:rFonts w:eastAsia="Times New Roman"/>
          <w:color w:val="auto"/>
        </w:rPr>
        <w:t>The</w:t>
      </w:r>
      <w:r>
        <w:rPr>
          <w:rFonts w:eastAsia="Times New Roman"/>
          <w:color w:val="auto"/>
        </w:rPr>
        <w:t xml:space="preserve"> 2019</w:t>
      </w:r>
      <w:r w:rsidRPr="006D796A">
        <w:rPr>
          <w:rFonts w:eastAsia="Times New Roman"/>
          <w:color w:val="auto"/>
        </w:rPr>
        <w:t xml:space="preserve"> </w:t>
      </w:r>
      <w:r w:rsidR="00501979">
        <w:rPr>
          <w:rFonts w:eastAsia="Times New Roman"/>
          <w:color w:val="auto"/>
        </w:rPr>
        <w:t>e</w:t>
      </w:r>
      <w:r w:rsidRPr="006D796A">
        <w:rPr>
          <w:rFonts w:eastAsia="Times New Roman"/>
          <w:color w:val="auto"/>
        </w:rPr>
        <w:t xml:space="preserve">valuation of the Australia Awards Global Strategy </w:t>
      </w:r>
      <w:r w:rsidR="00501979">
        <w:rPr>
          <w:rFonts w:eastAsia="Times New Roman"/>
          <w:color w:val="auto"/>
        </w:rPr>
        <w:t>noted a number of concerns with Outcome 3.</w:t>
      </w:r>
      <w:r w:rsidR="00070CA4">
        <w:rPr>
          <w:rFonts w:eastAsia="Times New Roman"/>
          <w:color w:val="auto"/>
        </w:rPr>
        <w:t xml:space="preserve"> The evaluation noted that this was the only Outcome that did not focus on alumni.</w:t>
      </w:r>
      <w:r w:rsidR="00070CA4" w:rsidRPr="00070CA4">
        <w:rPr>
          <w:rFonts w:eastAsia="Times New Roman"/>
          <w:color w:val="auto"/>
        </w:rPr>
        <w:t xml:space="preserve"> </w:t>
      </w:r>
      <w:r w:rsidR="00070CA4">
        <w:rPr>
          <w:rFonts w:eastAsia="Times New Roman"/>
          <w:color w:val="auto"/>
        </w:rPr>
        <w:t xml:space="preserve">It </w:t>
      </w:r>
      <w:r w:rsidR="00070CA4" w:rsidRPr="006D796A">
        <w:rPr>
          <w:rFonts w:eastAsia="Times New Roman"/>
          <w:color w:val="auto"/>
        </w:rPr>
        <w:t>raised the question as to whether resources should be invested in actively achieving Outcome 3 or whether it is just a by-product of the Global Strategy.</w:t>
      </w:r>
      <w:r w:rsidR="00070CA4">
        <w:rPr>
          <w:rFonts w:eastAsia="Times New Roman"/>
          <w:color w:val="auto"/>
        </w:rPr>
        <w:t xml:space="preserve"> </w:t>
      </w:r>
      <w:r w:rsidR="00501979">
        <w:rPr>
          <w:rFonts w:eastAsia="Times New Roman"/>
          <w:color w:val="auto"/>
        </w:rPr>
        <w:t xml:space="preserve">It noted that in its analysis of ten country program monitoring and evaluation plans, Outcome 3 had been problematic for all. One program had omitted the Outcome, one had merged it with Outcome 2, and others had no identified inputs that would facilitate this outcome. </w:t>
      </w:r>
      <w:r w:rsidRPr="006D796A">
        <w:rPr>
          <w:rFonts w:eastAsia="Times New Roman"/>
          <w:color w:val="auto"/>
        </w:rPr>
        <w:t>While the evaluation noted that the Outcome 3 was raising awareness so posts were identifying and reporting on activities that “occasionally ‘fall out’ of the Australia Awards process”, there was little</w:t>
      </w:r>
      <w:r>
        <w:rPr>
          <w:rFonts w:eastAsia="Times New Roman"/>
          <w:color w:val="auto"/>
        </w:rPr>
        <w:t xml:space="preserve">, if any </w:t>
      </w:r>
      <w:r w:rsidRPr="006D796A">
        <w:rPr>
          <w:rFonts w:eastAsia="Times New Roman"/>
          <w:color w:val="auto"/>
        </w:rPr>
        <w:t xml:space="preserve">information </w:t>
      </w:r>
      <w:r>
        <w:rPr>
          <w:rFonts w:eastAsia="Times New Roman"/>
          <w:color w:val="auto"/>
        </w:rPr>
        <w:t xml:space="preserve">in the </w:t>
      </w:r>
      <w:r w:rsidR="00070CA4">
        <w:rPr>
          <w:rFonts w:eastAsia="Times New Roman"/>
          <w:color w:val="auto"/>
        </w:rPr>
        <w:t>2017-18</w:t>
      </w:r>
      <w:r>
        <w:rPr>
          <w:rFonts w:eastAsia="Times New Roman"/>
          <w:color w:val="auto"/>
        </w:rPr>
        <w:t xml:space="preserve"> AQCs </w:t>
      </w:r>
      <w:r w:rsidRPr="006D796A">
        <w:rPr>
          <w:rFonts w:eastAsia="Times New Roman"/>
          <w:color w:val="auto"/>
        </w:rPr>
        <w:t>on how any investment is tracking towards achieving the outcome.</w:t>
      </w:r>
    </w:p>
    <w:p w:rsidR="00653C2C" w:rsidRPr="00653C2C" w:rsidRDefault="00653C2C" w:rsidP="00FF19C4">
      <w:pPr>
        <w:spacing w:after="120"/>
        <w:rPr>
          <w:rFonts w:asciiTheme="majorHAnsi" w:eastAsia="Times New Roman" w:hAnsiTheme="majorHAnsi" w:cstheme="minorHAnsi"/>
          <w:color w:val="auto"/>
          <w:sz w:val="32"/>
          <w:szCs w:val="28"/>
        </w:rPr>
      </w:pPr>
      <w:r w:rsidRPr="00653C2C">
        <w:rPr>
          <w:rFonts w:asciiTheme="majorHAnsi" w:eastAsia="Times New Roman" w:hAnsiTheme="majorHAnsi" w:cstheme="minorHAnsi"/>
          <w:color w:val="auto"/>
          <w:sz w:val="32"/>
          <w:szCs w:val="28"/>
        </w:rPr>
        <w:t xml:space="preserve">Institution-to-institution partnerships </w:t>
      </w:r>
    </w:p>
    <w:p w:rsidR="002C3AD3" w:rsidRDefault="00D80810" w:rsidP="00FF19C4">
      <w:pPr>
        <w:spacing w:after="120"/>
        <w:rPr>
          <w:rFonts w:eastAsia="Times New Roman" w:cstheme="minorHAnsi"/>
          <w:color w:val="auto"/>
        </w:rPr>
      </w:pPr>
      <w:r>
        <w:rPr>
          <w:rFonts w:eastAsia="Times New Roman" w:cstheme="minorHAnsi"/>
          <w:color w:val="auto"/>
        </w:rPr>
        <w:t>T</w:t>
      </w:r>
      <w:r w:rsidR="00137BB4">
        <w:rPr>
          <w:rFonts w:eastAsia="Times New Roman" w:cstheme="minorHAnsi"/>
          <w:color w:val="auto"/>
        </w:rPr>
        <w:t xml:space="preserve">he </w:t>
      </w:r>
      <w:r w:rsidR="006B6C19">
        <w:rPr>
          <w:rFonts w:eastAsia="Times New Roman" w:cstheme="minorHAnsi"/>
          <w:color w:val="auto"/>
        </w:rPr>
        <w:t xml:space="preserve">on-award surveys </w:t>
      </w:r>
      <w:r w:rsidR="00137BB4">
        <w:rPr>
          <w:rFonts w:eastAsia="Times New Roman" w:cstheme="minorHAnsi"/>
          <w:color w:val="auto"/>
        </w:rPr>
        <w:t>continue</w:t>
      </w:r>
      <w:r w:rsidR="006629E3">
        <w:rPr>
          <w:rFonts w:eastAsia="Times New Roman" w:cstheme="minorHAnsi"/>
          <w:color w:val="auto"/>
        </w:rPr>
        <w:t>d</w:t>
      </w:r>
      <w:r w:rsidR="00137BB4">
        <w:rPr>
          <w:rFonts w:eastAsia="Times New Roman" w:cstheme="minorHAnsi"/>
          <w:color w:val="auto"/>
        </w:rPr>
        <w:t xml:space="preserve"> to find </w:t>
      </w:r>
      <w:r w:rsidR="00FF19C4">
        <w:rPr>
          <w:rFonts w:eastAsia="Times New Roman" w:cstheme="minorHAnsi"/>
          <w:color w:val="auto"/>
        </w:rPr>
        <w:t xml:space="preserve">that ongoing students </w:t>
      </w:r>
      <w:r w:rsidR="006629E3">
        <w:rPr>
          <w:rFonts w:eastAsia="Times New Roman" w:cstheme="minorHAnsi"/>
          <w:color w:val="auto"/>
        </w:rPr>
        <w:t>were well-</w:t>
      </w:r>
      <w:r w:rsidR="00FF19C4">
        <w:rPr>
          <w:rFonts w:eastAsia="Times New Roman" w:cstheme="minorHAnsi"/>
          <w:color w:val="auto"/>
        </w:rPr>
        <w:t xml:space="preserve">positioned to </w:t>
      </w:r>
      <w:r w:rsidR="00FF19C4" w:rsidRPr="00653C2C">
        <w:rPr>
          <w:rFonts w:eastAsia="Times New Roman" w:cstheme="minorHAnsi"/>
          <w:b/>
          <w:bCs/>
          <w:color w:val="auto"/>
        </w:rPr>
        <w:t>establish effective, mutually advantageous partnerships</w:t>
      </w:r>
      <w:r w:rsidR="00FF19C4">
        <w:rPr>
          <w:rFonts w:eastAsia="Times New Roman" w:cstheme="minorHAnsi"/>
          <w:color w:val="auto"/>
        </w:rPr>
        <w:t xml:space="preserve"> between institutions and partner</w:t>
      </w:r>
      <w:r w:rsidR="006629E3">
        <w:rPr>
          <w:rFonts w:eastAsia="Times New Roman" w:cstheme="minorHAnsi"/>
          <w:color w:val="auto"/>
        </w:rPr>
        <w:t>s</w:t>
      </w:r>
      <w:r w:rsidR="00950131">
        <w:rPr>
          <w:rFonts w:eastAsia="Times New Roman" w:cstheme="minorHAnsi"/>
          <w:color w:val="auto"/>
        </w:rPr>
        <w:t xml:space="preserve">. The </w:t>
      </w:r>
      <w:r w:rsidR="00756E5D" w:rsidRPr="00AF1D29">
        <w:rPr>
          <w:rFonts w:eastAsia="Times New Roman" w:cstheme="minorHAnsi"/>
          <w:color w:val="auto"/>
        </w:rPr>
        <w:t xml:space="preserve">2019 </w:t>
      </w:r>
      <w:r w:rsidR="00756E5D">
        <w:rPr>
          <w:rFonts w:eastAsia="Times New Roman" w:cstheme="minorHAnsi"/>
          <w:color w:val="auto"/>
        </w:rPr>
        <w:t xml:space="preserve">Global </w:t>
      </w:r>
      <w:r w:rsidR="00756E5D" w:rsidRPr="00AF1D29">
        <w:rPr>
          <w:rFonts w:eastAsia="Times New Roman" w:cstheme="minorHAnsi"/>
          <w:color w:val="auto"/>
        </w:rPr>
        <w:t>Tracer</w:t>
      </w:r>
      <w:r w:rsidR="00756E5D">
        <w:rPr>
          <w:rFonts w:eastAsia="Times New Roman"/>
          <w:color w:val="auto"/>
        </w:rPr>
        <w:t xml:space="preserve"> Survey</w:t>
      </w:r>
      <w:r w:rsidR="007D543E">
        <w:rPr>
          <w:rStyle w:val="FootnoteReference"/>
          <w:rFonts w:eastAsia="Times New Roman"/>
          <w:color w:val="auto"/>
        </w:rPr>
        <w:footnoteReference w:id="13"/>
      </w:r>
      <w:r w:rsidR="00756E5D">
        <w:rPr>
          <w:rFonts w:eastAsia="Times New Roman"/>
          <w:color w:val="auto"/>
        </w:rPr>
        <w:t xml:space="preserve"> </w:t>
      </w:r>
      <w:r w:rsidR="000039C9">
        <w:rPr>
          <w:rFonts w:eastAsia="Times New Roman" w:cstheme="minorHAnsi"/>
          <w:color w:val="auto"/>
        </w:rPr>
        <w:t>found that 44 per cent of scholarship and 44.5 per cent of fellowship alumni had developed professional links</w:t>
      </w:r>
      <w:r w:rsidR="00FF19C4">
        <w:rPr>
          <w:rFonts w:eastAsia="Times New Roman" w:cstheme="minorHAnsi"/>
          <w:color w:val="auto"/>
        </w:rPr>
        <w:t xml:space="preserve">. </w:t>
      </w:r>
    </w:p>
    <w:p w:rsidR="007D543E" w:rsidRDefault="007D543E" w:rsidP="007D543E">
      <w:pPr>
        <w:spacing w:after="120"/>
        <w:rPr>
          <w:rFonts w:cstheme="minorHAnsi"/>
          <w:color w:val="000000" w:themeColor="text1"/>
        </w:rPr>
      </w:pPr>
      <w:r>
        <w:rPr>
          <w:noProof/>
          <w:lang w:val="en-AU" w:eastAsia="en-AU"/>
        </w:rPr>
        <w:drawing>
          <wp:inline distT="0" distB="0" distL="0" distR="0" wp14:anchorId="3823F9E0" wp14:editId="5735CD42">
            <wp:extent cx="6067425" cy="2343150"/>
            <wp:effectExtent l="0" t="0" r="9525" b="0"/>
            <wp:docPr id="12" name="Chart 12">
              <a:extLst xmlns:a="http://schemas.openxmlformats.org/drawingml/2006/main">
                <a:ext uri="{FF2B5EF4-FFF2-40B4-BE49-F238E27FC236}">
                  <a16:creationId xmlns:a16="http://schemas.microsoft.com/office/drawing/2014/main" id="{785DCFCF-E11E-4D6A-9FDF-5C5D605FD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D543E" w:rsidRPr="00756E5D" w:rsidRDefault="007D543E" w:rsidP="007D543E">
      <w:pPr>
        <w:spacing w:before="0" w:after="0" w:line="240" w:lineRule="auto"/>
        <w:rPr>
          <w:rFonts w:cstheme="minorHAnsi"/>
          <w:i/>
          <w:iCs/>
          <w:color w:val="000000" w:themeColor="text1"/>
          <w:sz w:val="20"/>
          <w:szCs w:val="20"/>
        </w:rPr>
      </w:pPr>
      <w:r w:rsidRPr="009937E4">
        <w:rPr>
          <w:rFonts w:cstheme="minorHAnsi"/>
          <w:color w:val="000000" w:themeColor="text1"/>
          <w:sz w:val="20"/>
          <w:szCs w:val="20"/>
        </w:rPr>
        <w:t xml:space="preserve">Figure </w:t>
      </w:r>
      <w:r w:rsidR="00ED1F78">
        <w:rPr>
          <w:rFonts w:cstheme="minorHAnsi"/>
          <w:color w:val="000000" w:themeColor="text1"/>
          <w:sz w:val="20"/>
          <w:szCs w:val="20"/>
        </w:rPr>
        <w:t>7</w:t>
      </w:r>
      <w:r w:rsidRPr="009937E4">
        <w:rPr>
          <w:rFonts w:cstheme="minorHAnsi"/>
          <w:color w:val="000000" w:themeColor="text1"/>
          <w:sz w:val="20"/>
          <w:szCs w:val="20"/>
        </w:rPr>
        <w:t>: Percentage of Alumni Surveyed in the 2019 Global Tracer Facility Study who reported having networks with Australians or Australian Organisations</w:t>
      </w:r>
      <w:r>
        <w:rPr>
          <w:rFonts w:cstheme="minorHAnsi"/>
          <w:color w:val="000000" w:themeColor="text1"/>
          <w:sz w:val="20"/>
          <w:szCs w:val="20"/>
        </w:rPr>
        <w:t xml:space="preserve">, </w:t>
      </w:r>
      <w:r w:rsidRPr="00756E5D">
        <w:rPr>
          <w:rFonts w:cstheme="minorHAnsi"/>
          <w:i/>
          <w:iCs/>
          <w:color w:val="000000" w:themeColor="text1"/>
          <w:sz w:val="20"/>
          <w:szCs w:val="20"/>
        </w:rPr>
        <w:t xml:space="preserve">Source: Australia Awards Global Trace Facility Year 3 Tracer Study </w:t>
      </w:r>
    </w:p>
    <w:p w:rsidR="00B24FE9" w:rsidRPr="00B24FE9" w:rsidRDefault="00FF19C4" w:rsidP="00FF19C4">
      <w:pPr>
        <w:spacing w:after="120"/>
        <w:rPr>
          <w:rFonts w:eastAsia="Times New Roman" w:cstheme="minorHAnsi"/>
          <w:color w:val="auto"/>
        </w:rPr>
      </w:pPr>
      <w:r>
        <w:rPr>
          <w:rFonts w:eastAsia="Times New Roman" w:cstheme="minorHAnsi"/>
          <w:color w:val="auto"/>
        </w:rPr>
        <w:t>There is</w:t>
      </w:r>
      <w:r w:rsidR="00DA676F" w:rsidRPr="00B24FE9">
        <w:rPr>
          <w:rFonts w:eastAsia="Times New Roman" w:cstheme="minorHAnsi"/>
          <w:color w:val="auto"/>
        </w:rPr>
        <w:t xml:space="preserve"> evidence </w:t>
      </w:r>
      <w:r w:rsidR="007D543E">
        <w:rPr>
          <w:rFonts w:eastAsia="Times New Roman" w:cstheme="minorHAnsi"/>
          <w:color w:val="auto"/>
        </w:rPr>
        <w:t xml:space="preserve">at the country program level </w:t>
      </w:r>
      <w:r w:rsidR="00DA676F" w:rsidRPr="00B24FE9">
        <w:rPr>
          <w:rFonts w:eastAsia="Times New Roman" w:cstheme="minorHAnsi"/>
          <w:color w:val="auto"/>
        </w:rPr>
        <w:t>that partnerships continue</w:t>
      </w:r>
      <w:r w:rsidR="006629E3">
        <w:rPr>
          <w:rFonts w:eastAsia="Times New Roman" w:cstheme="minorHAnsi"/>
          <w:color w:val="auto"/>
        </w:rPr>
        <w:t>d</w:t>
      </w:r>
      <w:r w:rsidR="00DA676F" w:rsidRPr="00B24FE9">
        <w:rPr>
          <w:rFonts w:eastAsia="Times New Roman" w:cstheme="minorHAnsi"/>
          <w:color w:val="auto"/>
        </w:rPr>
        <w:t xml:space="preserve"> to be identified and developed. For example, </w:t>
      </w:r>
      <w:r w:rsidR="00B24FE9" w:rsidRPr="00B24FE9">
        <w:rPr>
          <w:rFonts w:eastAsia="Times New Roman" w:cstheme="minorHAnsi"/>
          <w:color w:val="auto"/>
        </w:rPr>
        <w:t xml:space="preserve">the </w:t>
      </w:r>
      <w:r w:rsidR="00B24FE9">
        <w:rPr>
          <w:rFonts w:eastAsia="Times New Roman" w:cstheme="minorHAnsi"/>
          <w:color w:val="auto"/>
        </w:rPr>
        <w:t xml:space="preserve">Australia Awards in </w:t>
      </w:r>
      <w:r w:rsidR="00B24FE9" w:rsidRPr="00B24FE9">
        <w:rPr>
          <w:rFonts w:eastAsia="Times New Roman" w:cstheme="minorHAnsi"/>
          <w:color w:val="auto"/>
        </w:rPr>
        <w:t>South West Asia investment report</w:t>
      </w:r>
      <w:r w:rsidR="006629E3">
        <w:rPr>
          <w:rFonts w:eastAsia="Times New Roman" w:cstheme="minorHAnsi"/>
          <w:color w:val="auto"/>
        </w:rPr>
        <w:t>ed</w:t>
      </w:r>
      <w:r w:rsidR="00EA57B0">
        <w:rPr>
          <w:rStyle w:val="FootnoteReference"/>
          <w:rFonts w:eastAsia="Times New Roman" w:cstheme="minorHAnsi"/>
          <w:color w:val="auto"/>
        </w:rPr>
        <w:footnoteReference w:id="14"/>
      </w:r>
      <w:r w:rsidR="00B24FE9" w:rsidRPr="00B24FE9">
        <w:rPr>
          <w:rFonts w:eastAsia="Times New Roman" w:cstheme="minorHAnsi"/>
          <w:color w:val="auto"/>
        </w:rPr>
        <w:t xml:space="preserve"> that in </w:t>
      </w:r>
      <w:r w:rsidR="00B24FE9" w:rsidRPr="00653C2C">
        <w:rPr>
          <w:rFonts w:eastAsia="Times New Roman" w:cstheme="minorHAnsi"/>
          <w:b/>
          <w:bCs/>
          <w:color w:val="auto"/>
        </w:rPr>
        <w:t>Pakistan</w:t>
      </w:r>
      <w:r w:rsidR="00B24FE9" w:rsidRPr="00B24FE9">
        <w:rPr>
          <w:rFonts w:eastAsia="Times New Roman" w:cstheme="minorHAnsi"/>
          <w:color w:val="auto"/>
        </w:rPr>
        <w:t>:</w:t>
      </w:r>
    </w:p>
    <w:p w:rsidR="00B24FE9" w:rsidRPr="00B24FE9" w:rsidRDefault="00B24FE9" w:rsidP="00F45A59">
      <w:pPr>
        <w:pStyle w:val="ListParagraph"/>
        <w:numPr>
          <w:ilvl w:val="0"/>
          <w:numId w:val="13"/>
        </w:numPr>
        <w:spacing w:after="120"/>
        <w:rPr>
          <w:rFonts w:asciiTheme="minorHAnsi" w:hAnsiTheme="minorHAnsi" w:cstheme="minorHAnsi"/>
          <w:sz w:val="22"/>
          <w:szCs w:val="22"/>
        </w:rPr>
      </w:pPr>
      <w:r w:rsidRPr="00B24FE9">
        <w:rPr>
          <w:rFonts w:asciiTheme="minorHAnsi" w:hAnsiTheme="minorHAnsi" w:cstheme="minorHAnsi"/>
          <w:sz w:val="22"/>
          <w:szCs w:val="22"/>
        </w:rPr>
        <w:t>two alumni are working on the Australian Government-funded Market Development Facility</w:t>
      </w:r>
      <w:r w:rsidR="007D543E">
        <w:rPr>
          <w:rFonts w:asciiTheme="minorHAnsi" w:hAnsiTheme="minorHAnsi" w:cstheme="minorHAnsi"/>
          <w:sz w:val="22"/>
          <w:szCs w:val="22"/>
        </w:rPr>
        <w:t>;</w:t>
      </w:r>
    </w:p>
    <w:p w:rsidR="00B24FE9" w:rsidRPr="00B24FE9" w:rsidRDefault="00B24FE9" w:rsidP="00F45A59">
      <w:pPr>
        <w:pStyle w:val="ListParagraph"/>
        <w:numPr>
          <w:ilvl w:val="0"/>
          <w:numId w:val="13"/>
        </w:numPr>
        <w:spacing w:after="120"/>
        <w:rPr>
          <w:rFonts w:asciiTheme="minorHAnsi" w:hAnsiTheme="minorHAnsi" w:cstheme="minorHAnsi"/>
          <w:sz w:val="22"/>
          <w:szCs w:val="22"/>
        </w:rPr>
      </w:pPr>
      <w:r w:rsidRPr="00B24FE9">
        <w:rPr>
          <w:rFonts w:asciiTheme="minorHAnsi" w:hAnsiTheme="minorHAnsi" w:cstheme="minorHAnsi"/>
          <w:sz w:val="22"/>
          <w:szCs w:val="22"/>
        </w:rPr>
        <w:t>an MOU ha</w:t>
      </w:r>
      <w:r w:rsidR="006629E3">
        <w:rPr>
          <w:rFonts w:asciiTheme="minorHAnsi" w:hAnsiTheme="minorHAnsi" w:cstheme="minorHAnsi"/>
          <w:sz w:val="22"/>
          <w:szCs w:val="22"/>
        </w:rPr>
        <w:t>d</w:t>
      </w:r>
      <w:r w:rsidRPr="00B24FE9">
        <w:rPr>
          <w:rFonts w:asciiTheme="minorHAnsi" w:hAnsiTheme="minorHAnsi" w:cstheme="minorHAnsi"/>
          <w:sz w:val="22"/>
          <w:szCs w:val="22"/>
        </w:rPr>
        <w:t xml:space="preserve"> been signed between the College of TAFE, Brisbane and the National Vocational &amp; Technical Training Commission (NAVTTC)</w:t>
      </w:r>
      <w:r w:rsidR="006629E3">
        <w:rPr>
          <w:rFonts w:asciiTheme="minorHAnsi" w:hAnsiTheme="minorHAnsi" w:cstheme="minorHAnsi"/>
          <w:sz w:val="22"/>
          <w:szCs w:val="22"/>
        </w:rPr>
        <w:t xml:space="preserve"> in</w:t>
      </w:r>
      <w:r w:rsidRPr="00B24FE9">
        <w:rPr>
          <w:rFonts w:asciiTheme="minorHAnsi" w:hAnsiTheme="minorHAnsi" w:cstheme="minorHAnsi"/>
          <w:sz w:val="22"/>
          <w:szCs w:val="22"/>
        </w:rPr>
        <w:t xml:space="preserve"> Pakistan as a result of </w:t>
      </w:r>
      <w:r w:rsidR="006629E3">
        <w:rPr>
          <w:rFonts w:asciiTheme="minorHAnsi" w:hAnsiTheme="minorHAnsi" w:cstheme="minorHAnsi"/>
          <w:sz w:val="22"/>
          <w:szCs w:val="22"/>
        </w:rPr>
        <w:t>a</w:t>
      </w:r>
      <w:r w:rsidRPr="00B24FE9">
        <w:rPr>
          <w:rFonts w:asciiTheme="minorHAnsi" w:hAnsiTheme="minorHAnsi" w:cstheme="minorHAnsi"/>
          <w:sz w:val="22"/>
          <w:szCs w:val="22"/>
        </w:rPr>
        <w:t xml:space="preserve"> Short Course: ‘Supporting the Strengthening of TVET: Policy and Management</w:t>
      </w:r>
      <w:r w:rsidR="006629E3">
        <w:rPr>
          <w:rFonts w:asciiTheme="minorHAnsi" w:hAnsiTheme="minorHAnsi" w:cstheme="minorHAnsi"/>
          <w:sz w:val="22"/>
          <w:szCs w:val="22"/>
        </w:rPr>
        <w:t>’</w:t>
      </w:r>
      <w:r w:rsidR="007D543E">
        <w:rPr>
          <w:rFonts w:asciiTheme="minorHAnsi" w:hAnsiTheme="minorHAnsi" w:cstheme="minorHAnsi"/>
          <w:sz w:val="22"/>
          <w:szCs w:val="22"/>
        </w:rPr>
        <w:t>;</w:t>
      </w:r>
    </w:p>
    <w:p w:rsidR="00B24FE9" w:rsidRPr="00B24FE9" w:rsidRDefault="00B24FE9" w:rsidP="00F45A59">
      <w:pPr>
        <w:pStyle w:val="ListParagraph"/>
        <w:numPr>
          <w:ilvl w:val="0"/>
          <w:numId w:val="13"/>
        </w:numPr>
        <w:spacing w:after="120"/>
        <w:rPr>
          <w:rFonts w:asciiTheme="minorHAnsi" w:hAnsiTheme="minorHAnsi" w:cstheme="minorHAnsi"/>
          <w:sz w:val="22"/>
          <w:szCs w:val="22"/>
        </w:rPr>
      </w:pPr>
      <w:r w:rsidRPr="00B24FE9">
        <w:rPr>
          <w:rFonts w:asciiTheme="minorHAnsi" w:hAnsiTheme="minorHAnsi" w:cstheme="minorHAnsi"/>
          <w:sz w:val="22"/>
          <w:szCs w:val="22"/>
        </w:rPr>
        <w:t>an MOU ha</w:t>
      </w:r>
      <w:r w:rsidR="006629E3">
        <w:rPr>
          <w:rFonts w:asciiTheme="minorHAnsi" w:hAnsiTheme="minorHAnsi" w:cstheme="minorHAnsi"/>
          <w:sz w:val="22"/>
          <w:szCs w:val="22"/>
        </w:rPr>
        <w:t>d</w:t>
      </w:r>
      <w:r w:rsidRPr="00B24FE9">
        <w:rPr>
          <w:rFonts w:asciiTheme="minorHAnsi" w:hAnsiTheme="minorHAnsi" w:cstheme="minorHAnsi"/>
          <w:sz w:val="22"/>
          <w:szCs w:val="22"/>
        </w:rPr>
        <w:t xml:space="preserve"> been signed between Queensland University of Technology and NAVTTC;</w:t>
      </w:r>
    </w:p>
    <w:p w:rsidR="00E0254D" w:rsidRDefault="00B24FE9" w:rsidP="00F45A59">
      <w:pPr>
        <w:pStyle w:val="ListParagraph"/>
        <w:numPr>
          <w:ilvl w:val="0"/>
          <w:numId w:val="13"/>
        </w:numPr>
        <w:spacing w:after="120"/>
        <w:rPr>
          <w:rFonts w:asciiTheme="minorHAnsi" w:hAnsiTheme="minorHAnsi" w:cstheme="minorHAnsi"/>
          <w:sz w:val="22"/>
          <w:szCs w:val="22"/>
        </w:rPr>
      </w:pPr>
      <w:r w:rsidRPr="00B24FE9">
        <w:rPr>
          <w:rFonts w:asciiTheme="minorHAnsi" w:hAnsiTheme="minorHAnsi" w:cstheme="minorHAnsi"/>
          <w:sz w:val="22"/>
          <w:szCs w:val="22"/>
        </w:rPr>
        <w:t>the curriculum for ‘ilab’s Germinate Program’ from the University of Queensland ha</w:t>
      </w:r>
      <w:r w:rsidR="006629E3">
        <w:rPr>
          <w:rFonts w:asciiTheme="minorHAnsi" w:hAnsiTheme="minorHAnsi" w:cstheme="minorHAnsi"/>
          <w:sz w:val="22"/>
          <w:szCs w:val="22"/>
        </w:rPr>
        <w:t>d</w:t>
      </w:r>
      <w:r w:rsidRPr="00B24FE9">
        <w:rPr>
          <w:rFonts w:asciiTheme="minorHAnsi" w:hAnsiTheme="minorHAnsi" w:cstheme="minorHAnsi"/>
          <w:sz w:val="22"/>
          <w:szCs w:val="22"/>
        </w:rPr>
        <w:t xml:space="preserve"> been replicated by the Institute of Space Technology (IST)</w:t>
      </w:r>
      <w:r w:rsidR="006629E3">
        <w:rPr>
          <w:rFonts w:asciiTheme="minorHAnsi" w:hAnsiTheme="minorHAnsi" w:cstheme="minorHAnsi"/>
          <w:sz w:val="22"/>
          <w:szCs w:val="22"/>
        </w:rPr>
        <w:t xml:space="preserve"> in</w:t>
      </w:r>
      <w:r w:rsidRPr="00B24FE9">
        <w:rPr>
          <w:rFonts w:asciiTheme="minorHAnsi" w:hAnsiTheme="minorHAnsi" w:cstheme="minorHAnsi"/>
          <w:sz w:val="22"/>
          <w:szCs w:val="22"/>
        </w:rPr>
        <w:t xml:space="preserve"> Pakistan, as a result of continued</w:t>
      </w:r>
      <w:r>
        <w:rPr>
          <w:rFonts w:asciiTheme="minorHAnsi" w:hAnsiTheme="minorHAnsi" w:cstheme="minorHAnsi"/>
          <w:sz w:val="22"/>
          <w:szCs w:val="22"/>
        </w:rPr>
        <w:t xml:space="preserve"> </w:t>
      </w:r>
      <w:r w:rsidRPr="00B24FE9">
        <w:rPr>
          <w:rFonts w:asciiTheme="minorHAnsi" w:hAnsiTheme="minorHAnsi" w:cstheme="minorHAnsi"/>
          <w:sz w:val="22"/>
          <w:szCs w:val="22"/>
        </w:rPr>
        <w:t xml:space="preserve">collaboration between ilab </w:t>
      </w:r>
      <w:r>
        <w:rPr>
          <w:rFonts w:asciiTheme="minorHAnsi" w:hAnsiTheme="minorHAnsi" w:cstheme="minorHAnsi"/>
          <w:sz w:val="22"/>
          <w:szCs w:val="22"/>
        </w:rPr>
        <w:t>and</w:t>
      </w:r>
      <w:r w:rsidRPr="00B24FE9">
        <w:rPr>
          <w:rFonts w:asciiTheme="minorHAnsi" w:hAnsiTheme="minorHAnsi" w:cstheme="minorHAnsi"/>
          <w:sz w:val="22"/>
          <w:szCs w:val="22"/>
        </w:rPr>
        <w:t xml:space="preserve"> IST</w:t>
      </w:r>
      <w:r w:rsidR="009C13D5">
        <w:rPr>
          <w:rFonts w:asciiTheme="minorHAnsi" w:hAnsiTheme="minorHAnsi" w:cstheme="minorHAnsi"/>
          <w:sz w:val="22"/>
          <w:szCs w:val="22"/>
        </w:rPr>
        <w:t xml:space="preserve">; and </w:t>
      </w:r>
    </w:p>
    <w:p w:rsidR="009E57DE" w:rsidRPr="009E57DE" w:rsidRDefault="00D26207" w:rsidP="009E57DE">
      <w:pPr>
        <w:pStyle w:val="ListParagraph"/>
        <w:numPr>
          <w:ilvl w:val="0"/>
          <w:numId w:val="13"/>
        </w:numPr>
        <w:spacing w:after="120"/>
        <w:rPr>
          <w:rFonts w:asciiTheme="minorHAnsi" w:hAnsiTheme="minorHAnsi" w:cstheme="minorHAnsi"/>
          <w:color w:val="000000" w:themeColor="text1"/>
          <w:sz w:val="22"/>
          <w:szCs w:val="22"/>
        </w:rPr>
      </w:pPr>
      <w:r w:rsidRPr="0021466C">
        <w:rPr>
          <w:noProof/>
          <w:lang w:eastAsia="en-AU"/>
        </w:rPr>
        <mc:AlternateContent>
          <mc:Choice Requires="wps">
            <w:drawing>
              <wp:anchor distT="0" distB="0" distL="114300" distR="114300" simplePos="0" relativeHeight="251702272" behindDoc="0" locked="0" layoutInCell="1" allowOverlap="1" wp14:anchorId="4610305F" wp14:editId="761C8CB7">
                <wp:simplePos x="0" y="0"/>
                <wp:positionH relativeFrom="margin">
                  <wp:align>left</wp:align>
                </wp:positionH>
                <wp:positionV relativeFrom="paragraph">
                  <wp:posOffset>649605</wp:posOffset>
                </wp:positionV>
                <wp:extent cx="6105525" cy="29813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981325"/>
                        </a:xfrm>
                        <a:prstGeom prst="rect">
                          <a:avLst/>
                        </a:prstGeom>
                        <a:solidFill>
                          <a:schemeClr val="bg1"/>
                        </a:solidFill>
                        <a:ln w="25400" cap="flat" cmpd="sng" algn="ctr">
                          <a:solidFill>
                            <a:srgbClr val="65C5B4"/>
                          </a:solidFill>
                          <a:prstDash val="solid"/>
                          <a:headEnd/>
                          <a:tailEnd/>
                        </a:ln>
                        <a:effectLst/>
                      </wps:spPr>
                      <wps:txbx>
                        <w:txbxConten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29"/>
                            </w:tblGrid>
                            <w:tr w:rsidR="004D4A55" w:rsidTr="001537ED">
                              <w:trPr>
                                <w:trHeight w:val="1556"/>
                              </w:trPr>
                              <w:tc>
                                <w:tcPr>
                                  <w:tcW w:w="1985" w:type="dxa"/>
                                  <w:vAlign w:val="bottom"/>
                                </w:tcPr>
                                <w:p w:rsidR="004D4A55" w:rsidRDefault="004D4A55" w:rsidP="009F636E">
                                  <w:pPr>
                                    <w:spacing w:before="0" w:after="0" w:line="240" w:lineRule="auto"/>
                                    <w:rPr>
                                      <w:rFonts w:cstheme="minorHAnsi"/>
                                      <w:sz w:val="18"/>
                                      <w:szCs w:val="18"/>
                                    </w:rPr>
                                  </w:pPr>
                                  <w:r>
                                    <w:rPr>
                                      <w:rFonts w:cstheme="minorHAnsi"/>
                                      <w:noProof/>
                                      <w:sz w:val="18"/>
                                      <w:szCs w:val="18"/>
                                      <w:lang w:val="en-AU" w:eastAsia="en-AU"/>
                                    </w:rPr>
                                    <w:drawing>
                                      <wp:inline distT="0" distB="0" distL="0" distR="0" wp14:anchorId="2409EF36" wp14:editId="2C2A9FE5">
                                        <wp:extent cx="1095375" cy="92188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uong.jpg"/>
                                                <pic:cNvPicPr/>
                                              </pic:nvPicPr>
                                              <pic:blipFill>
                                                <a:blip r:embed="rId25">
                                                  <a:extLst>
                                                    <a:ext uri="{28A0092B-C50C-407E-A947-70E740481C1C}">
                                                      <a14:useLocalDpi xmlns:a14="http://schemas.microsoft.com/office/drawing/2010/main" val="0"/>
                                                    </a:ext>
                                                  </a:extLst>
                                                </a:blip>
                                                <a:stretch>
                                                  <a:fillRect/>
                                                </a:stretch>
                                              </pic:blipFill>
                                              <pic:spPr>
                                                <a:xfrm>
                                                  <a:off x="0" y="0"/>
                                                  <a:ext cx="1101056" cy="926666"/>
                                                </a:xfrm>
                                                <a:prstGeom prst="rect">
                                                  <a:avLst/>
                                                </a:prstGeom>
                                              </pic:spPr>
                                            </pic:pic>
                                          </a:graphicData>
                                        </a:graphic>
                                      </wp:inline>
                                    </w:drawing>
                                  </w:r>
                                </w:p>
                              </w:tc>
                              <w:tc>
                                <w:tcPr>
                                  <w:tcW w:w="7329" w:type="dxa"/>
                                </w:tcPr>
                                <w:p w:rsidR="004D4A55" w:rsidRPr="002E77E9" w:rsidRDefault="004D4A55" w:rsidP="00D26207">
                                  <w:pPr>
                                    <w:spacing w:before="0" w:after="0" w:line="240" w:lineRule="auto"/>
                                    <w:rPr>
                                      <w:rFonts w:asciiTheme="majorHAnsi" w:hAnsiTheme="majorHAnsi" w:cstheme="majorHAnsi"/>
                                      <w:b/>
                                    </w:rPr>
                                  </w:pPr>
                                  <w:r w:rsidRPr="002E77E9">
                                    <w:rPr>
                                      <w:rFonts w:asciiTheme="majorHAnsi" w:hAnsiTheme="majorHAnsi" w:cstheme="majorHAnsi"/>
                                      <w:b/>
                                    </w:rPr>
                                    <w:t xml:space="preserve">Case Study – </w:t>
                                  </w:r>
                                  <w:r>
                                    <w:rPr>
                                      <w:rFonts w:asciiTheme="majorHAnsi" w:hAnsiTheme="majorHAnsi" w:cstheme="majorHAnsi"/>
                                      <w:b/>
                                    </w:rPr>
                                    <w:t xml:space="preserve">Vietnam Women in Finance and Banking </w:t>
                                  </w:r>
                                </w:p>
                                <w:p w:rsidR="004D4A55" w:rsidRPr="00485203" w:rsidRDefault="004D4A55" w:rsidP="00485203">
                                  <w:pPr>
                                    <w:rPr>
                                      <w:color w:val="auto"/>
                                      <w:sz w:val="20"/>
                                      <w:szCs w:val="20"/>
                                      <w:lang w:val="en-AU"/>
                                    </w:rPr>
                                  </w:pPr>
                                  <w:r>
                                    <w:rPr>
                                      <w:sz w:val="20"/>
                                      <w:szCs w:val="20"/>
                                    </w:rPr>
                                    <w:t>Ms To Minh Huong is a banking and finance specialist, and the current Chief Executive Officer (CEO) of Morgan Stanley Gateway Securities in Hanoi. She was one of the first alumnae from Vietnam to go on scholarship and completed a Bachelor of Banking and Finance at the University of South Australia (1997).</w:t>
                                  </w:r>
                                </w:p>
                              </w:tc>
                            </w:tr>
                            <w:tr w:rsidR="004D4A55" w:rsidTr="001537ED">
                              <w:tc>
                                <w:tcPr>
                                  <w:tcW w:w="9314" w:type="dxa"/>
                                  <w:gridSpan w:val="2"/>
                                </w:tcPr>
                                <w:p w:rsidR="004D4A55" w:rsidRDefault="004D4A55" w:rsidP="00485203">
                                  <w:pPr>
                                    <w:rPr>
                                      <w:sz w:val="20"/>
                                      <w:szCs w:val="20"/>
                                    </w:rPr>
                                  </w:pPr>
                                  <w:r>
                                    <w:rPr>
                                      <w:sz w:val="20"/>
                                      <w:szCs w:val="20"/>
                                    </w:rPr>
                                    <w:t xml:space="preserve">Ms To is actively facilitating trade links with Australian industries in her role as the CEO of Morgan Stanley Gateway Securities, a company with interests in investment banking, capital raising and merger and acquisition transactions for local and international clients. </w:t>
                                  </w:r>
                                </w:p>
                                <w:p w:rsidR="004D4A55" w:rsidRPr="00485203" w:rsidRDefault="004D4A55" w:rsidP="00485203">
                                  <w:pPr>
                                    <w:rPr>
                                      <w:sz w:val="20"/>
                                      <w:szCs w:val="20"/>
                                    </w:rPr>
                                  </w:pPr>
                                  <w:r>
                                    <w:rPr>
                                      <w:sz w:val="20"/>
                                      <w:szCs w:val="20"/>
                                    </w:rPr>
                                    <w:t xml:space="preserve">Ms To is also on the board of the Vietnam Securities Association and is facilitating investment opportunities in Australia for Vietnamese investors. </w:t>
                                  </w:r>
                                  <w:r w:rsidRPr="00494609">
                                    <w:rPr>
                                      <w:rFonts w:cstheme="minorHAnsi"/>
                                      <w:sz w:val="20"/>
                                      <w:szCs w:val="20"/>
                                    </w:rPr>
                                    <w:t>She is using her networks in Australia and Vietnam to facilitate bilateral trade partnerships, noting:</w:t>
                                  </w:r>
                                  <w:r>
                                    <w:rPr>
                                      <w:rFonts w:cstheme="minorHAnsi"/>
                                      <w:sz w:val="20"/>
                                      <w:szCs w:val="20"/>
                                    </w:rPr>
                                    <w:t xml:space="preserve"> “</w:t>
                                  </w:r>
                                  <w:r w:rsidRPr="00494609">
                                    <w:rPr>
                                      <w:rFonts w:cstheme="minorHAnsi"/>
                                      <w:sz w:val="20"/>
                                      <w:szCs w:val="20"/>
                                    </w:rPr>
                                    <w:t>When</w:t>
                                  </w:r>
                                  <w:r>
                                    <w:rPr>
                                      <w:rFonts w:cstheme="minorHAnsi"/>
                                      <w:sz w:val="20"/>
                                      <w:szCs w:val="20"/>
                                    </w:rPr>
                                    <w:t xml:space="preserve"> </w:t>
                                  </w:r>
                                  <w:r w:rsidRPr="00494609">
                                    <w:rPr>
                                      <w:rFonts w:cstheme="minorHAnsi"/>
                                      <w:sz w:val="20"/>
                                      <w:szCs w:val="20"/>
                                    </w:rPr>
                                    <w:t>we talk with the securities association, there’s a demand from the clients of some of the securities companies to make investments in Australia. I told the contacts in Australia that there’s this kind of event, so now they started to send out the opportunities that they have in Australia and then we [share] the idea with the companies in Vietnam. So</w:t>
                                  </w:r>
                                  <w:r>
                                    <w:rPr>
                                      <w:rFonts w:cstheme="minorHAnsi"/>
                                      <w:sz w:val="20"/>
                                      <w:szCs w:val="20"/>
                                    </w:rPr>
                                    <w:t>,</w:t>
                                  </w:r>
                                  <w:r w:rsidRPr="00494609">
                                    <w:rPr>
                                      <w:rFonts w:cstheme="minorHAnsi"/>
                                      <w:sz w:val="20"/>
                                      <w:szCs w:val="20"/>
                                    </w:rPr>
                                    <w:t xml:space="preserve"> I think it is just like a two-way communication. So</w:t>
                                  </w:r>
                                  <w:r>
                                    <w:rPr>
                                      <w:rFonts w:cstheme="minorHAnsi"/>
                                      <w:sz w:val="20"/>
                                      <w:szCs w:val="20"/>
                                    </w:rPr>
                                    <w:t>,</w:t>
                                  </w:r>
                                  <w:r w:rsidRPr="00494609">
                                    <w:rPr>
                                      <w:rFonts w:cstheme="minorHAnsi"/>
                                      <w:sz w:val="20"/>
                                      <w:szCs w:val="20"/>
                                    </w:rPr>
                                    <w:t xml:space="preserve"> we try to match the need from both sides.</w:t>
                                  </w:r>
                                  <w:r>
                                    <w:rPr>
                                      <w:rFonts w:cstheme="minorHAnsi"/>
                                      <w:sz w:val="20"/>
                                      <w:szCs w:val="20"/>
                                    </w:rPr>
                                    <w:t>”</w:t>
                                  </w:r>
                                </w:p>
                                <w:p w:rsidR="004D4A55" w:rsidRDefault="004D4A55" w:rsidP="009E57DE">
                                  <w:pPr>
                                    <w:spacing w:before="0" w:after="0" w:line="240" w:lineRule="auto"/>
                                    <w:rPr>
                                      <w:rFonts w:cstheme="minorHAnsi"/>
                                      <w:sz w:val="18"/>
                                      <w:szCs w:val="18"/>
                                    </w:rPr>
                                  </w:pPr>
                                  <w:r w:rsidRPr="003D28AC">
                                    <w:rPr>
                                      <w:rFonts w:cstheme="minorHAnsi"/>
                                      <w:b/>
                                      <w:bCs/>
                                      <w:sz w:val="18"/>
                                      <w:szCs w:val="18"/>
                                    </w:rPr>
                                    <w:t>Source</w:t>
                                  </w:r>
                                  <w:r w:rsidRPr="003D28AC">
                                    <w:rPr>
                                      <w:rFonts w:cstheme="minorHAnsi"/>
                                      <w:sz w:val="18"/>
                                      <w:szCs w:val="18"/>
                                    </w:rPr>
                                    <w:t xml:space="preserve">: </w:t>
                                  </w:r>
                                  <w:r w:rsidRPr="003D28AC">
                                    <w:rPr>
                                      <w:rFonts w:cstheme="minorHAnsi"/>
                                      <w:i/>
                                      <w:iCs/>
                                      <w:sz w:val="18"/>
                                      <w:szCs w:val="18"/>
                                    </w:rPr>
                                    <w:t>Australia Awards Global Tracer Facility: Case Study in Vietnam women in finance and banking</w:t>
                                  </w:r>
                                  <w:r w:rsidRPr="003D28AC">
                                    <w:rPr>
                                      <w:rFonts w:cstheme="minorHAnsi"/>
                                      <w:sz w:val="18"/>
                                      <w:szCs w:val="18"/>
                                    </w:rPr>
                                    <w:t xml:space="preserve"> December 2018</w:t>
                                  </w:r>
                                </w:p>
                                <w:p w:rsidR="004D4A55" w:rsidRDefault="004D4A55" w:rsidP="009F636E">
                                  <w:pPr>
                                    <w:spacing w:before="0" w:after="0" w:line="240" w:lineRule="auto"/>
                                    <w:rPr>
                                      <w:rFonts w:cstheme="minorHAnsi"/>
                                      <w:sz w:val="18"/>
                                      <w:szCs w:val="18"/>
                                    </w:rPr>
                                  </w:pPr>
                                </w:p>
                              </w:tc>
                            </w:tr>
                          </w:tbl>
                          <w:p w:rsidR="004D4A55" w:rsidRPr="003D28AC" w:rsidRDefault="004D4A55" w:rsidP="009F636E">
                            <w:pPr>
                              <w:spacing w:before="0" w:after="0" w:line="240" w:lineRule="auto"/>
                              <w:ind w:left="142"/>
                              <w:rPr>
                                <w:rFonts w:cstheme="minorHAnsi"/>
                                <w:sz w:val="18"/>
                                <w:szCs w:val="18"/>
                              </w:rPr>
                            </w:pPr>
                          </w:p>
                        </w:txbxContent>
                      </wps:txbx>
                      <wps:bodyPr rot="0" vert="horz" wrap="square" lIns="72000" tIns="0" rIns="72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0305F" id="_x0000_s1027" type="#_x0000_t202" style="position:absolute;left:0;text-align:left;margin-left:0;margin-top:51.15pt;width:480.75pt;height:234.7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" fillcolor="white [3212]" strokecolor="#65c5b4" strokeweight="2pt">
                <v:textbox inset="2mm,0,2mm,0">
                  <w:txbxConten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29"/>
                      </w:tblGrid>
                      <w:tr w:rsidR="004D4A55" w:rsidTr="001537ED">
                        <w:trPr>
                          <w:trHeight w:val="1556"/>
                        </w:trPr>
                        <w:tc>
                          <w:tcPr>
                            <w:tcW w:w="1985" w:type="dxa"/>
                            <w:vAlign w:val="bottom"/>
                          </w:tcPr>
                          <w:p w:rsidR="004D4A55" w:rsidRDefault="004D4A55" w:rsidP="009F636E">
                            <w:pPr>
                              <w:spacing w:before="0" w:after="0" w:line="240" w:lineRule="auto"/>
                              <w:rPr>
                                <w:rFonts w:cstheme="minorHAnsi"/>
                                <w:sz w:val="18"/>
                                <w:szCs w:val="18"/>
                              </w:rPr>
                            </w:pPr>
                            <w:r>
                              <w:rPr>
                                <w:rFonts w:cstheme="minorHAnsi"/>
                                <w:noProof/>
                                <w:sz w:val="18"/>
                                <w:szCs w:val="18"/>
                                <w:lang w:val="en-AU" w:eastAsia="en-AU"/>
                              </w:rPr>
                              <w:drawing>
                                <wp:inline distT="0" distB="0" distL="0" distR="0" wp14:anchorId="2409EF36" wp14:editId="2C2A9FE5">
                                  <wp:extent cx="1095375" cy="92188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uong.jpg"/>
                                          <pic:cNvPicPr/>
                                        </pic:nvPicPr>
                                        <pic:blipFill>
                                          <a:blip r:embed="rId25">
                                            <a:extLst>
                                              <a:ext uri="{28A0092B-C50C-407E-A947-70E740481C1C}">
                                                <a14:useLocalDpi xmlns:a14="http://schemas.microsoft.com/office/drawing/2010/main" val="0"/>
                                              </a:ext>
                                            </a:extLst>
                                          </a:blip>
                                          <a:stretch>
                                            <a:fillRect/>
                                          </a:stretch>
                                        </pic:blipFill>
                                        <pic:spPr>
                                          <a:xfrm>
                                            <a:off x="0" y="0"/>
                                            <a:ext cx="1101056" cy="926666"/>
                                          </a:xfrm>
                                          <a:prstGeom prst="rect">
                                            <a:avLst/>
                                          </a:prstGeom>
                                        </pic:spPr>
                                      </pic:pic>
                                    </a:graphicData>
                                  </a:graphic>
                                </wp:inline>
                              </w:drawing>
                            </w:r>
                          </w:p>
                        </w:tc>
                        <w:tc>
                          <w:tcPr>
                            <w:tcW w:w="7329" w:type="dxa"/>
                          </w:tcPr>
                          <w:p w:rsidR="004D4A55" w:rsidRPr="002E77E9" w:rsidRDefault="004D4A55" w:rsidP="00D26207">
                            <w:pPr>
                              <w:spacing w:before="0" w:after="0" w:line="240" w:lineRule="auto"/>
                              <w:rPr>
                                <w:rFonts w:asciiTheme="majorHAnsi" w:hAnsiTheme="majorHAnsi" w:cstheme="majorHAnsi"/>
                                <w:b/>
                              </w:rPr>
                            </w:pPr>
                            <w:r w:rsidRPr="002E77E9">
                              <w:rPr>
                                <w:rFonts w:asciiTheme="majorHAnsi" w:hAnsiTheme="majorHAnsi" w:cstheme="majorHAnsi"/>
                                <w:b/>
                              </w:rPr>
                              <w:t xml:space="preserve">Case Study – </w:t>
                            </w:r>
                            <w:r>
                              <w:rPr>
                                <w:rFonts w:asciiTheme="majorHAnsi" w:hAnsiTheme="majorHAnsi" w:cstheme="majorHAnsi"/>
                                <w:b/>
                              </w:rPr>
                              <w:t xml:space="preserve">Vietnam Women in Finance and Banking </w:t>
                            </w:r>
                          </w:p>
                          <w:p w:rsidR="004D4A55" w:rsidRPr="00485203" w:rsidRDefault="004D4A55" w:rsidP="00485203">
                            <w:pPr>
                              <w:rPr>
                                <w:color w:val="auto"/>
                                <w:sz w:val="20"/>
                                <w:szCs w:val="20"/>
                                <w:lang w:val="en-AU"/>
                              </w:rPr>
                            </w:pPr>
                            <w:r>
                              <w:rPr>
                                <w:sz w:val="20"/>
                                <w:szCs w:val="20"/>
                              </w:rPr>
                              <w:t>Ms To Minh Huong is a banking and finance specialist, and the current Chief Executive Officer (CEO) of Morgan Stanley Gateway Securities in Hanoi. She was one of the first alumnae from Vietnam to go on scholarship and completed a Bachelor of Banking and Finance at the University of South Australia (1997).</w:t>
                            </w:r>
                          </w:p>
                        </w:tc>
                      </w:tr>
                      <w:tr w:rsidR="004D4A55" w:rsidTr="001537ED">
                        <w:tc>
                          <w:tcPr>
                            <w:tcW w:w="9314" w:type="dxa"/>
                            <w:gridSpan w:val="2"/>
                          </w:tcPr>
                          <w:p w:rsidR="004D4A55" w:rsidRDefault="004D4A55" w:rsidP="00485203">
                            <w:pPr>
                              <w:rPr>
                                <w:sz w:val="20"/>
                                <w:szCs w:val="20"/>
                              </w:rPr>
                            </w:pPr>
                            <w:r>
                              <w:rPr>
                                <w:sz w:val="20"/>
                                <w:szCs w:val="20"/>
                              </w:rPr>
                              <w:t xml:space="preserve">Ms To is actively facilitating trade links with Australian industries in her role as the CEO of Morgan Stanley Gateway Securities, a company with interests in investment banking, capital raising and merger and acquisition transactions for local and international clients. </w:t>
                            </w:r>
                          </w:p>
                          <w:p w:rsidR="004D4A55" w:rsidRPr="00485203" w:rsidRDefault="004D4A55" w:rsidP="00485203">
                            <w:pPr>
                              <w:rPr>
                                <w:sz w:val="20"/>
                                <w:szCs w:val="20"/>
                              </w:rPr>
                            </w:pPr>
                            <w:r>
                              <w:rPr>
                                <w:sz w:val="20"/>
                                <w:szCs w:val="20"/>
                              </w:rPr>
                              <w:t xml:space="preserve">Ms To is also on the board of the Vietnam Securities Association and is facilitating investment opportunities in Australia for Vietnamese investors. </w:t>
                            </w:r>
                            <w:r w:rsidRPr="00494609">
                              <w:rPr>
                                <w:rFonts w:cstheme="minorHAnsi"/>
                                <w:sz w:val="20"/>
                                <w:szCs w:val="20"/>
                              </w:rPr>
                              <w:t>She is using her networks in Australia and Vietnam to facilitate bilateral trade partnerships, noting:</w:t>
                            </w:r>
                            <w:r>
                              <w:rPr>
                                <w:rFonts w:cstheme="minorHAnsi"/>
                                <w:sz w:val="20"/>
                                <w:szCs w:val="20"/>
                              </w:rPr>
                              <w:t xml:space="preserve"> “</w:t>
                            </w:r>
                            <w:r w:rsidRPr="00494609">
                              <w:rPr>
                                <w:rFonts w:cstheme="minorHAnsi"/>
                                <w:sz w:val="20"/>
                                <w:szCs w:val="20"/>
                              </w:rPr>
                              <w:t>When</w:t>
                            </w:r>
                            <w:r>
                              <w:rPr>
                                <w:rFonts w:cstheme="minorHAnsi"/>
                                <w:sz w:val="20"/>
                                <w:szCs w:val="20"/>
                              </w:rPr>
                              <w:t xml:space="preserve"> </w:t>
                            </w:r>
                            <w:r w:rsidRPr="00494609">
                              <w:rPr>
                                <w:rFonts w:cstheme="minorHAnsi"/>
                                <w:sz w:val="20"/>
                                <w:szCs w:val="20"/>
                              </w:rPr>
                              <w:t>we talk with the securities association, there’s a demand from the clients of some of the securities companies to make investments in Australia. I told the contacts in Australia that there’s this kind of event, so now they started to send out the opportunities that they have in Australia and then we [share] the idea with the companies in Vietnam. So</w:t>
                            </w:r>
                            <w:r>
                              <w:rPr>
                                <w:rFonts w:cstheme="minorHAnsi"/>
                                <w:sz w:val="20"/>
                                <w:szCs w:val="20"/>
                              </w:rPr>
                              <w:t>,</w:t>
                            </w:r>
                            <w:r w:rsidRPr="00494609">
                              <w:rPr>
                                <w:rFonts w:cstheme="minorHAnsi"/>
                                <w:sz w:val="20"/>
                                <w:szCs w:val="20"/>
                              </w:rPr>
                              <w:t xml:space="preserve"> I think it is just like a two-way communication. So</w:t>
                            </w:r>
                            <w:r>
                              <w:rPr>
                                <w:rFonts w:cstheme="minorHAnsi"/>
                                <w:sz w:val="20"/>
                                <w:szCs w:val="20"/>
                              </w:rPr>
                              <w:t>,</w:t>
                            </w:r>
                            <w:r w:rsidRPr="00494609">
                              <w:rPr>
                                <w:rFonts w:cstheme="minorHAnsi"/>
                                <w:sz w:val="20"/>
                                <w:szCs w:val="20"/>
                              </w:rPr>
                              <w:t xml:space="preserve"> we try to match the need from both sides.</w:t>
                            </w:r>
                            <w:r>
                              <w:rPr>
                                <w:rFonts w:cstheme="minorHAnsi"/>
                                <w:sz w:val="20"/>
                                <w:szCs w:val="20"/>
                              </w:rPr>
                              <w:t>”</w:t>
                            </w:r>
                          </w:p>
                          <w:p w:rsidR="004D4A55" w:rsidRDefault="004D4A55" w:rsidP="009E57DE">
                            <w:pPr>
                              <w:spacing w:before="0" w:after="0" w:line="240" w:lineRule="auto"/>
                              <w:rPr>
                                <w:rFonts w:cstheme="minorHAnsi"/>
                                <w:sz w:val="18"/>
                                <w:szCs w:val="18"/>
                              </w:rPr>
                            </w:pPr>
                            <w:r w:rsidRPr="003D28AC">
                              <w:rPr>
                                <w:rFonts w:cstheme="minorHAnsi"/>
                                <w:b/>
                                <w:bCs/>
                                <w:sz w:val="18"/>
                                <w:szCs w:val="18"/>
                              </w:rPr>
                              <w:t>Source</w:t>
                            </w:r>
                            <w:r w:rsidRPr="003D28AC">
                              <w:rPr>
                                <w:rFonts w:cstheme="minorHAnsi"/>
                                <w:sz w:val="18"/>
                                <w:szCs w:val="18"/>
                              </w:rPr>
                              <w:t xml:space="preserve">: </w:t>
                            </w:r>
                            <w:r w:rsidRPr="003D28AC">
                              <w:rPr>
                                <w:rFonts w:cstheme="minorHAnsi"/>
                                <w:i/>
                                <w:iCs/>
                                <w:sz w:val="18"/>
                                <w:szCs w:val="18"/>
                              </w:rPr>
                              <w:t>Australia Awards Global Tracer Facility: Case Study in Vietnam women in finance and banking</w:t>
                            </w:r>
                            <w:r w:rsidRPr="003D28AC">
                              <w:rPr>
                                <w:rFonts w:cstheme="minorHAnsi"/>
                                <w:sz w:val="18"/>
                                <w:szCs w:val="18"/>
                              </w:rPr>
                              <w:t xml:space="preserve"> December 2018</w:t>
                            </w:r>
                          </w:p>
                          <w:p w:rsidR="004D4A55" w:rsidRDefault="004D4A55" w:rsidP="009F636E">
                            <w:pPr>
                              <w:spacing w:before="0" w:after="0" w:line="240" w:lineRule="auto"/>
                              <w:rPr>
                                <w:rFonts w:cstheme="minorHAnsi"/>
                                <w:sz w:val="18"/>
                                <w:szCs w:val="18"/>
                              </w:rPr>
                            </w:pPr>
                          </w:p>
                        </w:tc>
                      </w:tr>
                    </w:tbl>
                    <w:p w:rsidR="004D4A55" w:rsidRPr="003D28AC" w:rsidRDefault="004D4A55" w:rsidP="009F636E">
                      <w:pPr>
                        <w:spacing w:before="0" w:after="0" w:line="240" w:lineRule="auto"/>
                        <w:ind w:left="142"/>
                        <w:rPr>
                          <w:rFonts w:cstheme="minorHAnsi"/>
                          <w:sz w:val="18"/>
                          <w:szCs w:val="18"/>
                        </w:rPr>
                      </w:pPr>
                    </w:p>
                  </w:txbxContent>
                </v:textbox>
                <w10:wrap type="square" anchorx="margin"/>
              </v:shape>
            </w:pict>
          </mc:Fallback>
        </mc:AlternateContent>
      </w:r>
      <w:r w:rsidR="009C13D5" w:rsidRPr="00B53364">
        <w:rPr>
          <w:rFonts w:asciiTheme="minorHAnsi" w:hAnsiTheme="minorHAnsi" w:cstheme="minorHAnsi"/>
          <w:color w:val="000000" w:themeColor="text1"/>
          <w:sz w:val="22"/>
          <w:szCs w:val="22"/>
        </w:rPr>
        <w:t>an alumna</w:t>
      </w:r>
      <w:r w:rsidR="00381D74">
        <w:rPr>
          <w:rFonts w:asciiTheme="minorHAnsi" w:hAnsiTheme="minorHAnsi" w:cstheme="minorHAnsi"/>
          <w:color w:val="000000" w:themeColor="text1"/>
          <w:sz w:val="22"/>
          <w:szCs w:val="22"/>
        </w:rPr>
        <w:t>-</w:t>
      </w:r>
      <w:r w:rsidR="009C13D5" w:rsidRPr="00B53364">
        <w:rPr>
          <w:rFonts w:asciiTheme="minorHAnsi" w:hAnsiTheme="minorHAnsi" w:cstheme="minorHAnsi"/>
          <w:color w:val="000000" w:themeColor="text1"/>
          <w:sz w:val="22"/>
          <w:szCs w:val="22"/>
        </w:rPr>
        <w:t xml:space="preserve">brokered collaboration between the Bangladesh Police College and Macquarie University </w:t>
      </w:r>
      <w:r w:rsidR="00381D74">
        <w:rPr>
          <w:rFonts w:asciiTheme="minorHAnsi" w:hAnsiTheme="minorHAnsi" w:cstheme="minorHAnsi"/>
          <w:color w:val="000000" w:themeColor="text1"/>
          <w:sz w:val="22"/>
          <w:szCs w:val="22"/>
        </w:rPr>
        <w:t xml:space="preserve">for </w:t>
      </w:r>
      <w:r w:rsidR="009C13D5" w:rsidRPr="00B53364">
        <w:rPr>
          <w:rFonts w:asciiTheme="minorHAnsi" w:hAnsiTheme="minorHAnsi" w:cstheme="minorHAnsi"/>
          <w:color w:val="000000" w:themeColor="text1"/>
          <w:sz w:val="22"/>
          <w:szCs w:val="22"/>
        </w:rPr>
        <w:t xml:space="preserve">an Australia Awards Fellowship in the field of Countering Violent Extremism, </w:t>
      </w:r>
      <w:r w:rsidR="00381D74">
        <w:rPr>
          <w:rFonts w:asciiTheme="minorHAnsi" w:hAnsiTheme="minorHAnsi" w:cstheme="minorHAnsi"/>
          <w:color w:val="000000" w:themeColor="text1"/>
          <w:sz w:val="22"/>
          <w:szCs w:val="22"/>
        </w:rPr>
        <w:t>ha</w:t>
      </w:r>
      <w:r w:rsidR="006629E3">
        <w:rPr>
          <w:rFonts w:asciiTheme="minorHAnsi" w:hAnsiTheme="minorHAnsi" w:cstheme="minorHAnsi"/>
          <w:color w:val="000000" w:themeColor="text1"/>
          <w:sz w:val="22"/>
          <w:szCs w:val="22"/>
        </w:rPr>
        <w:t>d</w:t>
      </w:r>
      <w:r w:rsidR="009C13D5" w:rsidRPr="00B53364">
        <w:rPr>
          <w:rFonts w:asciiTheme="minorHAnsi" w:hAnsiTheme="minorHAnsi" w:cstheme="minorHAnsi"/>
          <w:color w:val="000000" w:themeColor="text1"/>
          <w:sz w:val="22"/>
          <w:szCs w:val="22"/>
        </w:rPr>
        <w:t xml:space="preserve"> resulted in the signing of an MOU between the two organisations. </w:t>
      </w:r>
    </w:p>
    <w:p w:rsidR="009F636E" w:rsidRDefault="00C433EB" w:rsidP="00C433EB">
      <w:pPr>
        <w:rPr>
          <w:color w:val="auto"/>
        </w:rPr>
      </w:pPr>
      <w:r w:rsidRPr="00C433EB">
        <w:rPr>
          <w:color w:val="auto"/>
        </w:rPr>
        <w:t xml:space="preserve">In 2019, Australia Awards </w:t>
      </w:r>
      <w:r w:rsidRPr="00ED7C94">
        <w:rPr>
          <w:b/>
          <w:bCs/>
          <w:color w:val="auto"/>
        </w:rPr>
        <w:t>Cambodia</w:t>
      </w:r>
      <w:r w:rsidRPr="00C433EB">
        <w:rPr>
          <w:color w:val="auto"/>
        </w:rPr>
        <w:t xml:space="preserve"> launched its first Australia Awards </w:t>
      </w:r>
      <w:r w:rsidR="006629E3" w:rsidRPr="00C433EB">
        <w:rPr>
          <w:color w:val="auto"/>
        </w:rPr>
        <w:t>Short Course</w:t>
      </w:r>
      <w:r w:rsidRPr="00C433EB">
        <w:rPr>
          <w:color w:val="auto"/>
        </w:rPr>
        <w:t>. Fifteen senior officials from Cambodia’s economic ministries attended the trade and development short course, to complement DFAT’s broader focus on supporting Cambodia’s prosperity and commitment to rules-based trade and investment. Taking place in Australia and Cambodia over three months, the course focused on trade policy and the importance of an open and rules-based trading system to foster sustainable economic growth in Cambodia and across Southeast Asia. The course also deepened DFAT’s links with the Ministry of Economy and Finance and the Ministry of Commerce.</w:t>
      </w:r>
    </w:p>
    <w:p w:rsidR="00523398" w:rsidRDefault="00523398" w:rsidP="00523398">
      <w:pPr>
        <w:spacing w:after="120"/>
        <w:rPr>
          <w:rFonts w:cstheme="minorHAnsi"/>
          <w:color w:val="000000" w:themeColor="text1"/>
        </w:rPr>
      </w:pPr>
      <w:r w:rsidRPr="00B53364">
        <w:rPr>
          <w:rFonts w:cstheme="minorHAnsi"/>
          <w:color w:val="000000" w:themeColor="text1"/>
        </w:rPr>
        <w:t xml:space="preserve">The 2018 Outcomes Study for the Australia Awards in </w:t>
      </w:r>
      <w:r w:rsidRPr="00653C2C">
        <w:rPr>
          <w:rFonts w:cstheme="minorHAnsi"/>
          <w:b/>
          <w:bCs/>
          <w:color w:val="000000" w:themeColor="text1"/>
        </w:rPr>
        <w:t>Africa</w:t>
      </w:r>
      <w:r w:rsidRPr="00B53364">
        <w:rPr>
          <w:rFonts w:cstheme="minorHAnsi"/>
          <w:color w:val="000000" w:themeColor="text1"/>
        </w:rPr>
        <w:t xml:space="preserve"> found alumni linkages with Australian individuals and institutions were relatively weak with </w:t>
      </w:r>
      <w:r w:rsidR="00165F0E" w:rsidRPr="00B53364">
        <w:rPr>
          <w:rFonts w:cstheme="minorHAnsi"/>
          <w:color w:val="000000" w:themeColor="text1"/>
        </w:rPr>
        <w:t>only nine of the 63 alumni surveyed reporting they maintained a partnership with Australian organisations or networks</w:t>
      </w:r>
      <w:r w:rsidR="000039C9">
        <w:rPr>
          <w:rFonts w:cstheme="minorHAnsi"/>
          <w:color w:val="000000" w:themeColor="text1"/>
        </w:rPr>
        <w:t xml:space="preserve">. </w:t>
      </w:r>
      <w:r w:rsidR="00BE13BF">
        <w:rPr>
          <w:rFonts w:cstheme="minorHAnsi"/>
          <w:color w:val="000000" w:themeColor="text1"/>
        </w:rPr>
        <w:t>However, where there were links, t</w:t>
      </w:r>
      <w:r w:rsidR="00165F0E" w:rsidRPr="00B53364">
        <w:rPr>
          <w:rFonts w:cstheme="minorHAnsi"/>
          <w:color w:val="000000" w:themeColor="text1"/>
        </w:rPr>
        <w:t xml:space="preserve">hese linkages were </w:t>
      </w:r>
      <w:r w:rsidR="000039C9">
        <w:rPr>
          <w:rFonts w:cstheme="minorHAnsi"/>
          <w:color w:val="000000" w:themeColor="text1"/>
        </w:rPr>
        <w:t xml:space="preserve">regarded as </w:t>
      </w:r>
      <w:r w:rsidR="00165F0E" w:rsidRPr="00B53364">
        <w:rPr>
          <w:rFonts w:cstheme="minorHAnsi"/>
          <w:color w:val="000000" w:themeColor="text1"/>
        </w:rPr>
        <w:t>strong and included exchange visits between staff of an Australian extractives company establishing branches in Uganda. Similarly, a</w:t>
      </w:r>
      <w:r w:rsidR="001E1C06">
        <w:rPr>
          <w:rFonts w:cstheme="minorHAnsi"/>
          <w:color w:val="000000" w:themeColor="text1"/>
        </w:rPr>
        <w:t>n alumni-driven</w:t>
      </w:r>
      <w:r w:rsidR="00165F0E" w:rsidRPr="00B53364">
        <w:rPr>
          <w:rFonts w:cstheme="minorHAnsi"/>
          <w:color w:val="000000" w:themeColor="text1"/>
        </w:rPr>
        <w:t xml:space="preserve"> partnership between Zambian and Australian environmental health institutions was voted the best example of organisational twinning at the 2018 International Federation of Environmental Health World Congress.</w:t>
      </w:r>
    </w:p>
    <w:p w:rsidR="00BC0E8A" w:rsidRPr="00BC0E8A" w:rsidRDefault="00BC0E8A" w:rsidP="00BC0E8A">
      <w:pPr>
        <w:rPr>
          <w:rFonts w:asciiTheme="majorHAnsi" w:hAnsiTheme="majorHAnsi"/>
          <w:color w:val="auto"/>
          <w:sz w:val="28"/>
        </w:rPr>
      </w:pPr>
      <w:r w:rsidRPr="00BC0E8A">
        <w:rPr>
          <w:rFonts w:asciiTheme="majorHAnsi" w:hAnsiTheme="majorHAnsi"/>
          <w:color w:val="auto"/>
          <w:sz w:val="28"/>
        </w:rPr>
        <w:t>Overall progress towards achieving Long-term Outcome 3</w:t>
      </w:r>
    </w:p>
    <w:p w:rsidR="00EF212E" w:rsidRDefault="00BC0E8A" w:rsidP="006D796A">
      <w:pPr>
        <w:spacing w:after="120"/>
        <w:rPr>
          <w:rFonts w:asciiTheme="majorHAnsi" w:eastAsiaTheme="majorEastAsia" w:hAnsiTheme="majorHAnsi" w:cstheme="majorBidi"/>
          <w:caps/>
          <w:sz w:val="32"/>
          <w:szCs w:val="32"/>
        </w:rPr>
      </w:pPr>
      <w:r>
        <w:rPr>
          <w:color w:val="auto"/>
        </w:rPr>
        <w:t xml:space="preserve">There are positive examples of effective mutually advantageous partnerships between institutions and businesses in Australia and partner countries. Nevertheless, it remains difficult to measure progress towards this outcome as it arises indirectly or as a by-product of other outcomes and is generally anecdotal. For these reasons, progress is not what is expected at this stage of implementation and review and </w:t>
      </w:r>
      <w:r w:rsidR="00A102E3">
        <w:rPr>
          <w:color w:val="auto"/>
        </w:rPr>
        <w:t xml:space="preserve">continued attention to its progress </w:t>
      </w:r>
      <w:r>
        <w:rPr>
          <w:color w:val="auto"/>
        </w:rPr>
        <w:t xml:space="preserve">is recommended. </w:t>
      </w:r>
      <w:r w:rsidRPr="004C111D">
        <w:rPr>
          <w:color w:val="auto"/>
        </w:rPr>
        <w:t>Monitoring of this outcome will be</w:t>
      </w:r>
      <w:r w:rsidR="00E0098D" w:rsidRPr="004C111D">
        <w:rPr>
          <w:color w:val="auto"/>
        </w:rPr>
        <w:t xml:space="preserve"> addressed as part of the revision of the Australia Awards Global Strategy and its monitoring and evaluation framework.</w:t>
      </w:r>
      <w:r w:rsidR="00EF212E">
        <w:rPr>
          <w:rFonts w:asciiTheme="majorHAnsi" w:eastAsiaTheme="majorEastAsia" w:hAnsiTheme="majorHAnsi" w:cstheme="majorBidi"/>
          <w:caps/>
          <w:sz w:val="32"/>
          <w:szCs w:val="32"/>
        </w:rPr>
        <w:br w:type="page"/>
      </w:r>
    </w:p>
    <w:p w:rsidR="00E0254D" w:rsidRPr="00877607" w:rsidRDefault="007D543E" w:rsidP="00E0254D">
      <w:pPr>
        <w:spacing w:before="240"/>
        <w:rPr>
          <w:rFonts w:asciiTheme="majorHAnsi" w:eastAsiaTheme="majorEastAsia" w:hAnsiTheme="majorHAnsi" w:cstheme="majorBidi"/>
          <w:caps/>
          <w:sz w:val="32"/>
          <w:szCs w:val="32"/>
        </w:rPr>
      </w:pPr>
      <w:r>
        <w:rPr>
          <w:rFonts w:asciiTheme="majorHAnsi" w:eastAsiaTheme="majorEastAsia" w:hAnsiTheme="majorHAnsi" w:cstheme="majorBidi"/>
          <w:caps/>
          <w:sz w:val="32"/>
          <w:szCs w:val="32"/>
        </w:rPr>
        <w:t>OUTCOME</w:t>
      </w:r>
      <w:r w:rsidRPr="00877607">
        <w:rPr>
          <w:rFonts w:asciiTheme="majorHAnsi" w:eastAsiaTheme="majorEastAsia" w:hAnsiTheme="majorHAnsi" w:cstheme="majorBidi"/>
          <w:caps/>
          <w:sz w:val="32"/>
          <w:szCs w:val="32"/>
        </w:rPr>
        <w:t xml:space="preserve"> </w:t>
      </w:r>
      <w:r w:rsidR="00E0254D">
        <w:rPr>
          <w:rFonts w:asciiTheme="majorHAnsi" w:eastAsiaTheme="majorEastAsia" w:hAnsiTheme="majorHAnsi" w:cstheme="majorBidi"/>
          <w:caps/>
          <w:sz w:val="32"/>
          <w:szCs w:val="32"/>
        </w:rPr>
        <w:t>4: alumni view australia, australians and australian expertise posit</w:t>
      </w:r>
      <w:r w:rsidR="00194F20">
        <w:rPr>
          <w:rFonts w:asciiTheme="majorHAnsi" w:eastAsiaTheme="majorEastAsia" w:hAnsiTheme="majorHAnsi" w:cstheme="majorBidi"/>
          <w:caps/>
          <w:sz w:val="32"/>
          <w:szCs w:val="32"/>
        </w:rPr>
        <w:t>i</w:t>
      </w:r>
      <w:r w:rsidR="00E0254D">
        <w:rPr>
          <w:rFonts w:asciiTheme="majorHAnsi" w:eastAsiaTheme="majorEastAsia" w:hAnsiTheme="majorHAnsi" w:cstheme="majorBidi"/>
          <w:caps/>
          <w:sz w:val="32"/>
          <w:szCs w:val="32"/>
        </w:rPr>
        <w:t xml:space="preserve">vely </w:t>
      </w:r>
    </w:p>
    <w:p w:rsidR="00CA1137" w:rsidRDefault="00CA1137" w:rsidP="00E0254D">
      <w:pPr>
        <w:spacing w:after="120"/>
        <w:rPr>
          <w:rFonts w:eastAsia="Times New Roman"/>
          <w:color w:val="auto"/>
        </w:rPr>
      </w:pPr>
      <w:r>
        <w:rPr>
          <w:rFonts w:eastAsia="Times New Roman"/>
          <w:color w:val="auto"/>
        </w:rPr>
        <w:t xml:space="preserve">Alumni and their personal experiences and professional attitudes to Australia </w:t>
      </w:r>
      <w:r w:rsidR="006629E3">
        <w:rPr>
          <w:rFonts w:eastAsia="Times New Roman"/>
          <w:color w:val="auto"/>
        </w:rPr>
        <w:t xml:space="preserve">can make a positive contribution to </w:t>
      </w:r>
      <w:r>
        <w:rPr>
          <w:rFonts w:eastAsia="Times New Roman"/>
          <w:color w:val="auto"/>
        </w:rPr>
        <w:t xml:space="preserve">cooperation between Australia and their home countries and to the long-term bilateral relationship. Outcome 4 is measured through the </w:t>
      </w:r>
      <w:r w:rsidR="00756E5D">
        <w:rPr>
          <w:rFonts w:eastAsia="Times New Roman"/>
          <w:color w:val="auto"/>
        </w:rPr>
        <w:t>Global T</w:t>
      </w:r>
      <w:r>
        <w:rPr>
          <w:rFonts w:eastAsia="Times New Roman"/>
          <w:color w:val="auto"/>
        </w:rPr>
        <w:t xml:space="preserve">racer </w:t>
      </w:r>
      <w:r w:rsidR="00756E5D">
        <w:rPr>
          <w:rFonts w:eastAsia="Times New Roman"/>
          <w:color w:val="auto"/>
        </w:rPr>
        <w:t xml:space="preserve">Facility surveys and case </w:t>
      </w:r>
      <w:r>
        <w:rPr>
          <w:rFonts w:eastAsia="Times New Roman"/>
          <w:color w:val="auto"/>
        </w:rPr>
        <w:t xml:space="preserve">studies, </w:t>
      </w:r>
      <w:r w:rsidR="004F3BAB" w:rsidRPr="004F3BAB">
        <w:rPr>
          <w:i/>
          <w:iCs/>
          <w:color w:val="000000" w:themeColor="text1"/>
        </w:rPr>
        <w:t>2018 Australia Awards Scholarships Survey</w:t>
      </w:r>
      <w:r w:rsidR="00BE13BF">
        <w:rPr>
          <w:rFonts w:eastAsia="Times New Roman"/>
          <w:color w:val="auto"/>
        </w:rPr>
        <w:t xml:space="preserve">, </w:t>
      </w:r>
      <w:r>
        <w:rPr>
          <w:rFonts w:eastAsia="Times New Roman"/>
          <w:color w:val="auto"/>
        </w:rPr>
        <w:t xml:space="preserve">case studies, </w:t>
      </w:r>
      <w:r w:rsidR="003677EF">
        <w:rPr>
          <w:rFonts w:eastAsia="Times New Roman"/>
          <w:color w:val="auto"/>
        </w:rPr>
        <w:t>a</w:t>
      </w:r>
      <w:r>
        <w:rPr>
          <w:rFonts w:eastAsia="Times New Roman"/>
          <w:color w:val="auto"/>
        </w:rPr>
        <w:t>lumni impact assessments and other in-country assessment</w:t>
      </w:r>
      <w:r w:rsidR="007033BD">
        <w:rPr>
          <w:rFonts w:eastAsia="Times New Roman"/>
          <w:color w:val="auto"/>
        </w:rPr>
        <w:t>s</w:t>
      </w:r>
      <w:r>
        <w:rPr>
          <w:rFonts w:eastAsia="Times New Roman"/>
          <w:color w:val="auto"/>
        </w:rPr>
        <w:t>.</w:t>
      </w:r>
      <w:r w:rsidR="007033BD">
        <w:rPr>
          <w:rFonts w:eastAsia="Times New Roman"/>
          <w:color w:val="auto"/>
        </w:rPr>
        <w:t xml:space="preserve"> The Australia Awards Global Monitoring and Evaluation Framework notes that this </w:t>
      </w:r>
      <w:r w:rsidR="0087327D">
        <w:rPr>
          <w:rFonts w:eastAsia="Times New Roman"/>
          <w:color w:val="auto"/>
        </w:rPr>
        <w:t xml:space="preserve">outcome </w:t>
      </w:r>
      <w:r w:rsidR="007033BD">
        <w:rPr>
          <w:rFonts w:eastAsia="Times New Roman"/>
          <w:color w:val="auto"/>
        </w:rPr>
        <w:t xml:space="preserve">will be achieved through experiences on-award, including completing ‘good quality, relevant education, training, other professional development and research activities’ and positive experience of life in Australia’ for alumni and their families. </w:t>
      </w:r>
      <w:r w:rsidR="007D543E">
        <w:rPr>
          <w:rFonts w:eastAsia="Times New Roman"/>
          <w:color w:val="auto"/>
        </w:rPr>
        <w:t>There is strong longitudinal survey data to indicate that the progress in on-track for achieving this Long-term Outcome.</w:t>
      </w:r>
    </w:p>
    <w:p w:rsidR="007033BD" w:rsidRDefault="007033BD" w:rsidP="007033BD">
      <w:pPr>
        <w:spacing w:after="120"/>
        <w:rPr>
          <w:rFonts w:eastAsia="Times New Roman"/>
          <w:color w:val="auto"/>
        </w:rPr>
      </w:pPr>
      <w:r>
        <w:rPr>
          <w:rFonts w:eastAsia="Times New Roman"/>
          <w:color w:val="auto"/>
        </w:rPr>
        <w:t>Examples of monitoring and evaluation measures to demonstrate the impact of cooperation and professional links between Australia and alumni include the number and percentage of:</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7"/>
        <w:gridCol w:w="2407"/>
        <w:gridCol w:w="2407"/>
        <w:gridCol w:w="2407"/>
      </w:tblGrid>
      <w:tr w:rsidR="007033BD" w:rsidTr="006405B0">
        <w:tc>
          <w:tcPr>
            <w:tcW w:w="2407" w:type="dxa"/>
          </w:tcPr>
          <w:p w:rsidR="007033BD" w:rsidRPr="007033BD" w:rsidRDefault="007033BD" w:rsidP="006405B0">
            <w:pPr>
              <w:spacing w:after="120"/>
              <w:rPr>
                <w:rFonts w:eastAsia="Times New Roman"/>
                <w:color w:val="auto"/>
              </w:rPr>
            </w:pPr>
            <w:r>
              <w:rPr>
                <w:rFonts w:eastAsia="Times New Roman"/>
                <w:color w:val="auto"/>
              </w:rPr>
              <w:t>… awardees who report positive perceptions of Australia while on-award</w:t>
            </w:r>
          </w:p>
        </w:tc>
        <w:tc>
          <w:tcPr>
            <w:tcW w:w="2407" w:type="dxa"/>
          </w:tcPr>
          <w:p w:rsidR="007033BD" w:rsidRPr="007033BD" w:rsidRDefault="007033BD" w:rsidP="006405B0">
            <w:pPr>
              <w:spacing w:after="120"/>
              <w:rPr>
                <w:rFonts w:eastAsia="Times New Roman"/>
                <w:color w:val="auto"/>
              </w:rPr>
            </w:pPr>
            <w:r>
              <w:rPr>
                <w:rFonts w:eastAsia="Times New Roman"/>
                <w:color w:val="auto"/>
              </w:rPr>
              <w:t>… awardees satisfied with their course while on-award</w:t>
            </w:r>
          </w:p>
        </w:tc>
        <w:tc>
          <w:tcPr>
            <w:tcW w:w="2407" w:type="dxa"/>
          </w:tcPr>
          <w:p w:rsidR="007033BD" w:rsidRPr="007033BD" w:rsidRDefault="007033BD" w:rsidP="006405B0">
            <w:pPr>
              <w:spacing w:after="120"/>
              <w:rPr>
                <w:rFonts w:eastAsia="Times New Roman"/>
                <w:color w:val="auto"/>
              </w:rPr>
            </w:pPr>
            <w:r>
              <w:rPr>
                <w:rFonts w:eastAsia="Times New Roman"/>
                <w:color w:val="auto"/>
              </w:rPr>
              <w:t>… alumni who report positive perceptions of Australia at return/ 18 months following return</w:t>
            </w:r>
          </w:p>
        </w:tc>
        <w:tc>
          <w:tcPr>
            <w:tcW w:w="2407" w:type="dxa"/>
          </w:tcPr>
          <w:p w:rsidR="007033BD" w:rsidRPr="007033BD" w:rsidRDefault="007033BD" w:rsidP="006405B0">
            <w:pPr>
              <w:spacing w:after="120"/>
              <w:rPr>
                <w:rFonts w:eastAsia="Times New Roman"/>
                <w:color w:val="auto"/>
              </w:rPr>
            </w:pPr>
            <w:r>
              <w:rPr>
                <w:rFonts w:eastAsia="Times New Roman"/>
                <w:color w:val="auto"/>
              </w:rPr>
              <w:t>… awardees/alumni reporting significant negative perceptions of Australia on or after return</w:t>
            </w:r>
          </w:p>
        </w:tc>
      </w:tr>
    </w:tbl>
    <w:p w:rsidR="007033BD" w:rsidRPr="007033BD" w:rsidRDefault="007033BD" w:rsidP="00E0254D">
      <w:pPr>
        <w:spacing w:after="120"/>
        <w:rPr>
          <w:rFonts w:asciiTheme="majorHAnsi" w:eastAsia="Times New Roman" w:hAnsiTheme="majorHAnsi"/>
          <w:color w:val="auto"/>
          <w:sz w:val="28"/>
        </w:rPr>
      </w:pPr>
      <w:r w:rsidRPr="007033BD">
        <w:rPr>
          <w:rFonts w:asciiTheme="majorHAnsi" w:eastAsia="Times New Roman" w:hAnsiTheme="majorHAnsi"/>
          <w:color w:val="auto"/>
          <w:sz w:val="28"/>
        </w:rPr>
        <w:t>Awardee satisfaction with Australia Awards</w:t>
      </w:r>
    </w:p>
    <w:p w:rsidR="007D543E" w:rsidRDefault="00E0254D" w:rsidP="0007191B">
      <w:pPr>
        <w:spacing w:after="120"/>
        <w:rPr>
          <w:rFonts w:eastAsia="Times New Roman"/>
          <w:color w:val="auto"/>
        </w:rPr>
      </w:pPr>
      <w:r w:rsidRPr="00C83480">
        <w:rPr>
          <w:rFonts w:eastAsia="Times New Roman"/>
          <w:color w:val="auto"/>
        </w:rPr>
        <w:t xml:space="preserve">The 2019 Global Tracer Facility </w:t>
      </w:r>
      <w:r w:rsidR="00F36690" w:rsidRPr="00C83480">
        <w:rPr>
          <w:rFonts w:eastAsia="Times New Roman"/>
          <w:color w:val="auto"/>
        </w:rPr>
        <w:t xml:space="preserve">Survey </w:t>
      </w:r>
      <w:r w:rsidR="007D543E">
        <w:rPr>
          <w:rFonts w:eastAsia="Times New Roman"/>
          <w:color w:val="auto"/>
        </w:rPr>
        <w:t>of a</w:t>
      </w:r>
      <w:r w:rsidR="00F36690" w:rsidRPr="00C83480">
        <w:rPr>
          <w:rFonts w:eastAsia="Times New Roman"/>
          <w:color w:val="auto"/>
        </w:rPr>
        <w:t xml:space="preserve">lumni </w:t>
      </w:r>
      <w:r w:rsidR="0087327D">
        <w:rPr>
          <w:rFonts w:eastAsia="Times New Roman"/>
          <w:color w:val="auto"/>
        </w:rPr>
        <w:t>who</w:t>
      </w:r>
      <w:r w:rsidR="007D543E">
        <w:rPr>
          <w:rFonts w:eastAsia="Times New Roman"/>
          <w:color w:val="auto"/>
        </w:rPr>
        <w:t xml:space="preserve"> graduated between </w:t>
      </w:r>
      <w:r w:rsidR="00F36690" w:rsidRPr="00C83480">
        <w:rPr>
          <w:rFonts w:eastAsia="Times New Roman"/>
          <w:color w:val="auto"/>
        </w:rPr>
        <w:t>2011</w:t>
      </w:r>
      <w:r w:rsidR="0087327D">
        <w:rPr>
          <w:rFonts w:eastAsia="Times New Roman"/>
          <w:color w:val="auto"/>
        </w:rPr>
        <w:t xml:space="preserve"> and </w:t>
      </w:r>
      <w:r w:rsidR="00F36690" w:rsidRPr="00C83480">
        <w:rPr>
          <w:rFonts w:eastAsia="Times New Roman"/>
          <w:color w:val="auto"/>
        </w:rPr>
        <w:t xml:space="preserve">2016 </w:t>
      </w:r>
      <w:r w:rsidRPr="00C83480">
        <w:rPr>
          <w:rFonts w:eastAsia="Times New Roman"/>
          <w:color w:val="auto"/>
        </w:rPr>
        <w:t xml:space="preserve">found </w:t>
      </w:r>
      <w:bookmarkStart w:id="6" w:name="_Hlk16151105"/>
      <w:r w:rsidR="0087327D">
        <w:rPr>
          <w:rFonts w:eastAsia="Times New Roman"/>
          <w:color w:val="auto"/>
        </w:rPr>
        <w:t xml:space="preserve">over </w:t>
      </w:r>
      <w:r w:rsidRPr="00C83480">
        <w:rPr>
          <w:rFonts w:eastAsia="Times New Roman"/>
          <w:color w:val="auto"/>
        </w:rPr>
        <w:t>97 per cent of respondents reported provid</w:t>
      </w:r>
      <w:r w:rsidR="0087327D">
        <w:rPr>
          <w:rFonts w:eastAsia="Times New Roman"/>
          <w:color w:val="auto"/>
        </w:rPr>
        <w:t>ing</w:t>
      </w:r>
      <w:r w:rsidRPr="00C83480">
        <w:rPr>
          <w:rFonts w:eastAsia="Times New Roman"/>
          <w:color w:val="auto"/>
        </w:rPr>
        <w:t xml:space="preserve"> advice to other people from their countr</w:t>
      </w:r>
      <w:r w:rsidR="0087327D">
        <w:rPr>
          <w:rFonts w:eastAsia="Times New Roman"/>
          <w:color w:val="auto"/>
        </w:rPr>
        <w:t>ies</w:t>
      </w:r>
      <w:r w:rsidRPr="00C83480">
        <w:rPr>
          <w:rFonts w:eastAsia="Times New Roman"/>
          <w:color w:val="auto"/>
        </w:rPr>
        <w:t xml:space="preserve"> about study in Australia. </w:t>
      </w:r>
      <w:bookmarkEnd w:id="6"/>
    </w:p>
    <w:p w:rsidR="0007191B" w:rsidRDefault="00713EE1" w:rsidP="0007191B">
      <w:pPr>
        <w:spacing w:after="120"/>
        <w:rPr>
          <w:rFonts w:eastAsia="Times New Roman"/>
          <w:color w:val="auto"/>
        </w:rPr>
      </w:pPr>
      <w:r>
        <w:rPr>
          <w:rFonts w:eastAsia="Times New Roman"/>
          <w:color w:val="auto"/>
        </w:rPr>
        <w:t>The</w:t>
      </w:r>
      <w:r w:rsidR="006B6C19">
        <w:rPr>
          <w:rFonts w:eastAsia="Times New Roman"/>
          <w:color w:val="auto"/>
        </w:rPr>
        <w:t xml:space="preserve"> 2018 on-award surveys </w:t>
      </w:r>
      <w:r w:rsidR="0087327D">
        <w:rPr>
          <w:rFonts w:eastAsia="Times New Roman"/>
          <w:color w:val="auto"/>
        </w:rPr>
        <w:t>reported</w:t>
      </w:r>
      <w:r>
        <w:rPr>
          <w:rFonts w:eastAsia="Times New Roman"/>
          <w:color w:val="auto"/>
        </w:rPr>
        <w:t xml:space="preserve"> </w:t>
      </w:r>
      <w:r w:rsidR="00BE13BF">
        <w:rPr>
          <w:rFonts w:eastAsia="Times New Roman"/>
          <w:color w:val="auto"/>
        </w:rPr>
        <w:t xml:space="preserve">continued strong results for </w:t>
      </w:r>
      <w:r>
        <w:rPr>
          <w:rFonts w:eastAsia="Times New Roman"/>
          <w:color w:val="auto"/>
        </w:rPr>
        <w:t>students view</w:t>
      </w:r>
      <w:r w:rsidR="00BE13BF">
        <w:rPr>
          <w:rFonts w:eastAsia="Times New Roman"/>
          <w:color w:val="auto"/>
        </w:rPr>
        <w:t>ing</w:t>
      </w:r>
      <w:r>
        <w:rPr>
          <w:rFonts w:eastAsia="Times New Roman"/>
          <w:color w:val="auto"/>
        </w:rPr>
        <w:t xml:space="preserve"> Australians and Australian expertise positively (98 per cent). </w:t>
      </w:r>
      <w:r w:rsidR="002A73BB">
        <w:rPr>
          <w:rFonts w:eastAsia="Times New Roman"/>
          <w:color w:val="auto"/>
        </w:rPr>
        <w:t>There was an increase in the proportion of highly positive students</w:t>
      </w:r>
      <w:r w:rsidR="00BE13BF">
        <w:rPr>
          <w:rFonts w:eastAsia="Times New Roman"/>
          <w:color w:val="auto"/>
        </w:rPr>
        <w:t xml:space="preserve"> compared to the 2017 results</w:t>
      </w:r>
      <w:r w:rsidR="002A73BB">
        <w:rPr>
          <w:rFonts w:eastAsia="Times New Roman"/>
          <w:color w:val="auto"/>
        </w:rPr>
        <w:t xml:space="preserve">. </w:t>
      </w:r>
      <w:r>
        <w:rPr>
          <w:rFonts w:eastAsia="Times New Roman"/>
          <w:color w:val="auto"/>
        </w:rPr>
        <w:t>The same level of respondents agreed that they would recommend Australia as a good place to visit and also as a good place to study</w:t>
      </w:r>
      <w:r w:rsidR="00BE13BF">
        <w:rPr>
          <w:rFonts w:eastAsia="Times New Roman"/>
          <w:color w:val="auto"/>
        </w:rPr>
        <w:t xml:space="preserve">. Ninety-five </w:t>
      </w:r>
      <w:r>
        <w:rPr>
          <w:rFonts w:eastAsia="Times New Roman"/>
          <w:color w:val="auto"/>
        </w:rPr>
        <w:t xml:space="preserve">per cent of respondents reported that </w:t>
      </w:r>
      <w:r w:rsidR="00444876">
        <w:rPr>
          <w:rFonts w:eastAsia="Times New Roman"/>
          <w:color w:val="auto"/>
        </w:rPr>
        <w:t>their Australia Awards experience ha</w:t>
      </w:r>
      <w:r w:rsidR="0087327D">
        <w:rPr>
          <w:rFonts w:eastAsia="Times New Roman"/>
          <w:color w:val="auto"/>
        </w:rPr>
        <w:t>d</w:t>
      </w:r>
      <w:r w:rsidR="00444876">
        <w:rPr>
          <w:rFonts w:eastAsia="Times New Roman"/>
          <w:color w:val="auto"/>
        </w:rPr>
        <w:t xml:space="preserve"> helped them to better understand Australian culture.</w:t>
      </w:r>
      <w:r w:rsidR="0007191B">
        <w:rPr>
          <w:rFonts w:eastAsia="Times New Roman"/>
          <w:color w:val="auto"/>
        </w:rPr>
        <w:t xml:space="preserve"> As can be seen in </w:t>
      </w:r>
      <w:r w:rsidR="0007191B" w:rsidRPr="00720D96">
        <w:rPr>
          <w:rFonts w:eastAsia="Times New Roman"/>
          <w:color w:val="auto"/>
        </w:rPr>
        <w:t xml:space="preserve">Figure </w:t>
      </w:r>
      <w:r w:rsidR="00ED1F78">
        <w:rPr>
          <w:rFonts w:eastAsia="Times New Roman"/>
          <w:color w:val="auto"/>
        </w:rPr>
        <w:t>8</w:t>
      </w:r>
      <w:r w:rsidR="0007191B">
        <w:rPr>
          <w:rFonts w:eastAsia="Times New Roman"/>
          <w:color w:val="auto"/>
        </w:rPr>
        <w:t>, the overall level of satisfaction reported by awardees while they are “on-award</w:t>
      </w:r>
      <w:r w:rsidR="0087327D">
        <w:rPr>
          <w:rFonts w:eastAsia="Times New Roman"/>
          <w:color w:val="auto"/>
        </w:rPr>
        <w:t xml:space="preserve">”, has </w:t>
      </w:r>
      <w:r w:rsidR="0007191B">
        <w:rPr>
          <w:rFonts w:eastAsia="Times New Roman"/>
          <w:color w:val="auto"/>
        </w:rPr>
        <w:t xml:space="preserve">had a positive trend since 2013. </w:t>
      </w:r>
    </w:p>
    <w:p w:rsidR="00A41FE1" w:rsidRPr="00720D96" w:rsidRDefault="00A41FE1" w:rsidP="00A41FE1">
      <w:pPr>
        <w:pStyle w:val="FigureHeading"/>
      </w:pPr>
      <w:r w:rsidRPr="00720D96">
        <w:t>Overall satisfaction with the Australia Awards</w:t>
      </w:r>
    </w:p>
    <w:p w:rsidR="00A41FE1" w:rsidRDefault="00A41FE1" w:rsidP="00A41FE1">
      <w:pPr>
        <w:spacing w:after="120"/>
        <w:rPr>
          <w:rFonts w:eastAsia="Times New Roman"/>
          <w:color w:val="auto"/>
        </w:rPr>
      </w:pPr>
      <w:r>
        <w:rPr>
          <w:rFonts w:eastAsia="Times New Roman"/>
          <w:noProof/>
          <w:color w:val="FF0000"/>
          <w:lang w:val="en-AU" w:eastAsia="en-AU"/>
        </w:rPr>
        <w:drawing>
          <wp:inline distT="0" distB="0" distL="0" distR="0" wp14:anchorId="404F5160" wp14:editId="3DF1A452">
            <wp:extent cx="5730325" cy="2343150"/>
            <wp:effectExtent l="0" t="0" r="0" b="0"/>
            <wp:docPr id="6" name="Picture 6" title="Figure xx: Overall Satisfaction with the Australia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42971" cy="2348321"/>
                    </a:xfrm>
                    <a:prstGeom prst="rect">
                      <a:avLst/>
                    </a:prstGeom>
                    <a:noFill/>
                  </pic:spPr>
                </pic:pic>
              </a:graphicData>
            </a:graphic>
          </wp:inline>
        </w:drawing>
      </w:r>
    </w:p>
    <w:p w:rsidR="00A41FE1" w:rsidRPr="00D82D7C" w:rsidRDefault="00A41FE1" w:rsidP="00A41FE1">
      <w:pPr>
        <w:spacing w:after="120"/>
        <w:rPr>
          <w:rFonts w:eastAsia="Times New Roman"/>
          <w:color w:val="auto"/>
          <w:sz w:val="20"/>
          <w:szCs w:val="20"/>
        </w:rPr>
      </w:pPr>
      <w:r>
        <w:rPr>
          <w:rFonts w:eastAsia="Times New Roman"/>
          <w:color w:val="auto"/>
          <w:sz w:val="20"/>
          <w:szCs w:val="20"/>
        </w:rPr>
        <w:t xml:space="preserve">Figure </w:t>
      </w:r>
      <w:r w:rsidR="00ED1F78">
        <w:rPr>
          <w:rFonts w:eastAsia="Times New Roman"/>
          <w:color w:val="auto"/>
          <w:sz w:val="20"/>
          <w:szCs w:val="20"/>
        </w:rPr>
        <w:t>8</w:t>
      </w:r>
      <w:r>
        <w:rPr>
          <w:rFonts w:eastAsia="Times New Roman"/>
          <w:color w:val="auto"/>
          <w:sz w:val="20"/>
          <w:szCs w:val="20"/>
        </w:rPr>
        <w:t xml:space="preserve"> </w:t>
      </w:r>
      <w:r w:rsidRPr="00D82D7C">
        <w:rPr>
          <w:rFonts w:eastAsia="Times New Roman"/>
          <w:color w:val="auto"/>
          <w:sz w:val="20"/>
          <w:szCs w:val="20"/>
        </w:rPr>
        <w:t xml:space="preserve">Source: Australia Awards Scholarship Surveys 2018 Executive Summary Report </w:t>
      </w:r>
    </w:p>
    <w:p w:rsidR="00471172" w:rsidRDefault="0087327D" w:rsidP="00471172">
      <w:pPr>
        <w:rPr>
          <w:color w:val="000000" w:themeColor="text1"/>
        </w:rPr>
      </w:pPr>
      <w:r w:rsidRPr="0021466C">
        <w:rPr>
          <w:noProof/>
          <w:lang w:val="en-AU" w:eastAsia="en-AU"/>
        </w:rPr>
        <mc:AlternateContent>
          <mc:Choice Requires="wps">
            <w:drawing>
              <wp:anchor distT="0" distB="0" distL="114300" distR="114300" simplePos="0" relativeHeight="251700224" behindDoc="1" locked="0" layoutInCell="1" allowOverlap="1" wp14:anchorId="7A39AC76" wp14:editId="119A206F">
                <wp:simplePos x="0" y="0"/>
                <wp:positionH relativeFrom="margin">
                  <wp:align>right</wp:align>
                </wp:positionH>
                <wp:positionV relativeFrom="paragraph">
                  <wp:posOffset>935355</wp:posOffset>
                </wp:positionV>
                <wp:extent cx="6086475" cy="2990850"/>
                <wp:effectExtent l="0" t="0" r="28575" b="1905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990850"/>
                        </a:xfrm>
                        <a:prstGeom prst="rect">
                          <a:avLst/>
                        </a:prstGeom>
                        <a:solidFill>
                          <a:schemeClr val="bg1"/>
                        </a:solidFill>
                        <a:ln w="25400" cap="flat" cmpd="sng" algn="ctr">
                          <a:solidFill>
                            <a:srgbClr val="65C5B4"/>
                          </a:solidFill>
                          <a:prstDash val="solid"/>
                          <a:headEnd/>
                          <a:tailEnd/>
                        </a:ln>
                        <a:effectLst/>
                      </wps:spPr>
                      <wps:txbx>
                        <w:txbxContent>
                          <w:p w:rsidR="004D4A55" w:rsidRDefault="004D4A55" w:rsidP="00EF67F2">
                            <w:pPr>
                              <w:rPr>
                                <w:rFonts w:ascii="Calibri Light" w:hAnsi="Calibri Light" w:cs="Calibri Light"/>
                                <w:b/>
                                <w:bCs/>
                                <w:color w:val="auto"/>
                                <w:lang w:val="en-AU"/>
                              </w:rPr>
                            </w:pPr>
                            <w:r>
                              <w:rPr>
                                <w:rFonts w:ascii="Calibri Light" w:hAnsi="Calibri Light" w:cs="Calibri Light"/>
                                <w:b/>
                                <w:bCs/>
                              </w:rPr>
                              <w:t xml:space="preserve">Case Study – Mozambique  </w:t>
                            </w:r>
                          </w:p>
                          <w:p w:rsidR="004D4A55" w:rsidRDefault="004D4A55" w:rsidP="00EF67F2">
                            <w:pPr>
                              <w:spacing w:after="120"/>
                              <w:rPr>
                                <w:color w:val="auto"/>
                                <w:sz w:val="21"/>
                                <w:szCs w:val="21"/>
                              </w:rPr>
                            </w:pPr>
                            <w:r w:rsidRPr="00EF67F2">
                              <w:rPr>
                                <w:color w:val="auto"/>
                                <w:sz w:val="21"/>
                                <w:szCs w:val="21"/>
                              </w:rPr>
                              <w:t xml:space="preserve">The Australia Awards Global Tracer Facility </w:t>
                            </w:r>
                            <w:r w:rsidRPr="00EF67F2">
                              <w:rPr>
                                <w:i/>
                                <w:color w:val="auto"/>
                                <w:sz w:val="21"/>
                                <w:szCs w:val="21"/>
                              </w:rPr>
                              <w:t>Case Study in Mozambique in the fields of agriculture, food security and natural resources</w:t>
                            </w:r>
                            <w:r w:rsidRPr="00EF67F2">
                              <w:rPr>
                                <w:color w:val="auto"/>
                                <w:sz w:val="21"/>
                                <w:szCs w:val="21"/>
                              </w:rPr>
                              <w:t xml:space="preserve"> revealed the high regard in which alumni hold Australian scholarships. The alumni reported that they felt that the Australian scholarships were very well organised, transparent, merit-based and </w:t>
                            </w:r>
                            <w:r>
                              <w:rPr>
                                <w:color w:val="auto"/>
                                <w:sz w:val="21"/>
                                <w:szCs w:val="21"/>
                              </w:rPr>
                              <w:t>impartial. A</w:t>
                            </w:r>
                            <w:r w:rsidRPr="00EF67F2">
                              <w:rPr>
                                <w:color w:val="auto"/>
                                <w:sz w:val="21"/>
                                <w:szCs w:val="21"/>
                              </w:rPr>
                              <w:t>s a result</w:t>
                            </w:r>
                            <w:r>
                              <w:rPr>
                                <w:color w:val="auto"/>
                                <w:sz w:val="21"/>
                                <w:szCs w:val="21"/>
                              </w:rPr>
                              <w:t>, the alumni</w:t>
                            </w:r>
                            <w:r w:rsidRPr="00EF67F2">
                              <w:rPr>
                                <w:color w:val="auto"/>
                                <w:sz w:val="21"/>
                                <w:szCs w:val="21"/>
                              </w:rPr>
                              <w:t xml:space="preserve"> were champions of the scholarships, encouraged others to apply and spoke generously about Australian expertise. </w:t>
                            </w:r>
                          </w:p>
                          <w:p w:rsidR="004D4A55" w:rsidRPr="00EF67F2" w:rsidRDefault="004D4A55" w:rsidP="00EF67F2">
                            <w:pPr>
                              <w:spacing w:after="120"/>
                              <w:rPr>
                                <w:color w:val="auto"/>
                                <w:sz w:val="21"/>
                                <w:szCs w:val="21"/>
                              </w:rPr>
                            </w:pPr>
                            <w:r w:rsidRPr="00EF67F2">
                              <w:rPr>
                                <w:color w:val="auto"/>
                                <w:sz w:val="21"/>
                                <w:szCs w:val="21"/>
                              </w:rPr>
                              <w:t>Alumni mentioned the support and careful planning from when they applied for the scholarship until their return and reintegration</w:t>
                            </w:r>
                            <w:r>
                              <w:rPr>
                                <w:color w:val="auto"/>
                                <w:sz w:val="21"/>
                                <w:szCs w:val="21"/>
                              </w:rPr>
                              <w:t>. I</w:t>
                            </w:r>
                            <w:r w:rsidRPr="00EF67F2">
                              <w:rPr>
                                <w:color w:val="auto"/>
                                <w:sz w:val="21"/>
                                <w:szCs w:val="21"/>
                              </w:rPr>
                              <w:t>t was described as “professional”, with ongoing support even before applying: “you could phone somebody and talk, you could get answers, and it just went very smoothly”. The transition into life in Australia was facilitated by the social support, travel logistics and welcoming received on arrival in Australia: “Simple things, like being met by two Mozambicans at the airport! I didn’t expect that, but someone at UNSW had organised for that’</w:t>
                            </w:r>
                            <w:r>
                              <w:rPr>
                                <w:color w:val="auto"/>
                                <w:sz w:val="21"/>
                                <w:szCs w:val="21"/>
                              </w:rPr>
                              <w:t>. A</w:t>
                            </w:r>
                            <w:r w:rsidRPr="00EF67F2">
                              <w:rPr>
                                <w:color w:val="auto"/>
                                <w:sz w:val="21"/>
                                <w:szCs w:val="21"/>
                              </w:rPr>
                              <w:t>nother said: “It was so organised before you arrive, they would write a letter explaining where you are going, what kind of people you will find there, the size of the city, the diversity they have there…just after our arrival we had we had a meeting to introduce ourselves.”</w:t>
                            </w:r>
                          </w:p>
                          <w:p w:rsidR="004D4A55" w:rsidRPr="003D28AC" w:rsidRDefault="004D4A55" w:rsidP="00A41FE1">
                            <w:pPr>
                              <w:spacing w:before="0" w:after="0" w:line="240" w:lineRule="auto"/>
                              <w:rPr>
                                <w:rFonts w:cstheme="minorHAnsi"/>
                                <w:sz w:val="18"/>
                                <w:szCs w:val="18"/>
                              </w:rPr>
                            </w:pPr>
                            <w:r w:rsidRPr="003D28AC">
                              <w:rPr>
                                <w:rFonts w:cstheme="minorHAnsi"/>
                                <w:b/>
                                <w:bCs/>
                                <w:sz w:val="18"/>
                                <w:szCs w:val="18"/>
                              </w:rPr>
                              <w:t>Source</w:t>
                            </w:r>
                            <w:r w:rsidRPr="003D28AC">
                              <w:rPr>
                                <w:rFonts w:cstheme="minorHAnsi"/>
                                <w:sz w:val="18"/>
                                <w:szCs w:val="18"/>
                              </w:rPr>
                              <w:t xml:space="preserve">: </w:t>
                            </w:r>
                            <w:r w:rsidRPr="003D28AC">
                              <w:rPr>
                                <w:rFonts w:cstheme="minorHAnsi"/>
                                <w:i/>
                                <w:iCs/>
                                <w:sz w:val="18"/>
                                <w:szCs w:val="18"/>
                              </w:rPr>
                              <w:t xml:space="preserve">Australia Awards Global Tracer Facility: Case Study in </w:t>
                            </w:r>
                            <w:r>
                              <w:rPr>
                                <w:rFonts w:cstheme="minorHAnsi"/>
                                <w:i/>
                                <w:iCs/>
                                <w:sz w:val="18"/>
                                <w:szCs w:val="18"/>
                              </w:rPr>
                              <w:t>Mozambique in the fields of agriculture, food security and natural resources</w:t>
                            </w:r>
                            <w:r>
                              <w:rPr>
                                <w:rFonts w:cstheme="minorHAnsi"/>
                                <w:sz w:val="18"/>
                                <w:szCs w:val="18"/>
                              </w:rPr>
                              <w:t>, January 2019</w:t>
                            </w:r>
                          </w:p>
                        </w:txbxContent>
                      </wps:txbx>
                      <wps:bodyPr rot="0" vert="horz" wrap="square" lIns="72000" tIns="0" rIns="72000" bIns="0" anchor="t" anchorCtr="0">
                        <a:noAutofit/>
                      </wps:bodyPr>
                    </wps:wsp>
                  </a:graphicData>
                </a:graphic>
                <wp14:sizeRelH relativeFrom="page">
                  <wp14:pctWidth>0</wp14:pctWidth>
                </wp14:sizeRelH>
                <wp14:sizeRelV relativeFrom="page">
                  <wp14:pctHeight>0</wp14:pctHeight>
                </wp14:sizeRelV>
              </wp:anchor>
            </w:drawing>
          </mc:Choice>
          <mc:Fallback>
            <w:pict>
              <v:shape w14:anchorId="7A39AC76" id="_x0000_s1028" type="#_x0000_t202" style="position:absolute;margin-left:428.05pt;margin-top:73.65pt;width:479.25pt;height:235.5pt;z-index:-251616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" fillcolor="white [3212]" strokecolor="#65c5b4" strokeweight="2pt">
                <v:textbox inset="2mm,0,2mm,0">
                  <w:txbxContent>
                    <w:p w:rsidR="004D4A55" w:rsidRDefault="004D4A55" w:rsidP="00EF67F2">
                      <w:pPr>
                        <w:rPr>
                          <w:rFonts w:ascii="Calibri Light" w:hAnsi="Calibri Light" w:cs="Calibri Light"/>
                          <w:b/>
                          <w:bCs/>
                          <w:color w:val="auto"/>
                          <w:lang w:val="en-AU"/>
                        </w:rPr>
                      </w:pPr>
                      <w:r>
                        <w:rPr>
                          <w:rFonts w:ascii="Calibri Light" w:hAnsi="Calibri Light" w:cs="Calibri Light"/>
                          <w:b/>
                          <w:bCs/>
                        </w:rPr>
                        <w:t xml:space="preserve">Case Study – Mozambique  </w:t>
                      </w:r>
                    </w:p>
                    <w:p w:rsidR="004D4A55" w:rsidRDefault="004D4A55" w:rsidP="00EF67F2">
                      <w:pPr>
                        <w:spacing w:after="120"/>
                        <w:rPr>
                          <w:color w:val="auto"/>
                          <w:sz w:val="21"/>
                          <w:szCs w:val="21"/>
                        </w:rPr>
                      </w:pPr>
                      <w:r w:rsidRPr="00EF67F2">
                        <w:rPr>
                          <w:color w:val="auto"/>
                          <w:sz w:val="21"/>
                          <w:szCs w:val="21"/>
                        </w:rPr>
                        <w:t xml:space="preserve">The Australia Awards Global Tracer Facility </w:t>
                      </w:r>
                      <w:r w:rsidRPr="00EF67F2">
                        <w:rPr>
                          <w:i/>
                          <w:color w:val="auto"/>
                          <w:sz w:val="21"/>
                          <w:szCs w:val="21"/>
                        </w:rPr>
                        <w:t>Case Study in Mozambique in the fields of agriculture, food security and natural resources</w:t>
                      </w:r>
                      <w:r w:rsidRPr="00EF67F2">
                        <w:rPr>
                          <w:color w:val="auto"/>
                          <w:sz w:val="21"/>
                          <w:szCs w:val="21"/>
                        </w:rPr>
                        <w:t xml:space="preserve"> revealed the high regard in which alumni hold Australian scholarships. The alumni reported that they felt that the Australian scholarships were very well organised, transparent, merit-based and </w:t>
                      </w:r>
                      <w:r>
                        <w:rPr>
                          <w:color w:val="auto"/>
                          <w:sz w:val="21"/>
                          <w:szCs w:val="21"/>
                        </w:rPr>
                        <w:t>impartial. A</w:t>
                      </w:r>
                      <w:r w:rsidRPr="00EF67F2">
                        <w:rPr>
                          <w:color w:val="auto"/>
                          <w:sz w:val="21"/>
                          <w:szCs w:val="21"/>
                        </w:rPr>
                        <w:t>s a result</w:t>
                      </w:r>
                      <w:r>
                        <w:rPr>
                          <w:color w:val="auto"/>
                          <w:sz w:val="21"/>
                          <w:szCs w:val="21"/>
                        </w:rPr>
                        <w:t>, the alumni</w:t>
                      </w:r>
                      <w:r w:rsidRPr="00EF67F2">
                        <w:rPr>
                          <w:color w:val="auto"/>
                          <w:sz w:val="21"/>
                          <w:szCs w:val="21"/>
                        </w:rPr>
                        <w:t xml:space="preserve"> were champions of the scholarships, encouraged others to apply and spoke generously about Australian expertise. </w:t>
                      </w:r>
                    </w:p>
                    <w:p w:rsidR="004D4A55" w:rsidRPr="00EF67F2" w:rsidRDefault="004D4A55" w:rsidP="00EF67F2">
                      <w:pPr>
                        <w:spacing w:after="120"/>
                        <w:rPr>
                          <w:color w:val="auto"/>
                          <w:sz w:val="21"/>
                          <w:szCs w:val="21"/>
                        </w:rPr>
                      </w:pPr>
                      <w:r w:rsidRPr="00EF67F2">
                        <w:rPr>
                          <w:color w:val="auto"/>
                          <w:sz w:val="21"/>
                          <w:szCs w:val="21"/>
                        </w:rPr>
                        <w:t>Alumni mentioned the support and careful planning from when they applied for the scholarship until their return and reintegration</w:t>
                      </w:r>
                      <w:r>
                        <w:rPr>
                          <w:color w:val="auto"/>
                          <w:sz w:val="21"/>
                          <w:szCs w:val="21"/>
                        </w:rPr>
                        <w:t>. I</w:t>
                      </w:r>
                      <w:r w:rsidRPr="00EF67F2">
                        <w:rPr>
                          <w:color w:val="auto"/>
                          <w:sz w:val="21"/>
                          <w:szCs w:val="21"/>
                        </w:rPr>
                        <w:t>t was described as “professional”, with ongoing support even before applying: “you could phone somebody and talk, you could get answers, and it just went very smoothly”. The transition into life in Australia was facilitated by the social support, travel logistics and welcoming received on arrival in Australia: “Simple things, like being met by two Mozambicans at the airport! I didn’t expect that, but someone at UNSW had organised for that’</w:t>
                      </w:r>
                      <w:r>
                        <w:rPr>
                          <w:color w:val="auto"/>
                          <w:sz w:val="21"/>
                          <w:szCs w:val="21"/>
                        </w:rPr>
                        <w:t>. A</w:t>
                      </w:r>
                      <w:r w:rsidRPr="00EF67F2">
                        <w:rPr>
                          <w:color w:val="auto"/>
                          <w:sz w:val="21"/>
                          <w:szCs w:val="21"/>
                        </w:rPr>
                        <w:t>nother said: “It was so organised before you arrive, they would write a letter explaining where you are going, what kind of people you will find there, the size of the city, the diversity they have there…just after our arrival we had we had a meeting to introduce ourselves.”</w:t>
                      </w:r>
                    </w:p>
                    <w:p w:rsidR="004D4A55" w:rsidRPr="003D28AC" w:rsidRDefault="004D4A55" w:rsidP="00A41FE1">
                      <w:pPr>
                        <w:spacing w:before="0" w:after="0" w:line="240" w:lineRule="auto"/>
                        <w:rPr>
                          <w:rFonts w:cstheme="minorHAnsi"/>
                          <w:sz w:val="18"/>
                          <w:szCs w:val="18"/>
                        </w:rPr>
                      </w:pPr>
                      <w:r w:rsidRPr="003D28AC">
                        <w:rPr>
                          <w:rFonts w:cstheme="minorHAnsi"/>
                          <w:b/>
                          <w:bCs/>
                          <w:sz w:val="18"/>
                          <w:szCs w:val="18"/>
                        </w:rPr>
                        <w:t>Source</w:t>
                      </w:r>
                      <w:r w:rsidRPr="003D28AC">
                        <w:rPr>
                          <w:rFonts w:cstheme="minorHAnsi"/>
                          <w:sz w:val="18"/>
                          <w:szCs w:val="18"/>
                        </w:rPr>
                        <w:t xml:space="preserve">: </w:t>
                      </w:r>
                      <w:r w:rsidRPr="003D28AC">
                        <w:rPr>
                          <w:rFonts w:cstheme="minorHAnsi"/>
                          <w:i/>
                          <w:iCs/>
                          <w:sz w:val="18"/>
                          <w:szCs w:val="18"/>
                        </w:rPr>
                        <w:t xml:space="preserve">Australia Awards Global Tracer Facility: Case Study in </w:t>
                      </w:r>
                      <w:r>
                        <w:rPr>
                          <w:rFonts w:cstheme="minorHAnsi"/>
                          <w:i/>
                          <w:iCs/>
                          <w:sz w:val="18"/>
                          <w:szCs w:val="18"/>
                        </w:rPr>
                        <w:t>Mozambique in the fields of agriculture, food security and natural resources</w:t>
                      </w:r>
                      <w:r>
                        <w:rPr>
                          <w:rFonts w:cstheme="minorHAnsi"/>
                          <w:sz w:val="18"/>
                          <w:szCs w:val="18"/>
                        </w:rPr>
                        <w:t>, January 2019</w:t>
                      </w:r>
                    </w:p>
                  </w:txbxContent>
                </v:textbox>
                <w10:wrap type="topAndBottom" anchorx="margin"/>
              </v:shape>
            </w:pict>
          </mc:Fallback>
        </mc:AlternateContent>
      </w:r>
      <w:r w:rsidR="00471172">
        <w:rPr>
          <w:color w:val="000000" w:themeColor="text1"/>
        </w:rPr>
        <w:t>The</w:t>
      </w:r>
      <w:r>
        <w:rPr>
          <w:color w:val="000000" w:themeColor="text1"/>
        </w:rPr>
        <w:t xml:space="preserve"> 2018 on-award surveys </w:t>
      </w:r>
      <w:r w:rsidR="00471172">
        <w:rPr>
          <w:color w:val="000000" w:themeColor="text1"/>
        </w:rPr>
        <w:t xml:space="preserve">revealed that overall satisfaction with the Australia Awards </w:t>
      </w:r>
      <w:r>
        <w:rPr>
          <w:color w:val="000000" w:themeColor="text1"/>
        </w:rPr>
        <w:t>had remained high and steady</w:t>
      </w:r>
      <w:r w:rsidR="00471172">
        <w:rPr>
          <w:color w:val="000000" w:themeColor="text1"/>
        </w:rPr>
        <w:t xml:space="preserve"> since 2013</w:t>
      </w:r>
      <w:r>
        <w:rPr>
          <w:color w:val="000000" w:themeColor="text1"/>
        </w:rPr>
        <w:t xml:space="preserve">, including for </w:t>
      </w:r>
      <w:r w:rsidR="00471172">
        <w:rPr>
          <w:color w:val="000000" w:themeColor="text1"/>
        </w:rPr>
        <w:t>ongoing students</w:t>
      </w:r>
      <w:r>
        <w:rPr>
          <w:color w:val="000000" w:themeColor="text1"/>
        </w:rPr>
        <w:t>.</w:t>
      </w:r>
      <w:r w:rsidR="00471172">
        <w:rPr>
          <w:color w:val="000000" w:themeColor="text1"/>
        </w:rPr>
        <w:t xml:space="preserve"> In 2018, almost all of the students who responded to the survey reported that they were likely to recommend Australia as a good place to visit and to study (98 per cent for ongoing students and 99 per cent of new arrivals). </w:t>
      </w:r>
    </w:p>
    <w:p w:rsidR="00321DEB" w:rsidRPr="00321DEB" w:rsidRDefault="00321DEB" w:rsidP="00D80810">
      <w:pPr>
        <w:rPr>
          <w:rFonts w:asciiTheme="majorHAnsi" w:hAnsiTheme="majorHAnsi"/>
          <w:color w:val="auto"/>
          <w:sz w:val="28"/>
        </w:rPr>
      </w:pPr>
      <w:r w:rsidRPr="00321DEB">
        <w:rPr>
          <w:rFonts w:asciiTheme="majorHAnsi" w:hAnsiTheme="majorHAnsi"/>
          <w:color w:val="auto"/>
          <w:sz w:val="28"/>
        </w:rPr>
        <w:t>Alumni perceptions of Australia Awards</w:t>
      </w:r>
    </w:p>
    <w:p w:rsidR="00321DEB" w:rsidRDefault="00321DEB" w:rsidP="00D80810">
      <w:pPr>
        <w:rPr>
          <w:color w:val="auto"/>
        </w:rPr>
      </w:pPr>
      <w:r>
        <w:rPr>
          <w:color w:val="auto"/>
        </w:rPr>
        <w:t xml:space="preserve">The </w:t>
      </w:r>
      <w:r w:rsidRPr="00C83480">
        <w:rPr>
          <w:rFonts w:eastAsia="Times New Roman"/>
          <w:color w:val="auto"/>
        </w:rPr>
        <w:t xml:space="preserve">2019 Global Tracer Facility Survey </w:t>
      </w:r>
      <w:r w:rsidR="007D543E">
        <w:rPr>
          <w:rFonts w:eastAsia="Times New Roman"/>
          <w:color w:val="auto"/>
        </w:rPr>
        <w:t>of a</w:t>
      </w:r>
      <w:r w:rsidRPr="00C83480">
        <w:rPr>
          <w:rFonts w:eastAsia="Times New Roman"/>
          <w:color w:val="auto"/>
        </w:rPr>
        <w:t xml:space="preserve">lumni </w:t>
      </w:r>
      <w:r w:rsidR="0087327D">
        <w:rPr>
          <w:rFonts w:eastAsia="Times New Roman"/>
          <w:color w:val="auto"/>
        </w:rPr>
        <w:t>who</w:t>
      </w:r>
      <w:r w:rsidR="007D543E">
        <w:rPr>
          <w:rFonts w:eastAsia="Times New Roman"/>
          <w:color w:val="auto"/>
        </w:rPr>
        <w:t xml:space="preserve"> graduated between </w:t>
      </w:r>
      <w:r w:rsidRPr="00C83480">
        <w:rPr>
          <w:rFonts w:eastAsia="Times New Roman"/>
          <w:color w:val="auto"/>
        </w:rPr>
        <w:t>2011</w:t>
      </w:r>
      <w:r w:rsidR="0087327D">
        <w:rPr>
          <w:rFonts w:eastAsia="Times New Roman"/>
          <w:color w:val="auto"/>
        </w:rPr>
        <w:t xml:space="preserve"> and </w:t>
      </w:r>
      <w:r w:rsidRPr="00C83480">
        <w:rPr>
          <w:rFonts w:eastAsia="Times New Roman"/>
          <w:color w:val="auto"/>
        </w:rPr>
        <w:t>2016</w:t>
      </w:r>
      <w:r w:rsidR="0087327D">
        <w:rPr>
          <w:rFonts w:eastAsia="Times New Roman"/>
          <w:color w:val="auto"/>
        </w:rPr>
        <w:t xml:space="preserve"> found that 97 </w:t>
      </w:r>
      <w:r>
        <w:rPr>
          <w:rFonts w:eastAsia="Times New Roman"/>
          <w:color w:val="auto"/>
        </w:rPr>
        <w:t xml:space="preserve">per cent had </w:t>
      </w:r>
      <w:r w:rsidR="007D543E">
        <w:rPr>
          <w:rFonts w:eastAsia="Times New Roman"/>
          <w:color w:val="auto"/>
        </w:rPr>
        <w:t xml:space="preserve">a </w:t>
      </w:r>
      <w:r>
        <w:rPr>
          <w:rFonts w:eastAsia="Times New Roman"/>
          <w:color w:val="auto"/>
        </w:rPr>
        <w:t>positive perception of Australia, and 95 per cent had positive perceptions of Australi</w:t>
      </w:r>
      <w:r w:rsidR="0087327D">
        <w:rPr>
          <w:rFonts w:eastAsia="Times New Roman"/>
          <w:color w:val="auto"/>
        </w:rPr>
        <w:t>an skills and expertise. These</w:t>
      </w:r>
      <w:r>
        <w:rPr>
          <w:rFonts w:eastAsia="Times New Roman"/>
          <w:color w:val="auto"/>
        </w:rPr>
        <w:t xml:space="preserve"> are consistent with the </w:t>
      </w:r>
      <w:r w:rsidR="00E86E95">
        <w:rPr>
          <w:rFonts w:eastAsia="Times New Roman"/>
          <w:color w:val="auto"/>
        </w:rPr>
        <w:t>Year 2</w:t>
      </w:r>
      <w:r>
        <w:rPr>
          <w:rFonts w:eastAsia="Times New Roman"/>
          <w:color w:val="auto"/>
        </w:rPr>
        <w:t xml:space="preserve"> Tracer Study Survey which surveyed alumni who completed their studies between 1996 and 2005.</w:t>
      </w:r>
      <w:r w:rsidR="00523160">
        <w:rPr>
          <w:rFonts w:eastAsia="Times New Roman"/>
          <w:color w:val="auto"/>
        </w:rPr>
        <w:t xml:space="preserve"> </w:t>
      </w:r>
    </w:p>
    <w:p w:rsidR="00321DEB" w:rsidRDefault="00321DEB" w:rsidP="00D80810">
      <w:pPr>
        <w:rPr>
          <w:color w:val="auto"/>
        </w:rPr>
      </w:pPr>
      <w:r>
        <w:rPr>
          <w:noProof/>
          <w:lang w:val="en-AU" w:eastAsia="en-AU"/>
        </w:rPr>
        <w:drawing>
          <wp:inline distT="0" distB="0" distL="0" distR="0" wp14:anchorId="60DAF5A6" wp14:editId="4B0ECB67">
            <wp:extent cx="6086475" cy="1905000"/>
            <wp:effectExtent l="0" t="0" r="9525" b="0"/>
            <wp:docPr id="26" name="Chart 26">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21DEB" w:rsidRDefault="00321DEB" w:rsidP="00321DEB">
      <w:pPr>
        <w:spacing w:before="0" w:after="0" w:line="240" w:lineRule="auto"/>
        <w:rPr>
          <w:color w:val="auto"/>
          <w:sz w:val="20"/>
          <w:szCs w:val="20"/>
        </w:rPr>
      </w:pPr>
      <w:r w:rsidRPr="00321DEB">
        <w:rPr>
          <w:color w:val="auto"/>
          <w:sz w:val="20"/>
          <w:szCs w:val="20"/>
        </w:rPr>
        <w:t xml:space="preserve">Figure </w:t>
      </w:r>
      <w:r w:rsidR="00ED1F78">
        <w:rPr>
          <w:color w:val="auto"/>
          <w:sz w:val="20"/>
          <w:szCs w:val="20"/>
        </w:rPr>
        <w:t>9</w:t>
      </w:r>
      <w:r w:rsidRPr="00321DEB">
        <w:rPr>
          <w:color w:val="auto"/>
          <w:sz w:val="20"/>
          <w:szCs w:val="20"/>
        </w:rPr>
        <w:t>: Source: 2019 Global Tracer Facility Survey Report of Alumni of 2011-2016</w:t>
      </w:r>
    </w:p>
    <w:p w:rsidR="0087327D" w:rsidRDefault="0087327D" w:rsidP="00A41FE1">
      <w:pPr>
        <w:spacing w:before="0" w:after="0" w:line="240" w:lineRule="auto"/>
        <w:rPr>
          <w:rFonts w:asciiTheme="majorHAnsi" w:hAnsiTheme="majorHAnsi"/>
          <w:color w:val="auto"/>
          <w:sz w:val="28"/>
        </w:rPr>
      </w:pPr>
    </w:p>
    <w:p w:rsidR="00321DEB" w:rsidRPr="00523160" w:rsidRDefault="00523160" w:rsidP="00A41FE1">
      <w:pPr>
        <w:spacing w:before="0" w:after="0" w:line="240" w:lineRule="auto"/>
        <w:rPr>
          <w:rFonts w:asciiTheme="majorHAnsi" w:hAnsiTheme="majorHAnsi"/>
          <w:color w:val="auto"/>
          <w:sz w:val="28"/>
        </w:rPr>
      </w:pPr>
      <w:r w:rsidRPr="00523160">
        <w:rPr>
          <w:rFonts w:asciiTheme="majorHAnsi" w:hAnsiTheme="majorHAnsi"/>
          <w:color w:val="auto"/>
          <w:sz w:val="28"/>
        </w:rPr>
        <w:t>Overall progress towards achieving Long-term Outcome 4</w:t>
      </w:r>
    </w:p>
    <w:p w:rsidR="00D80810" w:rsidRDefault="00093D2C" w:rsidP="00093D2C">
      <w:pPr>
        <w:rPr>
          <w:rFonts w:asciiTheme="majorHAnsi" w:eastAsiaTheme="majorEastAsia" w:hAnsiTheme="majorHAnsi" w:cstheme="majorBidi"/>
          <w:caps/>
          <w:sz w:val="32"/>
          <w:szCs w:val="32"/>
        </w:rPr>
      </w:pPr>
      <w:r>
        <w:rPr>
          <w:color w:val="auto"/>
        </w:rPr>
        <w:t>The overwhelming majority of alumni agree they would recommend Australia as a good place to study, and agree that their Australia Awards experience has helped them to better understand Australian culture. Based on the available evidence, progress is assess</w:t>
      </w:r>
      <w:r w:rsidR="0087327D">
        <w:rPr>
          <w:color w:val="auto"/>
        </w:rPr>
        <w:t>ed</w:t>
      </w:r>
      <w:r>
        <w:rPr>
          <w:color w:val="auto"/>
        </w:rPr>
        <w:t xml:space="preserve"> as being as expected at this stage of implementation and it is likely that the objective will be achieved. </w:t>
      </w:r>
    </w:p>
    <w:p w:rsidR="008D641F" w:rsidRDefault="008D641F" w:rsidP="008D641F">
      <w:pPr>
        <w:pStyle w:val="Heading2"/>
        <w:spacing w:before="360" w:line="300" w:lineRule="exact"/>
      </w:pPr>
      <w:r>
        <w:t>Mutual obligations</w:t>
      </w:r>
    </w:p>
    <w:p w:rsidR="008D641F" w:rsidRPr="0087327D" w:rsidRDefault="008D641F" w:rsidP="008D641F">
      <w:pPr>
        <w:rPr>
          <w:color w:val="auto"/>
        </w:rPr>
      </w:pPr>
      <w:r w:rsidRPr="008D641F">
        <w:rPr>
          <w:color w:val="auto"/>
        </w:rPr>
        <w:t xml:space="preserve">Mutual obligation is handled by the country programs </w:t>
      </w:r>
      <w:r w:rsidR="0087327D">
        <w:rPr>
          <w:color w:val="auto"/>
        </w:rPr>
        <w:t xml:space="preserve">which </w:t>
      </w:r>
      <w:r w:rsidRPr="008D641F">
        <w:rPr>
          <w:color w:val="auto"/>
        </w:rPr>
        <w:t>are responsible for ensuring that their Australia Awards investments align with partner country objectives</w:t>
      </w:r>
      <w:r>
        <w:rPr>
          <w:color w:val="auto"/>
        </w:rPr>
        <w:t xml:space="preserve"> and complement</w:t>
      </w:r>
      <w:r w:rsidR="00AD7D1C">
        <w:rPr>
          <w:color w:val="auto"/>
        </w:rPr>
        <w:t>s</w:t>
      </w:r>
      <w:r>
        <w:rPr>
          <w:color w:val="auto"/>
        </w:rPr>
        <w:t xml:space="preserve"> the overall country program</w:t>
      </w:r>
      <w:r w:rsidRPr="008D641F">
        <w:rPr>
          <w:color w:val="auto"/>
        </w:rPr>
        <w:t xml:space="preserve">. </w:t>
      </w:r>
    </w:p>
    <w:p w:rsidR="00BE13BF" w:rsidRPr="008D641F" w:rsidRDefault="00BE13BF" w:rsidP="00D367B6">
      <w:pPr>
        <w:spacing w:before="240"/>
        <w:rPr>
          <w:rFonts w:asciiTheme="majorHAnsi" w:eastAsiaTheme="majorEastAsia" w:hAnsiTheme="majorHAnsi" w:cstheme="majorBidi"/>
          <w:caps/>
          <w:sz w:val="36"/>
          <w:szCs w:val="36"/>
        </w:rPr>
      </w:pPr>
      <w:r w:rsidRPr="008D641F">
        <w:rPr>
          <w:rFonts w:asciiTheme="majorHAnsi" w:eastAsiaTheme="majorEastAsia" w:hAnsiTheme="majorHAnsi" w:cstheme="majorBidi"/>
          <w:caps/>
          <w:sz w:val="36"/>
          <w:szCs w:val="36"/>
        </w:rPr>
        <w:t>EQUITY OF ACCESS</w:t>
      </w:r>
    </w:p>
    <w:p w:rsidR="00AD7D1C" w:rsidRDefault="000A2A5D" w:rsidP="001A77BB">
      <w:pPr>
        <w:spacing w:after="120" w:line="280" w:lineRule="exact"/>
        <w:rPr>
          <w:rFonts w:eastAsia="Times New Roman"/>
          <w:color w:val="auto"/>
        </w:rPr>
      </w:pPr>
      <w:r w:rsidRPr="00143940">
        <w:rPr>
          <w:rFonts w:eastAsia="Times New Roman"/>
          <w:bCs/>
          <w:color w:val="auto"/>
        </w:rPr>
        <w:t>Equity of Access</w:t>
      </w:r>
      <w:r>
        <w:rPr>
          <w:rFonts w:eastAsia="Times New Roman"/>
          <w:color w:val="auto"/>
        </w:rPr>
        <w:t xml:space="preserve"> is an underpinning principle of investment decisions in the Australia Awards Global Strategy. The Strategy encourages equity of access throughout the Awards stages and alumni participation, </w:t>
      </w:r>
      <w:r w:rsidR="00AD7D1C">
        <w:rPr>
          <w:rFonts w:eastAsia="Times New Roman"/>
          <w:color w:val="auto"/>
        </w:rPr>
        <w:t xml:space="preserve">maintaining </w:t>
      </w:r>
      <w:r>
        <w:rPr>
          <w:rFonts w:eastAsia="Times New Roman"/>
          <w:color w:val="auto"/>
        </w:rPr>
        <w:t xml:space="preserve">equal </w:t>
      </w:r>
      <w:r w:rsidR="00AD7D1C">
        <w:rPr>
          <w:rFonts w:eastAsia="Times New Roman"/>
          <w:color w:val="auto"/>
        </w:rPr>
        <w:t>numbers of Awards for women and men at the global level</w:t>
      </w:r>
      <w:r>
        <w:rPr>
          <w:rFonts w:eastAsia="Times New Roman"/>
          <w:color w:val="auto"/>
        </w:rPr>
        <w:t>, and addressing the barriers faced by people who are disadvantaged to support their participation in the Awards. The performance of the Awards has again shown significant efforts and</w:t>
      </w:r>
      <w:r w:rsidR="001A77BB" w:rsidRPr="001A77BB">
        <w:rPr>
          <w:noProof/>
          <w:lang w:eastAsia="en-AU"/>
        </w:rPr>
        <w:t xml:space="preserve"> </w:t>
      </w:r>
      <w:r>
        <w:rPr>
          <w:rFonts w:eastAsia="Times New Roman"/>
          <w:color w:val="auto"/>
        </w:rPr>
        <w:t xml:space="preserve">success in this regard. </w:t>
      </w:r>
    </w:p>
    <w:p w:rsidR="009F4883" w:rsidRDefault="009F4883" w:rsidP="001A77BB">
      <w:pPr>
        <w:spacing w:after="120" w:line="280" w:lineRule="exact"/>
        <w:rPr>
          <w:rFonts w:eastAsia="Times New Roman"/>
          <w:color w:val="auto"/>
        </w:rPr>
      </w:pPr>
      <w:r>
        <w:rPr>
          <w:rFonts w:eastAsia="Times New Roman"/>
          <w:color w:val="auto"/>
        </w:rPr>
        <w:t xml:space="preserve">The Australia Awards continues to meet its commitment to maintain equal numbers of </w:t>
      </w:r>
      <w:r w:rsidR="0087327D">
        <w:rPr>
          <w:rFonts w:eastAsia="Times New Roman"/>
          <w:color w:val="auto"/>
        </w:rPr>
        <w:t xml:space="preserve">awards </w:t>
      </w:r>
      <w:r>
        <w:rPr>
          <w:rFonts w:eastAsia="Times New Roman"/>
          <w:color w:val="auto"/>
        </w:rPr>
        <w:t xml:space="preserve">for women and men at the global level. As shown in figure </w:t>
      </w:r>
      <w:r w:rsidR="00ED1F78">
        <w:rPr>
          <w:rFonts w:eastAsia="Times New Roman"/>
          <w:color w:val="auto"/>
        </w:rPr>
        <w:t>10</w:t>
      </w:r>
      <w:r>
        <w:rPr>
          <w:rFonts w:eastAsia="Times New Roman"/>
          <w:color w:val="auto"/>
        </w:rPr>
        <w:t xml:space="preserve"> below, among students currently studying long-term scholarships in Australia, 53 per cent are women. In general terms, this breakdown is</w:t>
      </w:r>
      <w:r w:rsidR="00E91FAC">
        <w:rPr>
          <w:rFonts w:eastAsia="Times New Roman"/>
          <w:color w:val="auto"/>
        </w:rPr>
        <w:t xml:space="preserve"> repeated at a regional level, as shown in figure </w:t>
      </w:r>
      <w:r w:rsidR="009B4767">
        <w:rPr>
          <w:rFonts w:eastAsia="Times New Roman"/>
          <w:color w:val="auto"/>
        </w:rPr>
        <w:t>1</w:t>
      </w:r>
      <w:r w:rsidR="00ED1F78">
        <w:rPr>
          <w:rFonts w:eastAsia="Times New Roman"/>
          <w:color w:val="auto"/>
        </w:rPr>
        <w:t>1</w:t>
      </w:r>
      <w:r w:rsidR="00E91FAC">
        <w:rPr>
          <w:rFonts w:eastAsia="Times New Roman"/>
          <w:color w:val="auto"/>
        </w:rPr>
        <w:t xml:space="preserve"> below.</w:t>
      </w:r>
    </w:p>
    <w:p w:rsidR="00EB22BC" w:rsidRDefault="00EB22BC" w:rsidP="001A77BB">
      <w:pPr>
        <w:spacing w:before="0" w:after="0" w:line="240" w:lineRule="auto"/>
        <w:rPr>
          <w:iCs/>
          <w:sz w:val="16"/>
          <w:szCs w:val="16"/>
        </w:rPr>
      </w:pPr>
      <w:r>
        <w:rPr>
          <w:rFonts w:eastAsia="Times New Roman"/>
          <w:noProof/>
          <w:color w:val="auto"/>
          <w:lang w:val="en-AU" w:eastAsia="en-AU"/>
        </w:rPr>
        <w:drawing>
          <wp:anchor distT="0" distB="0" distL="114300" distR="114300" simplePos="0" relativeHeight="251698176" behindDoc="0" locked="0" layoutInCell="1" allowOverlap="1" wp14:anchorId="119E100D" wp14:editId="77DA9032">
            <wp:simplePos x="0" y="0"/>
            <wp:positionH relativeFrom="margin">
              <wp:align>left</wp:align>
            </wp:positionH>
            <wp:positionV relativeFrom="paragraph">
              <wp:posOffset>-1270</wp:posOffset>
            </wp:positionV>
            <wp:extent cx="2914650" cy="2075815"/>
            <wp:effectExtent l="0" t="0" r="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4650" cy="2075815"/>
                    </a:xfrm>
                    <a:prstGeom prst="rect">
                      <a:avLst/>
                    </a:prstGeom>
                    <a:noFill/>
                  </pic:spPr>
                </pic:pic>
              </a:graphicData>
            </a:graphic>
            <wp14:sizeRelH relativeFrom="margin">
              <wp14:pctWidth>0</wp14:pctWidth>
            </wp14:sizeRelH>
            <wp14:sizeRelV relativeFrom="margin">
              <wp14:pctHeight>0</wp14:pctHeight>
            </wp14:sizeRelV>
          </wp:anchor>
        </w:drawing>
      </w:r>
      <w:r>
        <w:rPr>
          <w:iCs/>
          <w:sz w:val="16"/>
          <w:szCs w:val="16"/>
        </w:rPr>
        <w:t xml:space="preserve">   </w:t>
      </w:r>
      <w:r>
        <w:rPr>
          <w:rFonts w:eastAsia="Times New Roman"/>
          <w:noProof/>
          <w:color w:val="auto"/>
          <w:lang w:val="en-AU" w:eastAsia="en-AU"/>
        </w:rPr>
        <w:drawing>
          <wp:inline distT="0" distB="0" distL="0" distR="0" wp14:anchorId="16DAC753" wp14:editId="621D8A0D">
            <wp:extent cx="3000375" cy="210310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44" cy="2114231"/>
                    </a:xfrm>
                    <a:prstGeom prst="rect">
                      <a:avLst/>
                    </a:prstGeom>
                    <a:noFill/>
                  </pic:spPr>
                </pic:pic>
              </a:graphicData>
            </a:graphic>
          </wp:inline>
        </w:drawing>
      </w:r>
    </w:p>
    <w:p w:rsidR="001A77BB" w:rsidRPr="00F812B5" w:rsidRDefault="00862743" w:rsidP="001A77BB">
      <w:pPr>
        <w:spacing w:before="0" w:after="0" w:line="240" w:lineRule="auto"/>
        <w:rPr>
          <w:sz w:val="16"/>
          <w:szCs w:val="16"/>
        </w:rPr>
      </w:pPr>
      <w:r>
        <w:rPr>
          <w:iCs/>
          <w:sz w:val="16"/>
          <w:szCs w:val="16"/>
        </w:rPr>
        <w:t xml:space="preserve">Figure </w:t>
      </w:r>
      <w:r w:rsidR="00ED1F78">
        <w:rPr>
          <w:iCs/>
          <w:sz w:val="16"/>
          <w:szCs w:val="16"/>
        </w:rPr>
        <w:t>10</w:t>
      </w:r>
      <w:r>
        <w:rPr>
          <w:iCs/>
          <w:sz w:val="16"/>
          <w:szCs w:val="16"/>
        </w:rPr>
        <w:t xml:space="preserve"> </w:t>
      </w:r>
      <w:r w:rsidRPr="00F812B5">
        <w:rPr>
          <w:sz w:val="16"/>
          <w:szCs w:val="16"/>
        </w:rPr>
        <w:t>Source: OASIS, as at 7 August 2019</w:t>
      </w:r>
      <w:r w:rsidR="001A77BB">
        <w:rPr>
          <w:sz w:val="16"/>
          <w:szCs w:val="16"/>
        </w:rPr>
        <w:tab/>
      </w:r>
      <w:r w:rsidR="001A77BB">
        <w:rPr>
          <w:sz w:val="16"/>
          <w:szCs w:val="16"/>
        </w:rPr>
        <w:tab/>
      </w:r>
      <w:r w:rsidR="001A77BB">
        <w:rPr>
          <w:sz w:val="16"/>
          <w:szCs w:val="16"/>
        </w:rPr>
        <w:tab/>
      </w:r>
      <w:r w:rsidR="001A77BB">
        <w:rPr>
          <w:sz w:val="16"/>
          <w:szCs w:val="16"/>
        </w:rPr>
        <w:tab/>
      </w:r>
      <w:r w:rsidR="00EB22BC">
        <w:rPr>
          <w:iCs/>
          <w:sz w:val="16"/>
          <w:szCs w:val="16"/>
        </w:rPr>
        <w:t xml:space="preserve">Figure </w:t>
      </w:r>
      <w:r w:rsidR="009B4767">
        <w:rPr>
          <w:iCs/>
          <w:sz w:val="16"/>
          <w:szCs w:val="16"/>
        </w:rPr>
        <w:t>1</w:t>
      </w:r>
      <w:r w:rsidR="00ED1F78">
        <w:rPr>
          <w:iCs/>
          <w:sz w:val="16"/>
          <w:szCs w:val="16"/>
        </w:rPr>
        <w:t>1</w:t>
      </w:r>
      <w:r w:rsidR="009B4767">
        <w:rPr>
          <w:iCs/>
          <w:sz w:val="16"/>
          <w:szCs w:val="16"/>
        </w:rPr>
        <w:t>:</w:t>
      </w:r>
      <w:r w:rsidR="00EB22BC">
        <w:rPr>
          <w:iCs/>
          <w:sz w:val="16"/>
          <w:szCs w:val="16"/>
        </w:rPr>
        <w:t xml:space="preserve"> </w:t>
      </w:r>
      <w:r w:rsidR="00EB22BC" w:rsidRPr="00F812B5">
        <w:rPr>
          <w:sz w:val="16"/>
          <w:szCs w:val="16"/>
        </w:rPr>
        <w:t>Source: OASIS, as at 7 August 2019</w:t>
      </w:r>
      <w:r w:rsidR="00EB22BC">
        <w:rPr>
          <w:sz w:val="16"/>
          <w:szCs w:val="16"/>
        </w:rPr>
        <w:tab/>
      </w:r>
    </w:p>
    <w:p w:rsidR="00EB22BC" w:rsidRDefault="00862743" w:rsidP="00EB22BC">
      <w:pPr>
        <w:spacing w:before="0" w:after="0" w:line="240" w:lineRule="auto"/>
        <w:rPr>
          <w:i/>
          <w:sz w:val="16"/>
          <w:szCs w:val="16"/>
        </w:rPr>
      </w:pPr>
      <w:r w:rsidRPr="004063BA">
        <w:rPr>
          <w:i/>
          <w:sz w:val="16"/>
          <w:szCs w:val="16"/>
        </w:rPr>
        <w:t>Note: one student did not identify as male or female</w:t>
      </w:r>
      <w:r w:rsidR="00EB22BC">
        <w:rPr>
          <w:i/>
          <w:sz w:val="16"/>
          <w:szCs w:val="16"/>
        </w:rPr>
        <w:tab/>
      </w:r>
      <w:r w:rsidR="00EB22BC">
        <w:rPr>
          <w:i/>
          <w:sz w:val="16"/>
          <w:szCs w:val="16"/>
        </w:rPr>
        <w:tab/>
      </w:r>
      <w:r w:rsidR="00EB22BC">
        <w:rPr>
          <w:i/>
          <w:sz w:val="16"/>
          <w:szCs w:val="16"/>
        </w:rPr>
        <w:tab/>
      </w:r>
      <w:r w:rsidR="00EB22BC" w:rsidRPr="004063BA">
        <w:rPr>
          <w:i/>
          <w:sz w:val="16"/>
          <w:szCs w:val="16"/>
        </w:rPr>
        <w:t>Note: one student did not identify as male or female</w:t>
      </w:r>
    </w:p>
    <w:p w:rsidR="00EA57B0" w:rsidRDefault="00EA57B0" w:rsidP="00E91FAC">
      <w:pPr>
        <w:spacing w:before="0" w:after="0" w:line="240" w:lineRule="auto"/>
        <w:rPr>
          <w:rFonts w:eastAsia="Times New Roman"/>
          <w:bCs/>
          <w:color w:val="auto"/>
        </w:rPr>
      </w:pPr>
    </w:p>
    <w:p w:rsidR="00ED1F78" w:rsidRDefault="00ED1F78" w:rsidP="00E91FAC">
      <w:pPr>
        <w:spacing w:before="0" w:after="0" w:line="240" w:lineRule="auto"/>
        <w:rPr>
          <w:rFonts w:eastAsia="Times New Roman"/>
          <w:bCs/>
          <w:color w:val="auto"/>
        </w:rPr>
      </w:pPr>
    </w:p>
    <w:p w:rsidR="007413E6" w:rsidRDefault="007413E6" w:rsidP="00E91FAC">
      <w:pPr>
        <w:spacing w:before="0" w:after="0" w:line="240" w:lineRule="auto"/>
        <w:rPr>
          <w:rFonts w:eastAsia="Times New Roman"/>
          <w:bCs/>
          <w:color w:val="auto"/>
        </w:rPr>
      </w:pPr>
      <w:r>
        <w:rPr>
          <w:rFonts w:eastAsia="Times New Roman"/>
          <w:bCs/>
          <w:color w:val="auto"/>
        </w:rPr>
        <w:t>There was not a significant variation in the ages of male and female scholars on long-term scholarship (figure</w:t>
      </w:r>
      <w:r w:rsidR="009B4767">
        <w:rPr>
          <w:rFonts w:eastAsia="Times New Roman"/>
          <w:bCs/>
          <w:color w:val="auto"/>
        </w:rPr>
        <w:t> 1</w:t>
      </w:r>
      <w:r w:rsidR="00ED1F78">
        <w:rPr>
          <w:rFonts w:eastAsia="Times New Roman"/>
          <w:bCs/>
          <w:color w:val="auto"/>
        </w:rPr>
        <w:t>2</w:t>
      </w:r>
      <w:r>
        <w:rPr>
          <w:rFonts w:eastAsia="Times New Roman"/>
          <w:bCs/>
          <w:color w:val="auto"/>
        </w:rPr>
        <w:t>).</w:t>
      </w:r>
      <w:r w:rsidR="00D91EC1">
        <w:rPr>
          <w:rFonts w:eastAsia="Times New Roman"/>
          <w:bCs/>
          <w:color w:val="auto"/>
        </w:rPr>
        <w:t xml:space="preserve"> There was more variation in terms of sector of study – with notably more women studying education and health courses compared to men (figure </w:t>
      </w:r>
      <w:r w:rsidR="009B4767">
        <w:rPr>
          <w:rFonts w:eastAsia="Times New Roman"/>
          <w:bCs/>
          <w:color w:val="auto"/>
        </w:rPr>
        <w:t>1</w:t>
      </w:r>
      <w:r w:rsidR="00ED1F78">
        <w:rPr>
          <w:rFonts w:eastAsia="Times New Roman"/>
          <w:bCs/>
          <w:color w:val="auto"/>
        </w:rPr>
        <w:t>3</w:t>
      </w:r>
      <w:r w:rsidR="00D91EC1">
        <w:rPr>
          <w:rFonts w:eastAsia="Times New Roman"/>
          <w:bCs/>
          <w:color w:val="auto"/>
        </w:rPr>
        <w:t>).</w:t>
      </w:r>
    </w:p>
    <w:p w:rsidR="00A7794D" w:rsidRDefault="00A7794D" w:rsidP="00EB22BC">
      <w:pPr>
        <w:spacing w:after="120"/>
        <w:rPr>
          <w:rFonts w:eastAsia="Times New Roman"/>
          <w:color w:val="auto"/>
        </w:rPr>
      </w:pPr>
      <w:r>
        <w:rPr>
          <w:rFonts w:eastAsia="Times New Roman"/>
          <w:color w:val="auto"/>
        </w:rPr>
        <w:t xml:space="preserve">This finding on occupational segregation was repeated in the 2019 Global Tracer Facility study of alumni who graduated between 2011 and 2016. The study found that there was a distinct gender gap in occupations with substantially fewer female alumni in STEM and an under-representation of men in areas such as education, health and society, and culture and creative arts. It also found female alumni were younger and slightly more likely to be employed part-time. </w:t>
      </w:r>
    </w:p>
    <w:p w:rsidR="00EB22BC" w:rsidRDefault="006C73B7" w:rsidP="00E91FAC">
      <w:pPr>
        <w:spacing w:before="0" w:after="0" w:line="240" w:lineRule="auto"/>
        <w:rPr>
          <w:i/>
          <w:sz w:val="16"/>
          <w:szCs w:val="16"/>
        </w:rPr>
      </w:pPr>
      <w:r>
        <w:rPr>
          <w:iCs/>
          <w:noProof/>
          <w:sz w:val="16"/>
          <w:szCs w:val="16"/>
          <w:lang w:val="en-AU" w:eastAsia="en-AU"/>
        </w:rPr>
        <w:drawing>
          <wp:inline distT="0" distB="0" distL="0" distR="0" wp14:anchorId="2245F8D4" wp14:editId="7167AA44">
            <wp:extent cx="3038475" cy="2921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3194" cy="2935150"/>
                    </a:xfrm>
                    <a:prstGeom prst="rect">
                      <a:avLst/>
                    </a:prstGeom>
                    <a:noFill/>
                  </pic:spPr>
                </pic:pic>
              </a:graphicData>
            </a:graphic>
          </wp:inline>
        </w:drawing>
      </w:r>
      <w:r>
        <w:rPr>
          <w:i/>
          <w:sz w:val="16"/>
          <w:szCs w:val="16"/>
        </w:rPr>
        <w:t xml:space="preserve">   </w:t>
      </w:r>
      <w:r>
        <w:rPr>
          <w:rFonts w:eastAsia="Times New Roman"/>
          <w:noProof/>
          <w:color w:val="auto"/>
          <w:lang w:val="en-AU" w:eastAsia="en-AU"/>
        </w:rPr>
        <w:drawing>
          <wp:inline distT="0" distB="0" distL="0" distR="0" wp14:anchorId="30FBD6F5" wp14:editId="48725057">
            <wp:extent cx="2952750" cy="28943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3319" cy="2904690"/>
                    </a:xfrm>
                    <a:prstGeom prst="rect">
                      <a:avLst/>
                    </a:prstGeom>
                    <a:noFill/>
                  </pic:spPr>
                </pic:pic>
              </a:graphicData>
            </a:graphic>
          </wp:inline>
        </w:drawing>
      </w:r>
    </w:p>
    <w:p w:rsidR="00E91FAC" w:rsidRPr="00F812B5" w:rsidRDefault="00E91FAC" w:rsidP="00E91FAC">
      <w:pPr>
        <w:spacing w:before="0" w:after="0" w:line="240" w:lineRule="auto"/>
        <w:rPr>
          <w:sz w:val="16"/>
          <w:szCs w:val="16"/>
        </w:rPr>
      </w:pPr>
      <w:r>
        <w:rPr>
          <w:iCs/>
          <w:sz w:val="16"/>
          <w:szCs w:val="16"/>
        </w:rPr>
        <w:t xml:space="preserve">Figure </w:t>
      </w:r>
      <w:r w:rsidR="009B4767">
        <w:rPr>
          <w:iCs/>
          <w:sz w:val="16"/>
          <w:szCs w:val="16"/>
        </w:rPr>
        <w:t>1</w:t>
      </w:r>
      <w:r w:rsidR="00ED1F78">
        <w:rPr>
          <w:iCs/>
          <w:sz w:val="16"/>
          <w:szCs w:val="16"/>
        </w:rPr>
        <w:t>2</w:t>
      </w:r>
      <w:r>
        <w:rPr>
          <w:iCs/>
          <w:sz w:val="16"/>
          <w:szCs w:val="16"/>
        </w:rPr>
        <w:t xml:space="preserve"> </w:t>
      </w:r>
      <w:r w:rsidRPr="00F812B5">
        <w:rPr>
          <w:sz w:val="16"/>
          <w:szCs w:val="16"/>
        </w:rPr>
        <w:t>Source: OASIS, as at 7 August 2019</w:t>
      </w:r>
      <w:r>
        <w:rPr>
          <w:sz w:val="16"/>
          <w:szCs w:val="16"/>
        </w:rPr>
        <w:tab/>
      </w:r>
      <w:r w:rsidR="00EB22BC">
        <w:rPr>
          <w:sz w:val="16"/>
          <w:szCs w:val="16"/>
        </w:rPr>
        <w:tab/>
      </w:r>
      <w:r w:rsidR="00EB22BC">
        <w:rPr>
          <w:sz w:val="16"/>
          <w:szCs w:val="16"/>
        </w:rPr>
        <w:tab/>
      </w:r>
      <w:r w:rsidR="006C73B7">
        <w:rPr>
          <w:sz w:val="16"/>
          <w:szCs w:val="16"/>
        </w:rPr>
        <w:tab/>
      </w:r>
      <w:r w:rsidR="00EB22BC">
        <w:rPr>
          <w:iCs/>
          <w:sz w:val="16"/>
          <w:szCs w:val="16"/>
        </w:rPr>
        <w:t xml:space="preserve">Figure </w:t>
      </w:r>
      <w:r w:rsidR="009B4767">
        <w:rPr>
          <w:iCs/>
          <w:sz w:val="16"/>
          <w:szCs w:val="16"/>
        </w:rPr>
        <w:t>1</w:t>
      </w:r>
      <w:r w:rsidR="00ED1F78">
        <w:rPr>
          <w:iCs/>
          <w:sz w:val="16"/>
          <w:szCs w:val="16"/>
        </w:rPr>
        <w:t>3</w:t>
      </w:r>
      <w:r w:rsidR="00EB22BC">
        <w:rPr>
          <w:iCs/>
          <w:sz w:val="16"/>
          <w:szCs w:val="16"/>
        </w:rPr>
        <w:t xml:space="preserve"> </w:t>
      </w:r>
      <w:r w:rsidR="00EB22BC" w:rsidRPr="00F812B5">
        <w:rPr>
          <w:sz w:val="16"/>
          <w:szCs w:val="16"/>
        </w:rPr>
        <w:t>Source: OASIS, as at 7 August 2019</w:t>
      </w:r>
      <w:r w:rsidR="00EB22BC">
        <w:rPr>
          <w:sz w:val="16"/>
          <w:szCs w:val="16"/>
        </w:rPr>
        <w:tab/>
      </w:r>
      <w:r>
        <w:rPr>
          <w:sz w:val="16"/>
          <w:szCs w:val="16"/>
        </w:rPr>
        <w:tab/>
      </w:r>
      <w:r>
        <w:rPr>
          <w:sz w:val="16"/>
          <w:szCs w:val="16"/>
        </w:rPr>
        <w:tab/>
      </w:r>
    </w:p>
    <w:p w:rsidR="00EB22BC" w:rsidRPr="004063BA" w:rsidRDefault="00E91FAC" w:rsidP="00EB22BC">
      <w:pPr>
        <w:spacing w:before="0" w:after="0" w:line="240" w:lineRule="auto"/>
        <w:rPr>
          <w:i/>
          <w:sz w:val="16"/>
          <w:szCs w:val="16"/>
        </w:rPr>
      </w:pPr>
      <w:r w:rsidRPr="004063BA">
        <w:rPr>
          <w:i/>
          <w:sz w:val="16"/>
          <w:szCs w:val="16"/>
        </w:rPr>
        <w:t>Note: one student did not identify as male or female</w:t>
      </w:r>
      <w:r w:rsidR="00EB22BC">
        <w:rPr>
          <w:i/>
          <w:sz w:val="16"/>
          <w:szCs w:val="16"/>
        </w:rPr>
        <w:tab/>
      </w:r>
      <w:r w:rsidR="00EB22BC">
        <w:rPr>
          <w:i/>
          <w:sz w:val="16"/>
          <w:szCs w:val="16"/>
        </w:rPr>
        <w:tab/>
      </w:r>
      <w:r w:rsidR="006C73B7">
        <w:rPr>
          <w:i/>
          <w:sz w:val="16"/>
          <w:szCs w:val="16"/>
        </w:rPr>
        <w:tab/>
      </w:r>
      <w:r w:rsidR="00EB22BC" w:rsidRPr="004063BA">
        <w:rPr>
          <w:i/>
          <w:sz w:val="16"/>
          <w:szCs w:val="16"/>
        </w:rPr>
        <w:t>Note: one student did not identify as male or female</w:t>
      </w:r>
    </w:p>
    <w:p w:rsidR="00070CA4" w:rsidRDefault="00070CA4" w:rsidP="00D80810">
      <w:pPr>
        <w:spacing w:after="120"/>
        <w:rPr>
          <w:rFonts w:eastAsia="Times New Roman"/>
          <w:color w:val="auto"/>
        </w:rPr>
      </w:pPr>
    </w:p>
    <w:p w:rsidR="00070CA4" w:rsidRDefault="00070CA4" w:rsidP="00070CA4">
      <w:pPr>
        <w:spacing w:after="120"/>
        <w:rPr>
          <w:rFonts w:eastAsia="Times New Roman"/>
          <w:color w:val="auto"/>
        </w:rPr>
      </w:pPr>
      <w:r>
        <w:rPr>
          <w:rFonts w:eastAsia="Times New Roman"/>
          <w:color w:val="auto"/>
        </w:rPr>
        <w:t xml:space="preserve">Country programs report a range of activities to support equity of access to scholarships for men and women. For example, in 2018, the </w:t>
      </w:r>
      <w:r w:rsidRPr="008D641F">
        <w:rPr>
          <w:rFonts w:eastAsia="Times New Roman"/>
          <w:b/>
          <w:bCs/>
          <w:color w:val="auto"/>
        </w:rPr>
        <w:t>Papua New Guinea</w:t>
      </w:r>
      <w:r>
        <w:rPr>
          <w:rFonts w:eastAsia="Times New Roman"/>
          <w:color w:val="auto"/>
        </w:rPr>
        <w:t xml:space="preserve"> program conducted an assessment of the impact family and sexual violence had on Papua New Guinean awardees and found that it was adversely affecting the learning experience of the awardees and in some cases resulted in scholarship suspension or withdrawal. In response, the program now provides clearer and consistent messaging on family and sexual violence. It has also emphasised gender equality across all levels of the program and is mobilising resources to respond to instances of violence, and maintaining and implementing privacy and child protection across the whole program. </w:t>
      </w:r>
    </w:p>
    <w:p w:rsidR="00A64EAC" w:rsidRDefault="0087327D" w:rsidP="00D80810">
      <w:pPr>
        <w:spacing w:after="120"/>
        <w:rPr>
          <w:rFonts w:eastAsia="Times New Roman"/>
          <w:color w:val="auto"/>
        </w:rPr>
      </w:pPr>
      <w:r>
        <w:rPr>
          <w:rFonts w:eastAsia="Times New Roman"/>
          <w:color w:val="auto"/>
        </w:rPr>
        <w:t>A</w:t>
      </w:r>
      <w:r w:rsidR="00D80810">
        <w:rPr>
          <w:rFonts w:eastAsia="Times New Roman"/>
          <w:color w:val="auto"/>
        </w:rPr>
        <w:t xml:space="preserve"> range of activities supported the goal of equity of access to the </w:t>
      </w:r>
      <w:r>
        <w:rPr>
          <w:rFonts w:eastAsia="Times New Roman"/>
          <w:color w:val="auto"/>
        </w:rPr>
        <w:t>A</w:t>
      </w:r>
      <w:r w:rsidR="00D80810">
        <w:rPr>
          <w:rFonts w:eastAsia="Times New Roman"/>
          <w:color w:val="auto"/>
        </w:rPr>
        <w:t xml:space="preserve">wards for women and men. </w:t>
      </w:r>
      <w:r w:rsidR="00A64EAC" w:rsidRPr="008D641F">
        <w:rPr>
          <w:rFonts w:eastAsia="Times New Roman"/>
          <w:b/>
          <w:bCs/>
          <w:color w:val="auto"/>
        </w:rPr>
        <w:t>Africa</w:t>
      </w:r>
      <w:r w:rsidR="00A64EAC">
        <w:rPr>
          <w:rFonts w:eastAsia="Times New Roman"/>
          <w:color w:val="auto"/>
        </w:rPr>
        <w:t xml:space="preserve"> reported that all new female scholars who responded to a survey were linking to alumni from their institutions or states</w:t>
      </w:r>
      <w:r w:rsidR="00206142">
        <w:rPr>
          <w:rFonts w:eastAsia="Times New Roman"/>
          <w:color w:val="auto"/>
        </w:rPr>
        <w:t>. In addition,</w:t>
      </w:r>
      <w:r w:rsidR="00A64EAC">
        <w:rPr>
          <w:rFonts w:eastAsia="Times New Roman"/>
          <w:color w:val="auto"/>
        </w:rPr>
        <w:t xml:space="preserve"> f</w:t>
      </w:r>
      <w:r w:rsidR="00A64EAC" w:rsidRPr="00A64EAC">
        <w:rPr>
          <w:rFonts w:eastAsia="Times New Roman"/>
          <w:color w:val="auto"/>
        </w:rPr>
        <w:t>ive W</w:t>
      </w:r>
      <w:r w:rsidR="00A64EAC">
        <w:rPr>
          <w:rFonts w:eastAsia="Times New Roman"/>
          <w:color w:val="auto"/>
        </w:rPr>
        <w:t>omen in Leadership Networks</w:t>
      </w:r>
      <w:r w:rsidR="00C779FD">
        <w:rPr>
          <w:rFonts w:eastAsia="Times New Roman"/>
          <w:color w:val="auto"/>
        </w:rPr>
        <w:t xml:space="preserve"> (WILN)</w:t>
      </w:r>
      <w:r w:rsidR="00A64EAC">
        <w:rPr>
          <w:rFonts w:eastAsia="Times New Roman"/>
          <w:color w:val="auto"/>
        </w:rPr>
        <w:t xml:space="preserve"> </w:t>
      </w:r>
      <w:r w:rsidR="00A64EAC" w:rsidRPr="00A64EAC">
        <w:rPr>
          <w:rFonts w:eastAsia="Times New Roman"/>
          <w:color w:val="auto"/>
        </w:rPr>
        <w:t xml:space="preserve">(Ghana, Kenya, Uganda, Zambia and Mauritius) are collectively engaging in </w:t>
      </w:r>
      <w:r w:rsidR="00A64EAC">
        <w:rPr>
          <w:rFonts w:eastAsia="Times New Roman"/>
          <w:color w:val="auto"/>
        </w:rPr>
        <w:t xml:space="preserve">gender equality and social inclusion </w:t>
      </w:r>
      <w:r w:rsidR="00A64EAC" w:rsidRPr="00A64EAC">
        <w:rPr>
          <w:rFonts w:eastAsia="Times New Roman"/>
          <w:color w:val="auto"/>
        </w:rPr>
        <w:t>initiatives</w:t>
      </w:r>
      <w:r w:rsidR="00A64EAC">
        <w:rPr>
          <w:rFonts w:eastAsia="Times New Roman"/>
          <w:color w:val="auto"/>
        </w:rPr>
        <w:t xml:space="preserve"> and t</w:t>
      </w:r>
      <w:r w:rsidR="00A64EAC" w:rsidRPr="00A64EAC">
        <w:rPr>
          <w:rFonts w:eastAsia="Times New Roman"/>
          <w:color w:val="auto"/>
        </w:rPr>
        <w:t xml:space="preserve">wo have </w:t>
      </w:r>
      <w:r w:rsidR="00A64EAC">
        <w:rPr>
          <w:rFonts w:eastAsia="Times New Roman"/>
          <w:color w:val="auto"/>
        </w:rPr>
        <w:t xml:space="preserve">started </w:t>
      </w:r>
      <w:r w:rsidR="00A64EAC" w:rsidRPr="00A64EAC">
        <w:rPr>
          <w:rFonts w:eastAsia="Times New Roman"/>
          <w:color w:val="auto"/>
        </w:rPr>
        <w:t xml:space="preserve">the </w:t>
      </w:r>
      <w:r w:rsidR="00A64EAC">
        <w:rPr>
          <w:rFonts w:eastAsia="Times New Roman"/>
          <w:color w:val="auto"/>
        </w:rPr>
        <w:t xml:space="preserve">process to </w:t>
      </w:r>
      <w:r w:rsidR="00A64EAC" w:rsidRPr="00A64EAC">
        <w:rPr>
          <w:rFonts w:eastAsia="Times New Roman"/>
          <w:color w:val="auto"/>
        </w:rPr>
        <w:t>register</w:t>
      </w:r>
      <w:r w:rsidR="00A64EAC">
        <w:rPr>
          <w:rFonts w:eastAsia="Times New Roman"/>
          <w:color w:val="auto"/>
        </w:rPr>
        <w:t xml:space="preserve"> as </w:t>
      </w:r>
      <w:r w:rsidR="00A64EAC" w:rsidRPr="00A64EAC">
        <w:rPr>
          <w:rFonts w:eastAsia="Times New Roman"/>
          <w:color w:val="auto"/>
        </w:rPr>
        <w:t>associations (Kenya, Uganda).</w:t>
      </w:r>
      <w:r w:rsidR="00A64EAC">
        <w:rPr>
          <w:rFonts w:eastAsia="Times New Roman"/>
          <w:color w:val="auto"/>
        </w:rPr>
        <w:t xml:space="preserve"> </w:t>
      </w:r>
      <w:r w:rsidR="00206142">
        <w:rPr>
          <w:rFonts w:eastAsia="Times New Roman"/>
          <w:color w:val="auto"/>
        </w:rPr>
        <w:t xml:space="preserve"> The managing </w:t>
      </w:r>
      <w:r w:rsidR="00A64EAC">
        <w:rPr>
          <w:rFonts w:eastAsia="Times New Roman"/>
          <w:color w:val="auto"/>
        </w:rPr>
        <w:t>contract</w:t>
      </w:r>
      <w:r w:rsidR="00206142">
        <w:rPr>
          <w:rFonts w:eastAsia="Times New Roman"/>
          <w:color w:val="auto"/>
        </w:rPr>
        <w:t xml:space="preserve">or </w:t>
      </w:r>
      <w:r w:rsidR="00A64EAC">
        <w:rPr>
          <w:rFonts w:eastAsia="Times New Roman"/>
          <w:color w:val="auto"/>
        </w:rPr>
        <w:t xml:space="preserve">Palladium found that </w:t>
      </w:r>
      <w:r w:rsidR="007B7226">
        <w:rPr>
          <w:rFonts w:eastAsia="Times New Roman"/>
          <w:color w:val="auto"/>
        </w:rPr>
        <w:t xml:space="preserve">a </w:t>
      </w:r>
      <w:r w:rsidR="00A64EAC" w:rsidRPr="00A64EAC">
        <w:rPr>
          <w:rFonts w:eastAsia="Times New Roman"/>
          <w:color w:val="auto"/>
        </w:rPr>
        <w:t xml:space="preserve">unifying leader </w:t>
      </w:r>
      <w:r w:rsidR="007B7226">
        <w:rPr>
          <w:rFonts w:eastAsia="Times New Roman"/>
          <w:color w:val="auto"/>
        </w:rPr>
        <w:t xml:space="preserve">seemed </w:t>
      </w:r>
      <w:r w:rsidR="00A64EAC" w:rsidRPr="00A64EAC">
        <w:rPr>
          <w:rFonts w:eastAsia="Times New Roman"/>
          <w:color w:val="auto"/>
        </w:rPr>
        <w:t>to be a critical factor in the active WILN chapters</w:t>
      </w:r>
      <w:r w:rsidR="007B7226">
        <w:rPr>
          <w:rFonts w:eastAsia="Times New Roman"/>
          <w:color w:val="auto"/>
        </w:rPr>
        <w:t xml:space="preserve"> and that further work around formalising support and expectations </w:t>
      </w:r>
      <w:r>
        <w:rPr>
          <w:rFonts w:eastAsia="Times New Roman"/>
          <w:color w:val="auto"/>
        </w:rPr>
        <w:t>was</w:t>
      </w:r>
      <w:r w:rsidR="007B7226">
        <w:rPr>
          <w:rFonts w:eastAsia="Times New Roman"/>
          <w:color w:val="auto"/>
        </w:rPr>
        <w:t xml:space="preserve"> needed. </w:t>
      </w:r>
    </w:p>
    <w:p w:rsidR="00C779FD" w:rsidRDefault="00C779FD" w:rsidP="00C779FD">
      <w:pPr>
        <w:rPr>
          <w:color w:val="FF0000"/>
        </w:rPr>
      </w:pPr>
      <w:r>
        <w:rPr>
          <w:color w:val="auto"/>
        </w:rPr>
        <w:t xml:space="preserve">The </w:t>
      </w:r>
      <w:r w:rsidRPr="004F3BAB">
        <w:rPr>
          <w:b/>
          <w:bCs/>
          <w:color w:val="auto"/>
        </w:rPr>
        <w:t>Laos</w:t>
      </w:r>
      <w:r>
        <w:rPr>
          <w:color w:val="auto"/>
        </w:rPr>
        <w:t xml:space="preserve"> program reviewed and updated its gender equality, disability and social inclusion strategy and action checklist for 2018, trained staff on these issues and had them included in their performance agreements. They also implemented an M&amp;E system which collects and analyses sex disaggregated data, and have identified actions for the next reporting period. As a result of their work in this area, the program exceeded its equity targets</w:t>
      </w:r>
      <w:r w:rsidR="0087327D">
        <w:rPr>
          <w:color w:val="auto"/>
        </w:rPr>
        <w:t xml:space="preserve">. It also </w:t>
      </w:r>
      <w:r>
        <w:rPr>
          <w:color w:val="auto"/>
        </w:rPr>
        <w:t xml:space="preserve">used feedback from the new M&amp;E system to identify that it was mainly female awardees who needed additional language support and </w:t>
      </w:r>
      <w:r w:rsidR="0087327D">
        <w:rPr>
          <w:color w:val="auto"/>
        </w:rPr>
        <w:t>is</w:t>
      </w:r>
      <w:r>
        <w:rPr>
          <w:color w:val="auto"/>
        </w:rPr>
        <w:t xml:space="preserve"> planning to improve this in 2019. </w:t>
      </w:r>
    </w:p>
    <w:p w:rsidR="00676972" w:rsidRDefault="00676972" w:rsidP="00AD7D1C">
      <w:pPr>
        <w:spacing w:after="120"/>
        <w:rPr>
          <w:rFonts w:eastAsia="Times New Roman"/>
          <w:color w:val="auto"/>
        </w:rPr>
      </w:pPr>
      <w:r>
        <w:rPr>
          <w:rFonts w:eastAsia="Times New Roman"/>
          <w:color w:val="auto"/>
        </w:rPr>
        <w:t xml:space="preserve">Around </w:t>
      </w:r>
      <w:r w:rsidR="009B4767">
        <w:rPr>
          <w:rFonts w:eastAsia="Times New Roman"/>
          <w:color w:val="auto"/>
        </w:rPr>
        <w:t>three</w:t>
      </w:r>
      <w:r>
        <w:rPr>
          <w:rFonts w:eastAsia="Times New Roman"/>
          <w:color w:val="auto"/>
        </w:rPr>
        <w:t xml:space="preserve"> per cent of scholarship recipients identif</w:t>
      </w:r>
      <w:r w:rsidR="0087327D">
        <w:rPr>
          <w:rFonts w:eastAsia="Times New Roman"/>
          <w:color w:val="auto"/>
        </w:rPr>
        <w:t xml:space="preserve">ied </w:t>
      </w:r>
      <w:r>
        <w:rPr>
          <w:rFonts w:eastAsia="Times New Roman"/>
          <w:color w:val="auto"/>
        </w:rPr>
        <w:t>as having a disability. Th</w:t>
      </w:r>
      <w:r w:rsidR="0087327D">
        <w:rPr>
          <w:rFonts w:eastAsia="Times New Roman"/>
          <w:color w:val="auto"/>
        </w:rPr>
        <w:t>o</w:t>
      </w:r>
      <w:r>
        <w:rPr>
          <w:rFonts w:eastAsia="Times New Roman"/>
          <w:color w:val="auto"/>
        </w:rPr>
        <w:t xml:space="preserve">se students come from all regions, with the majority from South-East and East Asia. </w:t>
      </w:r>
      <w:r w:rsidR="00FD2814">
        <w:rPr>
          <w:rFonts w:eastAsia="Times New Roman"/>
          <w:color w:val="auto"/>
        </w:rPr>
        <w:t>Scholars</w:t>
      </w:r>
      <w:r>
        <w:rPr>
          <w:rFonts w:eastAsia="Times New Roman"/>
          <w:color w:val="auto"/>
        </w:rPr>
        <w:t xml:space="preserve"> with a disability </w:t>
      </w:r>
      <w:r w:rsidR="0087327D">
        <w:rPr>
          <w:rFonts w:eastAsia="Times New Roman"/>
          <w:color w:val="auto"/>
        </w:rPr>
        <w:t>were</w:t>
      </w:r>
      <w:r>
        <w:rPr>
          <w:rFonts w:eastAsia="Times New Roman"/>
          <w:color w:val="auto"/>
        </w:rPr>
        <w:t xml:space="preserve"> studying courses across a range of sectors, with the largest numbers in education, health and governance.</w:t>
      </w:r>
    </w:p>
    <w:p w:rsidR="00676972" w:rsidRDefault="006C73B7" w:rsidP="00676972">
      <w:r>
        <w:rPr>
          <w:noProof/>
          <w:lang w:val="en-AU" w:eastAsia="en-AU"/>
        </w:rPr>
        <w:drawing>
          <wp:inline distT="0" distB="0" distL="0" distR="0" wp14:anchorId="6481038D" wp14:editId="44723248">
            <wp:extent cx="2933700" cy="2266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8886" cy="2270957"/>
                    </a:xfrm>
                    <a:prstGeom prst="rect">
                      <a:avLst/>
                    </a:prstGeom>
                    <a:noFill/>
                  </pic:spPr>
                </pic:pic>
              </a:graphicData>
            </a:graphic>
          </wp:inline>
        </w:drawing>
      </w:r>
      <w:r>
        <w:t xml:space="preserve">   </w:t>
      </w:r>
      <w:r>
        <w:rPr>
          <w:noProof/>
          <w:lang w:val="en-AU" w:eastAsia="en-AU"/>
        </w:rPr>
        <w:drawing>
          <wp:inline distT="0" distB="0" distL="0" distR="0" wp14:anchorId="6BFFC9DF" wp14:editId="4EF0686C">
            <wp:extent cx="3038475" cy="2266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1304" cy="2269061"/>
                    </a:xfrm>
                    <a:prstGeom prst="rect">
                      <a:avLst/>
                    </a:prstGeom>
                    <a:noFill/>
                  </pic:spPr>
                </pic:pic>
              </a:graphicData>
            </a:graphic>
          </wp:inline>
        </w:drawing>
      </w:r>
    </w:p>
    <w:p w:rsidR="00676972" w:rsidRPr="00680951" w:rsidRDefault="00EB22BC" w:rsidP="00676972">
      <w:pPr>
        <w:rPr>
          <w:sz w:val="16"/>
          <w:szCs w:val="16"/>
        </w:rPr>
      </w:pPr>
      <w:r>
        <w:t xml:space="preserve">  </w:t>
      </w:r>
      <w:r w:rsidR="00676972">
        <w:rPr>
          <w:sz w:val="16"/>
          <w:szCs w:val="16"/>
        </w:rPr>
        <w:t xml:space="preserve">Figure </w:t>
      </w:r>
      <w:r w:rsidR="0095629C">
        <w:rPr>
          <w:sz w:val="16"/>
          <w:szCs w:val="16"/>
        </w:rPr>
        <w:t>1</w:t>
      </w:r>
      <w:r w:rsidR="00ED1F78">
        <w:rPr>
          <w:sz w:val="16"/>
          <w:szCs w:val="16"/>
        </w:rPr>
        <w:t>4</w:t>
      </w:r>
      <w:r w:rsidR="00676972">
        <w:rPr>
          <w:sz w:val="16"/>
          <w:szCs w:val="16"/>
        </w:rPr>
        <w:t xml:space="preserve">: </w:t>
      </w:r>
      <w:r w:rsidR="00676972" w:rsidRPr="00680951">
        <w:rPr>
          <w:sz w:val="16"/>
          <w:szCs w:val="16"/>
        </w:rPr>
        <w:t>Source: OASIS, as at 7 August 2019</w:t>
      </w:r>
      <w:r>
        <w:rPr>
          <w:sz w:val="16"/>
          <w:szCs w:val="16"/>
        </w:rPr>
        <w:tab/>
      </w:r>
      <w:r>
        <w:rPr>
          <w:sz w:val="16"/>
          <w:szCs w:val="16"/>
        </w:rPr>
        <w:tab/>
      </w:r>
      <w:r>
        <w:rPr>
          <w:sz w:val="16"/>
          <w:szCs w:val="16"/>
        </w:rPr>
        <w:tab/>
      </w:r>
      <w:r w:rsidR="00676972">
        <w:rPr>
          <w:sz w:val="16"/>
          <w:szCs w:val="16"/>
        </w:rPr>
        <w:t xml:space="preserve">Figure </w:t>
      </w:r>
      <w:r w:rsidR="0095629C">
        <w:rPr>
          <w:sz w:val="16"/>
          <w:szCs w:val="16"/>
        </w:rPr>
        <w:t>1</w:t>
      </w:r>
      <w:r w:rsidR="00ED1F78">
        <w:rPr>
          <w:sz w:val="16"/>
          <w:szCs w:val="16"/>
        </w:rPr>
        <w:t>5</w:t>
      </w:r>
      <w:r w:rsidR="00676972">
        <w:rPr>
          <w:sz w:val="16"/>
          <w:szCs w:val="16"/>
        </w:rPr>
        <w:t xml:space="preserve">: </w:t>
      </w:r>
      <w:r w:rsidR="00676972" w:rsidRPr="00680951">
        <w:rPr>
          <w:sz w:val="16"/>
          <w:szCs w:val="16"/>
        </w:rPr>
        <w:t>Source: OASIS, as at 7 August 2019</w:t>
      </w:r>
    </w:p>
    <w:p w:rsidR="00A7794D" w:rsidRDefault="00A7794D" w:rsidP="00FD2814">
      <w:pPr>
        <w:spacing w:after="120"/>
        <w:rPr>
          <w:rFonts w:eastAsia="Times New Roman"/>
          <w:color w:val="auto"/>
        </w:rPr>
      </w:pPr>
    </w:p>
    <w:p w:rsidR="00404B24" w:rsidRDefault="00A7794D" w:rsidP="000A67F4">
      <w:pPr>
        <w:spacing w:after="120"/>
        <w:rPr>
          <w:rFonts w:eastAsia="Times New Roman"/>
          <w:color w:val="auto"/>
        </w:rPr>
      </w:pPr>
      <w:r>
        <w:rPr>
          <w:rFonts w:eastAsia="Times New Roman"/>
          <w:color w:val="auto"/>
        </w:rPr>
        <w:t xml:space="preserve">The Global Tracer Facility study of alumni who graduated between 2011 and 2016 found that </w:t>
      </w:r>
      <w:r w:rsidR="00957383" w:rsidRPr="00957383">
        <w:rPr>
          <w:rFonts w:eastAsia="Times New Roman"/>
          <w:color w:val="auto"/>
        </w:rPr>
        <w:t>alumni with disability ha</w:t>
      </w:r>
      <w:r>
        <w:rPr>
          <w:rFonts w:eastAsia="Times New Roman"/>
          <w:color w:val="auto"/>
        </w:rPr>
        <w:t>d</w:t>
      </w:r>
      <w:r w:rsidR="00957383" w:rsidRPr="00957383">
        <w:rPr>
          <w:rFonts w:eastAsia="Times New Roman"/>
          <w:color w:val="auto"/>
        </w:rPr>
        <w:t xml:space="preserve"> similar response patterns to the overall alumni group</w:t>
      </w:r>
      <w:r>
        <w:rPr>
          <w:rFonts w:eastAsia="Times New Roman"/>
          <w:color w:val="auto"/>
        </w:rPr>
        <w:t xml:space="preserve"> in terms of the long-term outcomes of the Australia Awards</w:t>
      </w:r>
      <w:r w:rsidR="00957383" w:rsidRPr="00957383">
        <w:rPr>
          <w:rFonts w:eastAsia="Times New Roman"/>
          <w:color w:val="auto"/>
        </w:rPr>
        <w:t xml:space="preserve">. </w:t>
      </w:r>
      <w:r w:rsidR="00404B24">
        <w:rPr>
          <w:rFonts w:eastAsia="Times New Roman"/>
          <w:color w:val="auto"/>
        </w:rPr>
        <w:t xml:space="preserve">In the Year 3 Tracer Survey, 125 </w:t>
      </w:r>
      <w:r w:rsidR="00404B24" w:rsidRPr="00404B24">
        <w:rPr>
          <w:rFonts w:eastAsia="Times New Roman"/>
          <w:color w:val="auto"/>
        </w:rPr>
        <w:t>alumni identifying as having disability</w:t>
      </w:r>
      <w:r w:rsidR="00404B24">
        <w:rPr>
          <w:rFonts w:eastAsia="Times New Roman"/>
          <w:color w:val="auto"/>
        </w:rPr>
        <w:t xml:space="preserve"> and they </w:t>
      </w:r>
      <w:r w:rsidR="00404B24" w:rsidRPr="00404B24">
        <w:rPr>
          <w:rFonts w:eastAsia="Times New Roman"/>
          <w:color w:val="auto"/>
        </w:rPr>
        <w:t>indicate</w:t>
      </w:r>
      <w:r w:rsidR="00404B24">
        <w:rPr>
          <w:rFonts w:eastAsia="Times New Roman"/>
          <w:color w:val="auto"/>
        </w:rPr>
        <w:t>d</w:t>
      </w:r>
      <w:r w:rsidR="00404B24" w:rsidRPr="00404B24">
        <w:rPr>
          <w:rFonts w:eastAsia="Times New Roman"/>
          <w:color w:val="auto"/>
        </w:rPr>
        <w:t xml:space="preserve"> they have been able to share their knowledge and skills with others (98</w:t>
      </w:r>
      <w:r w:rsidR="00404B24">
        <w:rPr>
          <w:rFonts w:eastAsia="Times New Roman"/>
          <w:color w:val="auto"/>
        </w:rPr>
        <w:t xml:space="preserve"> per cent </w:t>
      </w:r>
      <w:r w:rsidR="00404B24" w:rsidRPr="00404B24">
        <w:rPr>
          <w:rFonts w:eastAsia="Times New Roman"/>
          <w:color w:val="auto"/>
        </w:rPr>
        <w:t>of alumni with disability indicate they have done this), introduce improved practice and innovation at work (98</w:t>
      </w:r>
      <w:r w:rsidR="00404B24">
        <w:rPr>
          <w:rFonts w:eastAsia="Times New Roman"/>
          <w:color w:val="auto"/>
        </w:rPr>
        <w:t xml:space="preserve"> per cent) </w:t>
      </w:r>
      <w:r w:rsidR="00404B24" w:rsidRPr="00404B24">
        <w:rPr>
          <w:rFonts w:eastAsia="Times New Roman"/>
          <w:color w:val="auto"/>
        </w:rPr>
        <w:t>have maintained and built connections with Australia (42</w:t>
      </w:r>
      <w:r w:rsidR="00404B24">
        <w:rPr>
          <w:rFonts w:eastAsia="Times New Roman"/>
          <w:color w:val="auto"/>
        </w:rPr>
        <w:t> per cent)</w:t>
      </w:r>
      <w:r w:rsidR="00404B24" w:rsidRPr="00404B24">
        <w:rPr>
          <w:rFonts w:eastAsia="Times New Roman"/>
          <w:color w:val="auto"/>
        </w:rPr>
        <w:t>, and have very positive views of Australians (97</w:t>
      </w:r>
      <w:r w:rsidR="00404B24">
        <w:rPr>
          <w:rFonts w:eastAsia="Times New Roman"/>
          <w:color w:val="auto"/>
        </w:rPr>
        <w:t xml:space="preserve"> per cent</w:t>
      </w:r>
      <w:r w:rsidR="00404B24" w:rsidRPr="00404B24">
        <w:rPr>
          <w:rFonts w:eastAsia="Times New Roman"/>
          <w:color w:val="auto"/>
        </w:rPr>
        <w:t>) and Australian expertise (97</w:t>
      </w:r>
      <w:r w:rsidR="00404B24">
        <w:rPr>
          <w:rFonts w:eastAsia="Times New Roman"/>
          <w:color w:val="auto"/>
        </w:rPr>
        <w:t> per cent</w:t>
      </w:r>
      <w:r w:rsidR="00404B24" w:rsidRPr="00404B24">
        <w:rPr>
          <w:rFonts w:eastAsia="Times New Roman"/>
          <w:color w:val="auto"/>
        </w:rPr>
        <w:t>).</w:t>
      </w:r>
      <w:r w:rsidR="00404B24">
        <w:rPr>
          <w:rFonts w:eastAsia="Times New Roman"/>
          <w:color w:val="auto"/>
        </w:rPr>
        <w:t xml:space="preserve"> </w:t>
      </w:r>
      <w:r w:rsidR="00404B24" w:rsidRPr="00734D26">
        <w:rPr>
          <w:rFonts w:eastAsia="Times New Roman"/>
          <w:color w:val="auto"/>
        </w:rPr>
        <w:t>Alumni with disability tended to be more likely than other alumni to hold a leadership position, with almost all these alumni in leadership, and 66 per</w:t>
      </w:r>
      <w:r w:rsidR="00734D26">
        <w:rPr>
          <w:rFonts w:eastAsia="Times New Roman"/>
          <w:color w:val="auto"/>
        </w:rPr>
        <w:t> </w:t>
      </w:r>
      <w:r w:rsidR="00404B24" w:rsidRPr="00734D26">
        <w:rPr>
          <w:rFonts w:eastAsia="Times New Roman"/>
          <w:color w:val="auto"/>
        </w:rPr>
        <w:t>cent holding formal leadership positions and a further 33 per cent in informal leadership positions.</w:t>
      </w:r>
    </w:p>
    <w:p w:rsidR="00FD2814" w:rsidRDefault="00FD2814" w:rsidP="00FD2814">
      <w:pPr>
        <w:spacing w:after="120"/>
        <w:rPr>
          <w:rFonts w:eastAsia="Times New Roman"/>
          <w:color w:val="auto"/>
        </w:rPr>
      </w:pPr>
      <w:r>
        <w:rPr>
          <w:rFonts w:eastAsia="Times New Roman"/>
          <w:color w:val="auto"/>
        </w:rPr>
        <w:t xml:space="preserve">Country programs </w:t>
      </w:r>
      <w:r w:rsidR="0087327D">
        <w:rPr>
          <w:rFonts w:eastAsia="Times New Roman"/>
          <w:color w:val="auto"/>
        </w:rPr>
        <w:t>were</w:t>
      </w:r>
      <w:r>
        <w:rPr>
          <w:rFonts w:eastAsia="Times New Roman"/>
          <w:color w:val="auto"/>
        </w:rPr>
        <w:t xml:space="preserve"> </w:t>
      </w:r>
      <w:r w:rsidR="00957383">
        <w:rPr>
          <w:rFonts w:eastAsia="Times New Roman"/>
          <w:color w:val="auto"/>
        </w:rPr>
        <w:t xml:space="preserve">also </w:t>
      </w:r>
      <w:r>
        <w:rPr>
          <w:rFonts w:eastAsia="Times New Roman"/>
          <w:color w:val="auto"/>
        </w:rPr>
        <w:t xml:space="preserve">active in attracting and supporting scholars with a disability. For example, </w:t>
      </w:r>
      <w:r w:rsidRPr="00067788">
        <w:rPr>
          <w:rFonts w:eastAsia="Times New Roman"/>
          <w:color w:val="auto"/>
        </w:rPr>
        <w:t xml:space="preserve">Australia </w:t>
      </w:r>
      <w:r w:rsidRPr="00143940">
        <w:rPr>
          <w:rFonts w:eastAsia="Times New Roman"/>
          <w:bCs/>
          <w:color w:val="auto"/>
        </w:rPr>
        <w:t>Awards</w:t>
      </w:r>
      <w:r w:rsidRPr="008D641F">
        <w:rPr>
          <w:rFonts w:eastAsia="Times New Roman"/>
          <w:b/>
          <w:bCs/>
          <w:color w:val="auto"/>
        </w:rPr>
        <w:t xml:space="preserve"> Papua New Guinea</w:t>
      </w:r>
      <w:r>
        <w:rPr>
          <w:rFonts w:eastAsia="Times New Roman"/>
          <w:color w:val="auto"/>
        </w:rPr>
        <w:t xml:space="preserve"> reported that </w:t>
      </w:r>
      <w:r w:rsidR="0087327D">
        <w:rPr>
          <w:rFonts w:eastAsia="Times New Roman"/>
          <w:color w:val="auto"/>
        </w:rPr>
        <w:t xml:space="preserve">in 2018-19 </w:t>
      </w:r>
      <w:r>
        <w:rPr>
          <w:rFonts w:eastAsia="Times New Roman"/>
          <w:color w:val="auto"/>
        </w:rPr>
        <w:t xml:space="preserve">it </w:t>
      </w:r>
      <w:r w:rsidR="0087327D">
        <w:rPr>
          <w:rFonts w:eastAsia="Times New Roman"/>
          <w:color w:val="auto"/>
        </w:rPr>
        <w:t xml:space="preserve">used </w:t>
      </w:r>
      <w:r>
        <w:rPr>
          <w:rFonts w:eastAsia="Times New Roman"/>
          <w:color w:val="auto"/>
        </w:rPr>
        <w:t>technological advances, different scholarship modalities</w:t>
      </w:r>
      <w:r w:rsidR="008856F6">
        <w:rPr>
          <w:rFonts w:eastAsia="Times New Roman"/>
          <w:color w:val="auto"/>
        </w:rPr>
        <w:t xml:space="preserve"> and</w:t>
      </w:r>
      <w:r>
        <w:rPr>
          <w:rFonts w:eastAsia="Times New Roman"/>
          <w:color w:val="auto"/>
        </w:rPr>
        <w:t xml:space="preserve"> new approaches for disability inclusion</w:t>
      </w:r>
      <w:r w:rsidR="008856F6">
        <w:rPr>
          <w:rFonts w:eastAsia="Times New Roman"/>
          <w:color w:val="auto"/>
        </w:rPr>
        <w:t>. F</w:t>
      </w:r>
      <w:r>
        <w:rPr>
          <w:rFonts w:eastAsia="Times New Roman"/>
          <w:color w:val="auto"/>
        </w:rPr>
        <w:t>or example</w:t>
      </w:r>
      <w:r w:rsidR="00D26207">
        <w:rPr>
          <w:rFonts w:eastAsia="Times New Roman"/>
          <w:color w:val="auto"/>
        </w:rPr>
        <w:t>,</w:t>
      </w:r>
      <w:r>
        <w:rPr>
          <w:rFonts w:eastAsia="Times New Roman"/>
          <w:color w:val="auto"/>
        </w:rPr>
        <w:t xml:space="preserve"> </w:t>
      </w:r>
      <w:r w:rsidR="008856F6">
        <w:rPr>
          <w:rFonts w:eastAsia="Times New Roman"/>
          <w:color w:val="auto"/>
        </w:rPr>
        <w:t xml:space="preserve">it </w:t>
      </w:r>
      <w:r>
        <w:rPr>
          <w:rFonts w:eastAsia="Times New Roman"/>
          <w:color w:val="auto"/>
        </w:rPr>
        <w:t>arrang</w:t>
      </w:r>
      <w:r w:rsidR="008856F6">
        <w:rPr>
          <w:rFonts w:eastAsia="Times New Roman"/>
          <w:color w:val="auto"/>
        </w:rPr>
        <w:t xml:space="preserve">ed </w:t>
      </w:r>
      <w:r>
        <w:rPr>
          <w:rFonts w:eastAsia="Times New Roman"/>
          <w:color w:val="auto"/>
        </w:rPr>
        <w:t xml:space="preserve">for a </w:t>
      </w:r>
      <w:r w:rsidR="006B1FA4">
        <w:rPr>
          <w:rFonts w:eastAsia="Times New Roman"/>
          <w:color w:val="auto"/>
        </w:rPr>
        <w:t>deaf</w:t>
      </w:r>
      <w:r w:rsidR="00B57F64">
        <w:rPr>
          <w:rFonts w:eastAsia="Times New Roman"/>
          <w:color w:val="auto"/>
        </w:rPr>
        <w:t>/hard of hearing</w:t>
      </w:r>
      <w:r w:rsidR="006B1FA4">
        <w:rPr>
          <w:rFonts w:eastAsia="Times New Roman"/>
          <w:color w:val="auto"/>
        </w:rPr>
        <w:t xml:space="preserve"> </w:t>
      </w:r>
      <w:r>
        <w:rPr>
          <w:rFonts w:eastAsia="Times New Roman"/>
          <w:color w:val="auto"/>
        </w:rPr>
        <w:t xml:space="preserve">awardee </w:t>
      </w:r>
      <w:r w:rsidR="00D26207">
        <w:rPr>
          <w:rFonts w:eastAsia="Times New Roman"/>
          <w:color w:val="auto"/>
        </w:rPr>
        <w:t xml:space="preserve">to have </w:t>
      </w:r>
      <w:r>
        <w:rPr>
          <w:rFonts w:eastAsia="Times New Roman"/>
          <w:color w:val="auto"/>
        </w:rPr>
        <w:t>a homestay with a deaf</w:t>
      </w:r>
      <w:r w:rsidR="00734D26">
        <w:rPr>
          <w:rFonts w:eastAsia="Times New Roman"/>
          <w:color w:val="auto"/>
        </w:rPr>
        <w:t>/hard of hearing</w:t>
      </w:r>
      <w:r>
        <w:rPr>
          <w:rFonts w:eastAsia="Times New Roman"/>
          <w:color w:val="auto"/>
        </w:rPr>
        <w:t xml:space="preserve"> family in Australia. </w:t>
      </w:r>
    </w:p>
    <w:p w:rsidR="007E1B9D" w:rsidRDefault="007E1B9D">
      <w:pPr>
        <w:suppressAutoHyphens w:val="0"/>
        <w:spacing w:before="0" w:after="120" w:line="440" w:lineRule="atLeast"/>
        <w:rPr>
          <w:rFonts w:asciiTheme="majorHAnsi" w:eastAsiaTheme="majorEastAsia" w:hAnsiTheme="majorHAnsi" w:cstheme="majorBidi"/>
          <w:caps/>
          <w:sz w:val="38"/>
          <w:szCs w:val="26"/>
        </w:rPr>
      </w:pPr>
      <w:r>
        <w:br w:type="page"/>
      </w:r>
    </w:p>
    <w:p w:rsidR="002A51CA" w:rsidRPr="002A51CA" w:rsidRDefault="002A51CA" w:rsidP="00CF62AE">
      <w:pPr>
        <w:pStyle w:val="Heading2"/>
        <w:spacing w:before="360" w:line="300" w:lineRule="exact"/>
      </w:pPr>
      <w:r w:rsidRPr="002A51CA">
        <w:t xml:space="preserve">Program Quality and Partner Performance </w:t>
      </w:r>
    </w:p>
    <w:p w:rsidR="002A51CA" w:rsidRPr="00CF62AE" w:rsidRDefault="002A51CA" w:rsidP="002A51CA">
      <w:pPr>
        <w:rPr>
          <w:sz w:val="32"/>
          <w:szCs w:val="32"/>
          <w:lang w:eastAsia="zh-CN"/>
        </w:rPr>
      </w:pPr>
      <w:r w:rsidRPr="00CF62AE">
        <w:rPr>
          <w:sz w:val="32"/>
          <w:szCs w:val="32"/>
          <w:lang w:eastAsia="zh-CN"/>
        </w:rPr>
        <w:t>Overview</w:t>
      </w:r>
      <w:r w:rsidRPr="00CF62AE">
        <w:rPr>
          <w:sz w:val="32"/>
          <w:szCs w:val="32"/>
          <w:lang w:eastAsia="zh-CN"/>
        </w:rPr>
        <w:tab/>
      </w:r>
      <w:r w:rsidRPr="00CF62AE">
        <w:rPr>
          <w:sz w:val="32"/>
          <w:szCs w:val="32"/>
          <w:lang w:eastAsia="zh-CN"/>
        </w:rPr>
        <w:tab/>
      </w:r>
    </w:p>
    <w:p w:rsidR="00415AEF" w:rsidRDefault="00415AEF" w:rsidP="00BE6C6D">
      <w:pPr>
        <w:rPr>
          <w:rFonts w:cstheme="minorHAnsi"/>
          <w:color w:val="auto"/>
        </w:rPr>
      </w:pPr>
      <w:r w:rsidRPr="00415AEF">
        <w:rPr>
          <w:rFonts w:cstheme="minorHAnsi"/>
          <w:color w:val="auto"/>
        </w:rPr>
        <w:t>In addition to administrative and survey data sources, the performance of individual country/regi</w:t>
      </w:r>
      <w:r w:rsidR="008856F6">
        <w:rPr>
          <w:rFonts w:cstheme="minorHAnsi"/>
          <w:color w:val="auto"/>
        </w:rPr>
        <w:t>onal Australia Awards program was</w:t>
      </w:r>
      <w:r w:rsidRPr="00415AEF">
        <w:rPr>
          <w:rFonts w:cstheme="minorHAnsi"/>
          <w:color w:val="auto"/>
        </w:rPr>
        <w:t xml:space="preserve"> assessed and reported on through a number of mechanisms, including:</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7"/>
        <w:gridCol w:w="2407"/>
        <w:gridCol w:w="2407"/>
        <w:gridCol w:w="2407"/>
      </w:tblGrid>
      <w:tr w:rsidR="00093D2C" w:rsidTr="00093D2C">
        <w:tc>
          <w:tcPr>
            <w:tcW w:w="2407" w:type="dxa"/>
          </w:tcPr>
          <w:p w:rsidR="00093D2C" w:rsidRPr="00093D2C" w:rsidRDefault="00093D2C" w:rsidP="00093D2C">
            <w:pPr>
              <w:rPr>
                <w:rFonts w:cstheme="minorHAnsi"/>
                <w:color w:val="auto"/>
              </w:rPr>
            </w:pPr>
            <w:r w:rsidRPr="00093D2C">
              <w:rPr>
                <w:rFonts w:cstheme="minorHAnsi"/>
                <w:color w:val="auto"/>
              </w:rPr>
              <w:t>Aid Program Performance Reports</w:t>
            </w:r>
          </w:p>
        </w:tc>
        <w:tc>
          <w:tcPr>
            <w:tcW w:w="2407" w:type="dxa"/>
          </w:tcPr>
          <w:p w:rsidR="00093D2C" w:rsidRPr="00093D2C" w:rsidRDefault="00093D2C" w:rsidP="00BE6C6D">
            <w:pPr>
              <w:rPr>
                <w:rFonts w:cstheme="minorHAnsi"/>
                <w:color w:val="auto"/>
              </w:rPr>
            </w:pPr>
            <w:r w:rsidRPr="00093D2C">
              <w:rPr>
                <w:rFonts w:cstheme="minorHAnsi"/>
                <w:color w:val="auto"/>
              </w:rPr>
              <w:t>Aid Quality Checks</w:t>
            </w:r>
          </w:p>
        </w:tc>
        <w:tc>
          <w:tcPr>
            <w:tcW w:w="2407" w:type="dxa"/>
          </w:tcPr>
          <w:p w:rsidR="00093D2C" w:rsidRPr="00093D2C" w:rsidRDefault="00093D2C" w:rsidP="00BE6C6D">
            <w:pPr>
              <w:rPr>
                <w:rFonts w:cstheme="minorHAnsi"/>
                <w:color w:val="auto"/>
              </w:rPr>
            </w:pPr>
            <w:r w:rsidRPr="00093D2C">
              <w:rPr>
                <w:rFonts w:cstheme="minorHAnsi"/>
                <w:color w:val="auto"/>
              </w:rPr>
              <w:t>Partner Performance Assessment</w:t>
            </w:r>
          </w:p>
        </w:tc>
        <w:tc>
          <w:tcPr>
            <w:tcW w:w="2407" w:type="dxa"/>
          </w:tcPr>
          <w:p w:rsidR="00093D2C" w:rsidRPr="00093D2C" w:rsidRDefault="00093D2C" w:rsidP="00BE6C6D">
            <w:pPr>
              <w:rPr>
                <w:rFonts w:cstheme="minorHAnsi"/>
                <w:color w:val="auto"/>
              </w:rPr>
            </w:pPr>
            <w:r w:rsidRPr="00093D2C">
              <w:rPr>
                <w:rFonts w:cstheme="minorHAnsi"/>
                <w:color w:val="auto"/>
              </w:rPr>
              <w:t>monitoring and evaluation activities</w:t>
            </w:r>
          </w:p>
        </w:tc>
      </w:tr>
    </w:tbl>
    <w:p w:rsidR="00ED51DC" w:rsidRPr="00415AEF" w:rsidRDefault="00415AEF" w:rsidP="00BE6C6D">
      <w:pPr>
        <w:rPr>
          <w:rFonts w:cstheme="minorHAnsi"/>
          <w:color w:val="auto"/>
        </w:rPr>
      </w:pPr>
      <w:r w:rsidRPr="00415AEF">
        <w:rPr>
          <w:rFonts w:cstheme="minorHAnsi"/>
          <w:color w:val="auto"/>
        </w:rPr>
        <w:t xml:space="preserve">Although there are a number </w:t>
      </w:r>
      <w:r>
        <w:rPr>
          <w:rFonts w:cstheme="minorHAnsi"/>
          <w:color w:val="auto"/>
        </w:rPr>
        <w:t>of reporting mechanism</w:t>
      </w:r>
      <w:r w:rsidR="00C779FD">
        <w:rPr>
          <w:rFonts w:cstheme="minorHAnsi"/>
          <w:color w:val="auto"/>
        </w:rPr>
        <w:t>s</w:t>
      </w:r>
      <w:r>
        <w:rPr>
          <w:rFonts w:cstheme="minorHAnsi"/>
          <w:color w:val="auto"/>
        </w:rPr>
        <w:t xml:space="preserve"> in place, again in 2019 it has not been possible to create a comprehensive global picture of performance. This is due to a range of factors, including the proliferation </w:t>
      </w:r>
      <w:r w:rsidR="00C779FD">
        <w:rPr>
          <w:rFonts w:cstheme="minorHAnsi"/>
          <w:color w:val="auto"/>
        </w:rPr>
        <w:t xml:space="preserve">of </w:t>
      </w:r>
      <w:r>
        <w:rPr>
          <w:rFonts w:cstheme="minorHAnsi"/>
          <w:color w:val="auto"/>
        </w:rPr>
        <w:t xml:space="preserve">non-standardised data and measures, a lack of visibility of Australia Awards information in high-level reporting and, in some instances, the fact that there is no requirement to report. </w:t>
      </w:r>
    </w:p>
    <w:p w:rsidR="00600479" w:rsidRPr="00CF62AE" w:rsidRDefault="00600479" w:rsidP="00BE6C6D">
      <w:pPr>
        <w:rPr>
          <w:sz w:val="32"/>
          <w:szCs w:val="32"/>
          <w:lang w:eastAsia="zh-CN"/>
        </w:rPr>
      </w:pPr>
      <w:r w:rsidRPr="00CF62AE">
        <w:rPr>
          <w:sz w:val="32"/>
          <w:szCs w:val="32"/>
          <w:lang w:eastAsia="zh-CN"/>
        </w:rPr>
        <w:t>Aid Quality Checks (AQCs)</w:t>
      </w:r>
    </w:p>
    <w:p w:rsidR="00451E8A" w:rsidRDefault="0073744E" w:rsidP="00BE6C6D">
      <w:pPr>
        <w:rPr>
          <w:color w:val="auto"/>
        </w:rPr>
      </w:pPr>
      <w:r>
        <w:rPr>
          <w:color w:val="auto"/>
        </w:rPr>
        <w:t>In 2018</w:t>
      </w:r>
      <w:r w:rsidR="00C779FD">
        <w:rPr>
          <w:color w:val="auto"/>
        </w:rPr>
        <w:t>-</w:t>
      </w:r>
      <w:r>
        <w:rPr>
          <w:color w:val="auto"/>
        </w:rPr>
        <w:t xml:space="preserve">19, 14 </w:t>
      </w:r>
      <w:r w:rsidR="00245DE8">
        <w:rPr>
          <w:color w:val="auto"/>
        </w:rPr>
        <w:t xml:space="preserve">Australia Award </w:t>
      </w:r>
      <w:r>
        <w:rPr>
          <w:color w:val="auto"/>
        </w:rPr>
        <w:t xml:space="preserve">investments completed AQCs. </w:t>
      </w:r>
      <w:r w:rsidR="00B40C3E">
        <w:rPr>
          <w:color w:val="auto"/>
        </w:rPr>
        <w:t>B</w:t>
      </w:r>
      <w:r w:rsidR="00D66B3E">
        <w:rPr>
          <w:color w:val="auto"/>
        </w:rPr>
        <w:t>etween 2018 and 2019</w:t>
      </w:r>
      <w:r w:rsidR="00B40C3E">
        <w:rPr>
          <w:color w:val="auto"/>
        </w:rPr>
        <w:t xml:space="preserve">, a </w:t>
      </w:r>
      <w:r w:rsidR="00245DE8">
        <w:rPr>
          <w:color w:val="auto"/>
        </w:rPr>
        <w:t>number of investments improv</w:t>
      </w:r>
      <w:r w:rsidR="00B40C3E">
        <w:rPr>
          <w:color w:val="auto"/>
        </w:rPr>
        <w:t>ed</w:t>
      </w:r>
      <w:r w:rsidR="00245DE8">
        <w:rPr>
          <w:color w:val="auto"/>
        </w:rPr>
        <w:t xml:space="preserve"> their </w:t>
      </w:r>
      <w:r w:rsidR="00B40C3E">
        <w:rPr>
          <w:color w:val="auto"/>
        </w:rPr>
        <w:t xml:space="preserve">AQC </w:t>
      </w:r>
      <w:r w:rsidR="00245DE8">
        <w:rPr>
          <w:color w:val="auto"/>
        </w:rPr>
        <w:t>ratings</w:t>
      </w:r>
      <w:r w:rsidR="000423C6">
        <w:rPr>
          <w:color w:val="auto"/>
        </w:rPr>
        <w:t xml:space="preserve">. </w:t>
      </w:r>
      <w:r w:rsidR="005771E1">
        <w:rPr>
          <w:color w:val="auto"/>
        </w:rPr>
        <w:t xml:space="preserve">Nine of the 14 AQCs received an overall rating of 5 </w:t>
      </w:r>
      <w:r w:rsidR="000423C6">
        <w:rPr>
          <w:color w:val="auto"/>
        </w:rPr>
        <w:t xml:space="preserve">(the highest possible rating) </w:t>
      </w:r>
      <w:r w:rsidR="005771E1">
        <w:rPr>
          <w:color w:val="auto"/>
        </w:rPr>
        <w:t xml:space="preserve">for the Gender Equality criterion, with the Australia Awards Fellowships Round </w:t>
      </w:r>
      <w:r w:rsidR="00451E8A">
        <w:rPr>
          <w:color w:val="auto"/>
        </w:rPr>
        <w:t>1</w:t>
      </w:r>
      <w:r w:rsidR="005771E1">
        <w:rPr>
          <w:color w:val="auto"/>
        </w:rPr>
        <w:t>7 receiving the lowest rating of a 3.</w:t>
      </w:r>
      <w:r w:rsidR="00B80219">
        <w:rPr>
          <w:color w:val="auto"/>
        </w:rPr>
        <w:t xml:space="preserve"> </w:t>
      </w:r>
    </w:p>
    <w:p w:rsidR="00295BEE" w:rsidRDefault="00295BEE" w:rsidP="00295BEE">
      <w:pPr>
        <w:rPr>
          <w:color w:val="auto"/>
        </w:rPr>
      </w:pPr>
      <w:r w:rsidRPr="004F3BAB">
        <w:rPr>
          <w:b/>
          <w:bCs/>
          <w:color w:val="auto"/>
        </w:rPr>
        <w:t>Gender equality</w:t>
      </w:r>
      <w:r>
        <w:rPr>
          <w:color w:val="auto"/>
        </w:rPr>
        <w:t xml:space="preserve"> is a key focus for the investments and this is quantitatively measured through equal participation of women and men in the Awards. The AQCs, however, indicate that the Awards are achieving more than just equity of participation but are making a contribution to gender equality in partner countries. In addition, there are examples of some programs looking beyond equity to address gender equality in how the Awards themselves are implemented. For example, </w:t>
      </w:r>
      <w:r w:rsidRPr="008D641F">
        <w:rPr>
          <w:b/>
          <w:bCs/>
          <w:color w:val="auto"/>
        </w:rPr>
        <w:t>Papua New Guinea</w:t>
      </w:r>
      <w:r>
        <w:rPr>
          <w:color w:val="auto"/>
        </w:rPr>
        <w:t xml:space="preserve"> reports that its pre-departure information continues to focus on healthy relationships and included a “man haus” session which shifted the men-only participants’ views about their wives going to Australia on a scholarship. </w:t>
      </w:r>
    </w:p>
    <w:p w:rsidR="00070CA4" w:rsidRDefault="00070CA4" w:rsidP="00070CA4">
      <w:pPr>
        <w:spacing w:after="120"/>
        <w:rPr>
          <w:rFonts w:eastAsia="Times New Roman"/>
          <w:color w:val="auto"/>
        </w:rPr>
      </w:pPr>
      <w:r w:rsidRPr="00AC54F9">
        <w:rPr>
          <w:rFonts w:eastAsia="Times New Roman"/>
          <w:color w:val="auto"/>
        </w:rPr>
        <w:t>The Aus4Skills investment in Vietnam is also taking a broader approach to promote gender equality. It has supported activities such as</w:t>
      </w:r>
      <w:r>
        <w:rPr>
          <w:rFonts w:eastAsia="Times New Roman"/>
          <w:color w:val="auto"/>
        </w:rPr>
        <w:t>:</w:t>
      </w:r>
      <w:r w:rsidRPr="00AC54F9">
        <w:rPr>
          <w:rFonts w:eastAsia="Times New Roman"/>
          <w:color w:val="auto"/>
        </w:rPr>
        <w:t xml:space="preserve"> embedding gender equality practices in the curriculum of the Centre for Gender Studies and Women’s Leadership at the leading political training institution in Vietnam</w:t>
      </w:r>
      <w:r>
        <w:rPr>
          <w:rFonts w:eastAsia="Times New Roman"/>
          <w:color w:val="auto"/>
        </w:rPr>
        <w:t>;</w:t>
      </w:r>
      <w:r w:rsidRPr="00AC54F9">
        <w:rPr>
          <w:rFonts w:eastAsia="Times New Roman"/>
          <w:color w:val="auto"/>
        </w:rPr>
        <w:t xml:space="preserve"> gender mainstreaming training for a range of local partners</w:t>
      </w:r>
      <w:r>
        <w:rPr>
          <w:rFonts w:eastAsia="Times New Roman"/>
          <w:color w:val="auto"/>
        </w:rPr>
        <w:t>;</w:t>
      </w:r>
      <w:r w:rsidRPr="00AC54F9">
        <w:rPr>
          <w:rFonts w:eastAsia="Times New Roman"/>
          <w:color w:val="auto"/>
        </w:rPr>
        <w:t xml:space="preserve"> integrating gender equality into strategic plans for two universities</w:t>
      </w:r>
      <w:r>
        <w:rPr>
          <w:rFonts w:eastAsia="Times New Roman"/>
          <w:color w:val="auto"/>
        </w:rPr>
        <w:t>;</w:t>
      </w:r>
      <w:r w:rsidRPr="00AC54F9">
        <w:rPr>
          <w:rFonts w:eastAsia="Times New Roman"/>
          <w:color w:val="auto"/>
        </w:rPr>
        <w:t xml:space="preserve"> establishing an alumni group working in the field of gender equality</w:t>
      </w:r>
      <w:r>
        <w:rPr>
          <w:rFonts w:eastAsia="Times New Roman"/>
          <w:color w:val="auto"/>
        </w:rPr>
        <w:t>;</w:t>
      </w:r>
      <w:r w:rsidRPr="00AC54F9">
        <w:rPr>
          <w:rFonts w:eastAsia="Times New Roman"/>
          <w:color w:val="auto"/>
        </w:rPr>
        <w:t xml:space="preserve"> and </w:t>
      </w:r>
      <w:r>
        <w:rPr>
          <w:rFonts w:eastAsia="Times New Roman"/>
          <w:color w:val="auto"/>
        </w:rPr>
        <w:t>having gender equality as a priority field of study for the Awards</w:t>
      </w:r>
      <w:r w:rsidRPr="00AC54F9">
        <w:rPr>
          <w:rFonts w:eastAsia="Times New Roman"/>
          <w:color w:val="auto"/>
        </w:rPr>
        <w:t xml:space="preserve">. </w:t>
      </w:r>
    </w:p>
    <w:p w:rsidR="00295BEE" w:rsidRDefault="00295BEE" w:rsidP="00BE6C6D">
      <w:pPr>
        <w:rPr>
          <w:color w:val="auto"/>
        </w:rPr>
      </w:pPr>
    </w:p>
    <w:p w:rsidR="00D26207" w:rsidRDefault="00D26207" w:rsidP="00BE6C6D">
      <w:pPr>
        <w:rPr>
          <w:color w:val="auto"/>
        </w:rPr>
      </w:pPr>
      <w:r>
        <w:rPr>
          <w:noProof/>
          <w:lang w:val="en-AU" w:eastAsia="en-AU"/>
        </w:rPr>
        <w:drawing>
          <wp:inline distT="0" distB="0" distL="0" distR="0" wp14:anchorId="77E2CD2D" wp14:editId="6B4AB6BF">
            <wp:extent cx="5857875" cy="2552700"/>
            <wp:effectExtent l="0" t="0" r="9525" b="0"/>
            <wp:docPr id="14" name="Chart 14">
              <a:extLst xmlns:a="http://schemas.openxmlformats.org/drawingml/2006/main">
                <a:ext uri="{FF2B5EF4-FFF2-40B4-BE49-F238E27FC236}">
                  <a16:creationId xmlns:a16="http://schemas.microsoft.com/office/drawing/2014/main" id="{C031CEFC-16FA-4562-B0A4-725AEB9D7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26207" w:rsidRPr="00FB47E7" w:rsidRDefault="00D26207" w:rsidP="00D26207">
      <w:pPr>
        <w:rPr>
          <w:color w:val="auto"/>
          <w:sz w:val="18"/>
          <w:szCs w:val="18"/>
        </w:rPr>
      </w:pPr>
      <w:r>
        <w:rPr>
          <w:color w:val="auto"/>
          <w:sz w:val="18"/>
          <w:szCs w:val="18"/>
        </w:rPr>
        <w:t>Figure 1</w:t>
      </w:r>
      <w:r w:rsidR="00ED1F78">
        <w:rPr>
          <w:color w:val="auto"/>
          <w:sz w:val="18"/>
          <w:szCs w:val="18"/>
        </w:rPr>
        <w:t>6</w:t>
      </w:r>
      <w:r>
        <w:rPr>
          <w:color w:val="auto"/>
          <w:sz w:val="18"/>
          <w:szCs w:val="18"/>
        </w:rPr>
        <w:t xml:space="preserve"> </w:t>
      </w:r>
      <w:r w:rsidRPr="00FB47E7">
        <w:rPr>
          <w:color w:val="auto"/>
          <w:sz w:val="18"/>
          <w:szCs w:val="18"/>
        </w:rPr>
        <w:t>Source: DFAT Aid Quality Check assessments for Australia Award investments 2018-19 cycle (n=14)</w:t>
      </w:r>
    </w:p>
    <w:p w:rsidR="001216E1" w:rsidRDefault="001216E1" w:rsidP="00093D2C">
      <w:pPr>
        <w:rPr>
          <w:b/>
          <w:bCs/>
          <w:color w:val="auto"/>
        </w:rPr>
      </w:pPr>
    </w:p>
    <w:p w:rsidR="00B57F64" w:rsidRDefault="00093D2C" w:rsidP="00093D2C">
      <w:pPr>
        <w:rPr>
          <w:color w:val="auto"/>
        </w:rPr>
      </w:pPr>
      <w:r w:rsidRPr="0037385E">
        <w:rPr>
          <w:bCs/>
          <w:color w:val="auto"/>
        </w:rPr>
        <w:t xml:space="preserve">Figure </w:t>
      </w:r>
      <w:r w:rsidR="00D26207" w:rsidRPr="0037385E">
        <w:rPr>
          <w:bCs/>
          <w:color w:val="auto"/>
        </w:rPr>
        <w:t>1</w:t>
      </w:r>
      <w:r w:rsidR="00ED1F78">
        <w:rPr>
          <w:bCs/>
          <w:color w:val="auto"/>
        </w:rPr>
        <w:t>6</w:t>
      </w:r>
      <w:r>
        <w:rPr>
          <w:color w:val="auto"/>
        </w:rPr>
        <w:t xml:space="preserve"> compares the three rated criteria in 2018 and 2019. It shows a marked increase in the number of investments with higher ratings across the board. The improvement in ratings in relation to gender equality appear</w:t>
      </w:r>
      <w:r w:rsidR="008856F6">
        <w:rPr>
          <w:color w:val="auto"/>
        </w:rPr>
        <w:t>s</w:t>
      </w:r>
      <w:r>
        <w:rPr>
          <w:color w:val="auto"/>
        </w:rPr>
        <w:t xml:space="preserve"> to be as a result of programs paying specific attention to improving their performance in this area. </w:t>
      </w:r>
    </w:p>
    <w:p w:rsidR="009027CE" w:rsidRPr="000A67F4" w:rsidRDefault="00AC209F" w:rsidP="009027CE">
      <w:pPr>
        <w:rPr>
          <w:color w:val="auto"/>
        </w:rPr>
      </w:pPr>
      <w:r>
        <w:rPr>
          <w:color w:val="auto"/>
        </w:rPr>
        <w:t xml:space="preserve">The </w:t>
      </w:r>
      <w:r w:rsidR="009027CE">
        <w:rPr>
          <w:color w:val="auto"/>
        </w:rPr>
        <w:t xml:space="preserve">AQCs </w:t>
      </w:r>
      <w:r>
        <w:rPr>
          <w:color w:val="auto"/>
        </w:rPr>
        <w:t>also include</w:t>
      </w:r>
      <w:r w:rsidR="009027CE">
        <w:rPr>
          <w:color w:val="auto"/>
        </w:rPr>
        <w:t xml:space="preserve"> two rated criteria to measure the performance of investments </w:t>
      </w:r>
      <w:r w:rsidR="00857233">
        <w:rPr>
          <w:color w:val="auto"/>
        </w:rPr>
        <w:t xml:space="preserve">in addressing </w:t>
      </w:r>
      <w:r w:rsidR="00857233" w:rsidRPr="00857233">
        <w:rPr>
          <w:b/>
          <w:color w:val="auto"/>
        </w:rPr>
        <w:t>disability inclusion</w:t>
      </w:r>
      <w:r w:rsidR="00857233">
        <w:rPr>
          <w:color w:val="auto"/>
        </w:rPr>
        <w:t xml:space="preserve">. </w:t>
      </w:r>
      <w:r>
        <w:rPr>
          <w:color w:val="auto"/>
        </w:rPr>
        <w:t xml:space="preserve">As shown in </w:t>
      </w:r>
      <w:r w:rsidR="00077721">
        <w:rPr>
          <w:color w:val="auto"/>
        </w:rPr>
        <w:t>Table 2</w:t>
      </w:r>
      <w:r>
        <w:rPr>
          <w:color w:val="auto"/>
        </w:rPr>
        <w:t>, t</w:t>
      </w:r>
      <w:r w:rsidR="00857233">
        <w:rPr>
          <w:color w:val="auto"/>
        </w:rPr>
        <w:t>he majority of investments w</w:t>
      </w:r>
      <w:r>
        <w:rPr>
          <w:color w:val="auto"/>
        </w:rPr>
        <w:t>e</w:t>
      </w:r>
      <w:r w:rsidR="00857233">
        <w:rPr>
          <w:color w:val="auto"/>
        </w:rPr>
        <w:t xml:space="preserve">re performing satisfactorily in terms of actively involving people with disabilities and disabled people’s organisations (86 per </w:t>
      </w:r>
      <w:r>
        <w:rPr>
          <w:color w:val="auto"/>
        </w:rPr>
        <w:t>cent) and in terms of identifying and addressing barriers to inclusion (93 per cent).</w:t>
      </w:r>
    </w:p>
    <w:p w:rsidR="009027CE" w:rsidRPr="00077721" w:rsidRDefault="00077721" w:rsidP="00077721">
      <w:pPr>
        <w:rPr>
          <w:b/>
          <w:sz w:val="24"/>
        </w:rPr>
      </w:pPr>
      <w:r>
        <w:rPr>
          <w:b/>
          <w:sz w:val="24"/>
        </w:rPr>
        <w:t xml:space="preserve">Table 2 </w:t>
      </w:r>
      <w:r w:rsidR="009027CE" w:rsidRPr="00077721">
        <w:rPr>
          <w:b/>
          <w:sz w:val="24"/>
        </w:rPr>
        <w:t>Aid Quality Check – Disability Criteria Ratings</w:t>
      </w:r>
    </w:p>
    <w:tbl>
      <w:tblPr>
        <w:tblStyle w:val="TableGrid"/>
        <w:tblW w:w="0" w:type="auto"/>
        <w:tblLook w:val="04A0" w:firstRow="1" w:lastRow="0" w:firstColumn="1" w:lastColumn="0" w:noHBand="0" w:noVBand="1"/>
      </w:tblPr>
      <w:tblGrid>
        <w:gridCol w:w="4531"/>
        <w:gridCol w:w="657"/>
        <w:gridCol w:w="888"/>
        <w:gridCol w:w="888"/>
        <w:gridCol w:w="888"/>
        <w:gridCol w:w="888"/>
        <w:gridCol w:w="888"/>
      </w:tblGrid>
      <w:tr w:rsidR="009027CE" w:rsidRPr="00B57F64" w:rsidTr="009027CE">
        <w:trPr>
          <w:trHeight w:val="300"/>
        </w:trPr>
        <w:tc>
          <w:tcPr>
            <w:tcW w:w="4531" w:type="dxa"/>
            <w:noWrap/>
            <w:hideMark/>
          </w:tcPr>
          <w:p w:rsidR="009027CE" w:rsidRPr="00734D26" w:rsidRDefault="009027CE" w:rsidP="009027CE">
            <w:pPr>
              <w:spacing w:after="120"/>
              <w:rPr>
                <w:rFonts w:eastAsia="Times New Roman"/>
                <w:color w:val="auto"/>
                <w:sz w:val="20"/>
                <w:szCs w:val="20"/>
                <w:lang w:val="en-AU"/>
              </w:rPr>
            </w:pPr>
            <w:r w:rsidRPr="00734D26">
              <w:rPr>
                <w:rFonts w:eastAsia="Times New Roman"/>
                <w:color w:val="auto"/>
                <w:sz w:val="20"/>
                <w:szCs w:val="20"/>
              </w:rPr>
              <w:t> </w:t>
            </w:r>
          </w:p>
        </w:tc>
        <w:tc>
          <w:tcPr>
            <w:tcW w:w="5097" w:type="dxa"/>
            <w:gridSpan w:val="6"/>
            <w:shd w:val="clear" w:color="auto" w:fill="DDECD0" w:themeFill="accent3" w:themeFillTint="66"/>
            <w:noWrap/>
            <w:hideMark/>
          </w:tcPr>
          <w:p w:rsidR="009027CE" w:rsidRPr="00734D26" w:rsidRDefault="009027CE" w:rsidP="009027CE">
            <w:pPr>
              <w:spacing w:after="120"/>
              <w:jc w:val="center"/>
              <w:rPr>
                <w:rFonts w:eastAsia="Times New Roman"/>
                <w:b/>
                <w:bCs/>
                <w:color w:val="auto"/>
                <w:sz w:val="20"/>
                <w:szCs w:val="20"/>
              </w:rPr>
            </w:pPr>
            <w:r w:rsidRPr="00734D26">
              <w:rPr>
                <w:rFonts w:eastAsia="Times New Roman"/>
                <w:b/>
                <w:bCs/>
                <w:color w:val="auto"/>
              </w:rPr>
              <w:t>Number of AQCs</w:t>
            </w:r>
          </w:p>
        </w:tc>
      </w:tr>
      <w:tr w:rsidR="009027CE" w:rsidRPr="00B57F64" w:rsidTr="009027CE">
        <w:trPr>
          <w:trHeight w:val="300"/>
        </w:trPr>
        <w:tc>
          <w:tcPr>
            <w:tcW w:w="4531" w:type="dxa"/>
            <w:shd w:val="clear" w:color="auto" w:fill="DDECD0" w:themeFill="accent3" w:themeFillTint="66"/>
            <w:noWrap/>
            <w:hideMark/>
          </w:tcPr>
          <w:p w:rsidR="009027CE" w:rsidRPr="00734D26" w:rsidRDefault="009027CE" w:rsidP="009027CE">
            <w:pPr>
              <w:spacing w:after="120"/>
              <w:rPr>
                <w:rFonts w:eastAsia="Times New Roman"/>
                <w:b/>
                <w:bCs/>
                <w:color w:val="auto"/>
                <w:sz w:val="20"/>
                <w:szCs w:val="20"/>
              </w:rPr>
            </w:pPr>
            <w:r w:rsidRPr="00734D26">
              <w:rPr>
                <w:rFonts w:eastAsia="Times New Roman"/>
                <w:b/>
                <w:bCs/>
                <w:color w:val="auto"/>
              </w:rPr>
              <w:t>AQC Criteria</w:t>
            </w:r>
          </w:p>
        </w:tc>
        <w:tc>
          <w:tcPr>
            <w:tcW w:w="657" w:type="dxa"/>
            <w:noWrap/>
            <w:hideMark/>
          </w:tcPr>
          <w:p w:rsidR="009027CE" w:rsidRPr="00734D26" w:rsidRDefault="009027CE" w:rsidP="009027CE">
            <w:pPr>
              <w:spacing w:after="120"/>
              <w:rPr>
                <w:rFonts w:eastAsia="Times New Roman"/>
                <w:b/>
                <w:bCs/>
                <w:color w:val="auto"/>
                <w:sz w:val="20"/>
                <w:szCs w:val="20"/>
              </w:rPr>
            </w:pPr>
            <w:r w:rsidRPr="00734D26">
              <w:rPr>
                <w:rFonts w:eastAsia="Times New Roman"/>
                <w:b/>
                <w:bCs/>
                <w:color w:val="auto"/>
                <w:sz w:val="20"/>
                <w:szCs w:val="20"/>
              </w:rPr>
              <w:t>1</w:t>
            </w:r>
          </w:p>
        </w:tc>
        <w:tc>
          <w:tcPr>
            <w:tcW w:w="888" w:type="dxa"/>
            <w:noWrap/>
            <w:hideMark/>
          </w:tcPr>
          <w:p w:rsidR="009027CE" w:rsidRPr="00734D26" w:rsidRDefault="009027CE" w:rsidP="009027CE">
            <w:pPr>
              <w:spacing w:after="120"/>
              <w:rPr>
                <w:rFonts w:eastAsia="Times New Roman"/>
                <w:b/>
                <w:bCs/>
                <w:color w:val="auto"/>
                <w:sz w:val="20"/>
                <w:szCs w:val="20"/>
              </w:rPr>
            </w:pPr>
            <w:r w:rsidRPr="00734D26">
              <w:rPr>
                <w:rFonts w:eastAsia="Times New Roman"/>
                <w:b/>
                <w:bCs/>
                <w:color w:val="auto"/>
                <w:sz w:val="20"/>
                <w:szCs w:val="20"/>
              </w:rPr>
              <w:t xml:space="preserve">2 </w:t>
            </w:r>
          </w:p>
        </w:tc>
        <w:tc>
          <w:tcPr>
            <w:tcW w:w="888" w:type="dxa"/>
            <w:noWrap/>
            <w:hideMark/>
          </w:tcPr>
          <w:p w:rsidR="009027CE" w:rsidRPr="00734D26" w:rsidRDefault="009027CE" w:rsidP="009027CE">
            <w:pPr>
              <w:spacing w:after="120"/>
              <w:rPr>
                <w:rFonts w:eastAsia="Times New Roman"/>
                <w:b/>
                <w:bCs/>
                <w:color w:val="auto"/>
                <w:sz w:val="20"/>
                <w:szCs w:val="20"/>
              </w:rPr>
            </w:pPr>
            <w:r w:rsidRPr="00734D26">
              <w:rPr>
                <w:rFonts w:eastAsia="Times New Roman"/>
                <w:b/>
                <w:bCs/>
                <w:color w:val="auto"/>
                <w:sz w:val="20"/>
                <w:szCs w:val="20"/>
              </w:rPr>
              <w:t>3</w:t>
            </w:r>
          </w:p>
        </w:tc>
        <w:tc>
          <w:tcPr>
            <w:tcW w:w="888" w:type="dxa"/>
            <w:noWrap/>
            <w:hideMark/>
          </w:tcPr>
          <w:p w:rsidR="009027CE" w:rsidRPr="00734D26" w:rsidRDefault="009027CE" w:rsidP="009027CE">
            <w:pPr>
              <w:spacing w:after="120"/>
              <w:rPr>
                <w:rFonts w:eastAsia="Times New Roman"/>
                <w:b/>
                <w:bCs/>
                <w:color w:val="auto"/>
                <w:sz w:val="20"/>
                <w:szCs w:val="20"/>
              </w:rPr>
            </w:pPr>
            <w:r w:rsidRPr="00734D26">
              <w:rPr>
                <w:rFonts w:eastAsia="Times New Roman"/>
                <w:b/>
                <w:bCs/>
                <w:color w:val="auto"/>
                <w:sz w:val="20"/>
                <w:szCs w:val="20"/>
              </w:rPr>
              <w:t>4</w:t>
            </w:r>
          </w:p>
        </w:tc>
        <w:tc>
          <w:tcPr>
            <w:tcW w:w="888" w:type="dxa"/>
            <w:noWrap/>
            <w:hideMark/>
          </w:tcPr>
          <w:p w:rsidR="009027CE" w:rsidRPr="00734D26" w:rsidRDefault="009027CE" w:rsidP="009027CE">
            <w:pPr>
              <w:spacing w:after="120"/>
              <w:rPr>
                <w:rFonts w:eastAsia="Times New Roman"/>
                <w:b/>
                <w:bCs/>
                <w:color w:val="auto"/>
                <w:sz w:val="20"/>
                <w:szCs w:val="20"/>
              </w:rPr>
            </w:pPr>
            <w:r w:rsidRPr="00734D26">
              <w:rPr>
                <w:rFonts w:eastAsia="Times New Roman"/>
                <w:b/>
                <w:bCs/>
                <w:color w:val="auto"/>
                <w:sz w:val="20"/>
                <w:szCs w:val="20"/>
              </w:rPr>
              <w:t>5</w:t>
            </w:r>
          </w:p>
        </w:tc>
        <w:tc>
          <w:tcPr>
            <w:tcW w:w="888" w:type="dxa"/>
            <w:noWrap/>
            <w:hideMark/>
          </w:tcPr>
          <w:p w:rsidR="009027CE" w:rsidRPr="00734D26" w:rsidRDefault="009027CE" w:rsidP="009027CE">
            <w:pPr>
              <w:spacing w:after="120"/>
              <w:rPr>
                <w:rFonts w:eastAsia="Times New Roman"/>
                <w:b/>
                <w:bCs/>
                <w:color w:val="auto"/>
                <w:sz w:val="20"/>
                <w:szCs w:val="20"/>
              </w:rPr>
            </w:pPr>
            <w:r w:rsidRPr="00734D26">
              <w:rPr>
                <w:rFonts w:eastAsia="Times New Roman"/>
                <w:b/>
                <w:bCs/>
                <w:color w:val="auto"/>
                <w:sz w:val="20"/>
                <w:szCs w:val="20"/>
              </w:rPr>
              <w:t>6</w:t>
            </w:r>
          </w:p>
        </w:tc>
      </w:tr>
      <w:tr w:rsidR="009027CE" w:rsidRPr="00B57F64" w:rsidTr="009027CE">
        <w:trPr>
          <w:trHeight w:val="834"/>
        </w:trPr>
        <w:tc>
          <w:tcPr>
            <w:tcW w:w="4531" w:type="dxa"/>
            <w:hideMark/>
          </w:tcPr>
          <w:p w:rsidR="009027CE" w:rsidRPr="00734D26" w:rsidRDefault="009027CE" w:rsidP="009027CE">
            <w:pPr>
              <w:spacing w:after="120"/>
              <w:rPr>
                <w:rFonts w:eastAsia="Times New Roman"/>
                <w:color w:val="auto"/>
                <w:sz w:val="20"/>
                <w:szCs w:val="20"/>
              </w:rPr>
            </w:pPr>
            <w:r w:rsidRPr="00734D26">
              <w:rPr>
                <w:rFonts w:eastAsia="Times New Roman"/>
                <w:color w:val="auto"/>
                <w:sz w:val="20"/>
                <w:szCs w:val="20"/>
              </w:rPr>
              <w:t>Investment actively involves people with disabilities/ disabled person's organisations in planning, implementing and monitoring and evaluation</w:t>
            </w:r>
          </w:p>
        </w:tc>
        <w:tc>
          <w:tcPr>
            <w:tcW w:w="657" w:type="dxa"/>
            <w:noWrap/>
            <w:hideMark/>
          </w:tcPr>
          <w:p w:rsidR="009027CE" w:rsidRPr="00734D26" w:rsidRDefault="009027CE" w:rsidP="009027CE">
            <w:pPr>
              <w:spacing w:after="120"/>
              <w:rPr>
                <w:rFonts w:eastAsia="Times New Roman"/>
                <w:color w:val="auto"/>
                <w:sz w:val="20"/>
                <w:szCs w:val="20"/>
              </w:rPr>
            </w:pPr>
            <w:r w:rsidRPr="00734D26">
              <w:rPr>
                <w:rFonts w:eastAsia="Times New Roman"/>
                <w:color w:val="auto"/>
                <w:sz w:val="20"/>
                <w:szCs w:val="20"/>
              </w:rPr>
              <w:t>0</w:t>
            </w:r>
          </w:p>
        </w:tc>
        <w:tc>
          <w:tcPr>
            <w:tcW w:w="888" w:type="dxa"/>
            <w:noWrap/>
            <w:hideMark/>
          </w:tcPr>
          <w:p w:rsidR="009027CE" w:rsidRPr="00734D26" w:rsidRDefault="009027CE" w:rsidP="009027CE">
            <w:pPr>
              <w:spacing w:after="120"/>
              <w:rPr>
                <w:rFonts w:eastAsia="Times New Roman"/>
                <w:color w:val="auto"/>
                <w:sz w:val="20"/>
                <w:szCs w:val="20"/>
              </w:rPr>
            </w:pPr>
            <w:r w:rsidRPr="00734D26">
              <w:rPr>
                <w:rFonts w:eastAsia="Times New Roman"/>
                <w:color w:val="auto"/>
                <w:sz w:val="20"/>
                <w:szCs w:val="20"/>
              </w:rPr>
              <w:t>0</w:t>
            </w:r>
          </w:p>
        </w:tc>
        <w:tc>
          <w:tcPr>
            <w:tcW w:w="888" w:type="dxa"/>
            <w:noWrap/>
            <w:hideMark/>
          </w:tcPr>
          <w:p w:rsidR="009027CE" w:rsidRPr="00734D26" w:rsidRDefault="009027CE" w:rsidP="009027CE">
            <w:pPr>
              <w:spacing w:after="120"/>
              <w:rPr>
                <w:rFonts w:eastAsia="Times New Roman"/>
                <w:color w:val="auto"/>
                <w:sz w:val="20"/>
                <w:szCs w:val="20"/>
              </w:rPr>
            </w:pPr>
            <w:r w:rsidRPr="00734D26">
              <w:rPr>
                <w:rFonts w:eastAsia="Times New Roman"/>
                <w:color w:val="auto"/>
                <w:sz w:val="20"/>
                <w:szCs w:val="20"/>
              </w:rPr>
              <w:t>2</w:t>
            </w:r>
          </w:p>
        </w:tc>
        <w:tc>
          <w:tcPr>
            <w:tcW w:w="888" w:type="dxa"/>
            <w:noWrap/>
            <w:hideMark/>
          </w:tcPr>
          <w:p w:rsidR="009027CE" w:rsidRPr="00734D26" w:rsidRDefault="009027CE" w:rsidP="009027CE">
            <w:pPr>
              <w:spacing w:after="120"/>
              <w:rPr>
                <w:rFonts w:eastAsia="Times New Roman"/>
                <w:color w:val="auto"/>
                <w:sz w:val="20"/>
                <w:szCs w:val="20"/>
              </w:rPr>
            </w:pPr>
            <w:r w:rsidRPr="00734D26">
              <w:rPr>
                <w:rFonts w:eastAsia="Times New Roman"/>
                <w:color w:val="auto"/>
                <w:sz w:val="20"/>
                <w:szCs w:val="20"/>
              </w:rPr>
              <w:t>7</w:t>
            </w:r>
          </w:p>
        </w:tc>
        <w:tc>
          <w:tcPr>
            <w:tcW w:w="888" w:type="dxa"/>
            <w:noWrap/>
            <w:hideMark/>
          </w:tcPr>
          <w:p w:rsidR="009027CE" w:rsidRPr="00734D26" w:rsidRDefault="009027CE" w:rsidP="009027CE">
            <w:pPr>
              <w:spacing w:after="120"/>
              <w:rPr>
                <w:rFonts w:eastAsia="Times New Roman"/>
                <w:color w:val="auto"/>
                <w:sz w:val="20"/>
                <w:szCs w:val="20"/>
              </w:rPr>
            </w:pPr>
            <w:r w:rsidRPr="00734D26">
              <w:rPr>
                <w:rFonts w:eastAsia="Times New Roman"/>
                <w:color w:val="auto"/>
                <w:sz w:val="20"/>
                <w:szCs w:val="20"/>
              </w:rPr>
              <w:t>5</w:t>
            </w:r>
          </w:p>
        </w:tc>
        <w:tc>
          <w:tcPr>
            <w:tcW w:w="888" w:type="dxa"/>
            <w:noWrap/>
            <w:hideMark/>
          </w:tcPr>
          <w:p w:rsidR="009027CE" w:rsidRPr="00734D26" w:rsidRDefault="009027CE" w:rsidP="009027CE">
            <w:pPr>
              <w:spacing w:after="120"/>
              <w:rPr>
                <w:rFonts w:eastAsia="Times New Roman"/>
                <w:color w:val="auto"/>
                <w:sz w:val="20"/>
                <w:szCs w:val="20"/>
              </w:rPr>
            </w:pPr>
            <w:r w:rsidRPr="00734D26">
              <w:rPr>
                <w:rFonts w:eastAsia="Times New Roman"/>
                <w:color w:val="auto"/>
                <w:sz w:val="20"/>
                <w:szCs w:val="20"/>
              </w:rPr>
              <w:t>0</w:t>
            </w:r>
          </w:p>
        </w:tc>
      </w:tr>
      <w:tr w:rsidR="009027CE" w:rsidRPr="00B57F64" w:rsidTr="009027CE">
        <w:trPr>
          <w:trHeight w:val="945"/>
        </w:trPr>
        <w:tc>
          <w:tcPr>
            <w:tcW w:w="4531" w:type="dxa"/>
            <w:hideMark/>
          </w:tcPr>
          <w:p w:rsidR="009027CE" w:rsidRPr="00734D26" w:rsidRDefault="009027CE" w:rsidP="009027CE">
            <w:pPr>
              <w:spacing w:after="120"/>
              <w:rPr>
                <w:rFonts w:eastAsia="Times New Roman"/>
                <w:color w:val="auto"/>
                <w:sz w:val="20"/>
                <w:szCs w:val="20"/>
              </w:rPr>
            </w:pPr>
            <w:r w:rsidRPr="00734D26">
              <w:rPr>
                <w:rFonts w:eastAsia="Times New Roman"/>
                <w:color w:val="auto"/>
                <w:sz w:val="20"/>
                <w:szCs w:val="20"/>
              </w:rPr>
              <w:t>Investment identifies and addresses barriers to inclusion and opportunities for participation for people with disabilities</w:t>
            </w:r>
          </w:p>
        </w:tc>
        <w:tc>
          <w:tcPr>
            <w:tcW w:w="657" w:type="dxa"/>
            <w:noWrap/>
            <w:hideMark/>
          </w:tcPr>
          <w:p w:rsidR="009027CE" w:rsidRPr="00734D26" w:rsidRDefault="009027CE" w:rsidP="009027CE">
            <w:pPr>
              <w:spacing w:after="120"/>
              <w:rPr>
                <w:rFonts w:eastAsia="Times New Roman"/>
                <w:color w:val="auto"/>
                <w:sz w:val="20"/>
                <w:szCs w:val="20"/>
              </w:rPr>
            </w:pPr>
            <w:r w:rsidRPr="00734D26">
              <w:rPr>
                <w:rFonts w:eastAsia="Times New Roman"/>
                <w:color w:val="auto"/>
                <w:sz w:val="20"/>
                <w:szCs w:val="20"/>
              </w:rPr>
              <w:t>0</w:t>
            </w:r>
          </w:p>
        </w:tc>
        <w:tc>
          <w:tcPr>
            <w:tcW w:w="888" w:type="dxa"/>
            <w:noWrap/>
            <w:hideMark/>
          </w:tcPr>
          <w:p w:rsidR="009027CE" w:rsidRPr="00734D26" w:rsidRDefault="009027CE" w:rsidP="009027CE">
            <w:pPr>
              <w:spacing w:after="120"/>
              <w:rPr>
                <w:rFonts w:eastAsia="Times New Roman"/>
                <w:color w:val="auto"/>
                <w:sz w:val="20"/>
                <w:szCs w:val="20"/>
              </w:rPr>
            </w:pPr>
            <w:r w:rsidRPr="00734D26">
              <w:rPr>
                <w:rFonts w:eastAsia="Times New Roman"/>
                <w:color w:val="auto"/>
                <w:sz w:val="20"/>
                <w:szCs w:val="20"/>
              </w:rPr>
              <w:t>0</w:t>
            </w:r>
          </w:p>
        </w:tc>
        <w:tc>
          <w:tcPr>
            <w:tcW w:w="888" w:type="dxa"/>
            <w:noWrap/>
            <w:hideMark/>
          </w:tcPr>
          <w:p w:rsidR="009027CE" w:rsidRPr="00734D26" w:rsidRDefault="009027CE" w:rsidP="009027CE">
            <w:pPr>
              <w:spacing w:after="120"/>
              <w:rPr>
                <w:rFonts w:eastAsia="Times New Roman"/>
                <w:color w:val="auto"/>
                <w:sz w:val="20"/>
                <w:szCs w:val="20"/>
              </w:rPr>
            </w:pPr>
            <w:r w:rsidRPr="00734D26">
              <w:rPr>
                <w:rFonts w:eastAsia="Times New Roman"/>
                <w:color w:val="auto"/>
                <w:sz w:val="20"/>
                <w:szCs w:val="20"/>
              </w:rPr>
              <w:t>1</w:t>
            </w:r>
          </w:p>
        </w:tc>
        <w:tc>
          <w:tcPr>
            <w:tcW w:w="888" w:type="dxa"/>
            <w:noWrap/>
            <w:hideMark/>
          </w:tcPr>
          <w:p w:rsidR="009027CE" w:rsidRPr="00734D26" w:rsidRDefault="009027CE" w:rsidP="009027CE">
            <w:pPr>
              <w:spacing w:after="120"/>
              <w:rPr>
                <w:rFonts w:eastAsia="Times New Roman"/>
                <w:color w:val="auto"/>
                <w:sz w:val="20"/>
                <w:szCs w:val="20"/>
              </w:rPr>
            </w:pPr>
            <w:r w:rsidRPr="00734D26">
              <w:rPr>
                <w:rFonts w:eastAsia="Times New Roman"/>
                <w:color w:val="auto"/>
                <w:sz w:val="20"/>
                <w:szCs w:val="20"/>
              </w:rPr>
              <w:t>5</w:t>
            </w:r>
          </w:p>
        </w:tc>
        <w:tc>
          <w:tcPr>
            <w:tcW w:w="888" w:type="dxa"/>
            <w:noWrap/>
            <w:hideMark/>
          </w:tcPr>
          <w:p w:rsidR="009027CE" w:rsidRPr="00734D26" w:rsidRDefault="009027CE" w:rsidP="009027CE">
            <w:pPr>
              <w:spacing w:after="120"/>
              <w:rPr>
                <w:rFonts w:eastAsia="Times New Roman"/>
                <w:color w:val="auto"/>
                <w:sz w:val="20"/>
                <w:szCs w:val="20"/>
              </w:rPr>
            </w:pPr>
            <w:r w:rsidRPr="00734D26">
              <w:rPr>
                <w:rFonts w:eastAsia="Times New Roman"/>
                <w:color w:val="auto"/>
                <w:sz w:val="20"/>
                <w:szCs w:val="20"/>
              </w:rPr>
              <w:t>7</w:t>
            </w:r>
          </w:p>
        </w:tc>
        <w:tc>
          <w:tcPr>
            <w:tcW w:w="888" w:type="dxa"/>
            <w:noWrap/>
            <w:hideMark/>
          </w:tcPr>
          <w:p w:rsidR="009027CE" w:rsidRPr="00734D26" w:rsidRDefault="009027CE" w:rsidP="009027CE">
            <w:pPr>
              <w:spacing w:after="120"/>
              <w:rPr>
                <w:rFonts w:eastAsia="Times New Roman"/>
                <w:color w:val="auto"/>
                <w:sz w:val="20"/>
                <w:szCs w:val="20"/>
              </w:rPr>
            </w:pPr>
            <w:r w:rsidRPr="00734D26">
              <w:rPr>
                <w:rFonts w:eastAsia="Times New Roman"/>
                <w:color w:val="auto"/>
                <w:sz w:val="20"/>
                <w:szCs w:val="20"/>
              </w:rPr>
              <w:t>1</w:t>
            </w:r>
          </w:p>
        </w:tc>
      </w:tr>
    </w:tbl>
    <w:p w:rsidR="009027CE" w:rsidRPr="00734D26" w:rsidRDefault="0037385E" w:rsidP="009027CE">
      <w:pPr>
        <w:spacing w:before="0" w:after="120" w:line="240" w:lineRule="auto"/>
        <w:rPr>
          <w:rFonts w:eastAsia="Times New Roman"/>
          <w:color w:val="auto"/>
          <w:sz w:val="16"/>
          <w:szCs w:val="16"/>
        </w:rPr>
      </w:pPr>
      <w:r>
        <w:rPr>
          <w:rFonts w:eastAsia="Times New Roman"/>
          <w:color w:val="auto"/>
          <w:sz w:val="16"/>
          <w:szCs w:val="16"/>
        </w:rPr>
        <w:t>Table 2</w:t>
      </w:r>
      <w:r w:rsidR="009027CE">
        <w:rPr>
          <w:rFonts w:eastAsia="Times New Roman"/>
          <w:color w:val="auto"/>
          <w:sz w:val="16"/>
          <w:szCs w:val="16"/>
        </w:rPr>
        <w:t>:</w:t>
      </w:r>
      <w:r w:rsidR="009027CE" w:rsidRPr="00734D26">
        <w:rPr>
          <w:rFonts w:eastAsia="Times New Roman"/>
          <w:color w:val="auto"/>
          <w:sz w:val="16"/>
          <w:szCs w:val="16"/>
        </w:rPr>
        <w:t xml:space="preserve"> </w:t>
      </w:r>
      <w:r w:rsidR="009027CE">
        <w:rPr>
          <w:rFonts w:eastAsia="Times New Roman"/>
          <w:color w:val="auto"/>
          <w:sz w:val="16"/>
          <w:szCs w:val="16"/>
        </w:rPr>
        <w:t>Source: DFAT Aid Quality Check assessments for Australia Award investments 2018-19 cycle (n=14)</w:t>
      </w:r>
    </w:p>
    <w:p w:rsidR="00B40C3E" w:rsidRPr="00D367B6" w:rsidRDefault="00B40C3E" w:rsidP="00BE6C6D">
      <w:pPr>
        <w:rPr>
          <w:sz w:val="32"/>
          <w:szCs w:val="32"/>
          <w:lang w:eastAsia="zh-CN"/>
        </w:rPr>
      </w:pPr>
      <w:r w:rsidRPr="00D367B6">
        <w:rPr>
          <w:sz w:val="32"/>
          <w:szCs w:val="32"/>
          <w:lang w:eastAsia="zh-CN"/>
        </w:rPr>
        <w:t>Global Tracer Facility</w:t>
      </w:r>
    </w:p>
    <w:p w:rsidR="00B40C3E" w:rsidRDefault="00B40C3E" w:rsidP="00B40C3E">
      <w:pPr>
        <w:rPr>
          <w:color w:val="auto"/>
          <w:lang w:val="en-AU"/>
        </w:rPr>
      </w:pPr>
      <w:r w:rsidRPr="00C70845">
        <w:rPr>
          <w:color w:val="auto"/>
          <w:lang w:val="en-AU"/>
        </w:rPr>
        <w:t xml:space="preserve">The Global Tracer Facility continued to be a key feature of the Australia Awards’ approach to monitoring and evaluation in 2018-19. </w:t>
      </w:r>
      <w:r w:rsidRPr="00D80810">
        <w:rPr>
          <w:color w:val="auto"/>
        </w:rPr>
        <w:t xml:space="preserve">The Global Tracer Facility was established in 2016 to provide </w:t>
      </w:r>
      <w:r>
        <w:rPr>
          <w:color w:val="auto"/>
        </w:rPr>
        <w:t xml:space="preserve">a </w:t>
      </w:r>
      <w:r w:rsidRPr="00D80810">
        <w:rPr>
          <w:color w:val="auto"/>
        </w:rPr>
        <w:t xml:space="preserve">consistent, standardised mechanism to generate high quality information on Australia Awards alumni, especially less recent alumni. </w:t>
      </w:r>
      <w:r w:rsidRPr="00C70845">
        <w:rPr>
          <w:color w:val="auto"/>
          <w:lang w:val="en-AU"/>
        </w:rPr>
        <w:t xml:space="preserve">The Tracer Survey is undertaken annually, focusing on a different cohort of alumni each year. Over its first three years of implementation, the Facility has completed three annual </w:t>
      </w:r>
      <w:r w:rsidR="00756E5D">
        <w:rPr>
          <w:color w:val="auto"/>
          <w:lang w:val="en-AU"/>
        </w:rPr>
        <w:t>G</w:t>
      </w:r>
      <w:r w:rsidRPr="00C70845">
        <w:rPr>
          <w:color w:val="auto"/>
          <w:lang w:val="en-AU"/>
        </w:rPr>
        <w:t>lobal</w:t>
      </w:r>
      <w:r>
        <w:rPr>
          <w:color w:val="auto"/>
          <w:lang w:val="en-AU"/>
        </w:rPr>
        <w:t xml:space="preserve"> </w:t>
      </w:r>
      <w:r w:rsidRPr="00C70845">
        <w:rPr>
          <w:color w:val="auto"/>
          <w:lang w:val="en-AU"/>
        </w:rPr>
        <w:t>Tracer Surveys, each focusing on a different time cohort of Australia Awards alumni and</w:t>
      </w:r>
      <w:r>
        <w:rPr>
          <w:color w:val="auto"/>
          <w:lang w:val="en-AU"/>
        </w:rPr>
        <w:t xml:space="preserve"> </w:t>
      </w:r>
      <w:r w:rsidRPr="00C70845">
        <w:rPr>
          <w:color w:val="auto"/>
          <w:lang w:val="en-AU"/>
        </w:rPr>
        <w:t xml:space="preserve">ultimately compiling a dataset of 6,370 alumni from as far back as the 1950s. </w:t>
      </w:r>
      <w:r>
        <w:rPr>
          <w:color w:val="auto"/>
          <w:lang w:val="en-AU"/>
        </w:rPr>
        <w:t xml:space="preserve">It has also </w:t>
      </w:r>
      <w:r w:rsidRPr="00C70845">
        <w:rPr>
          <w:color w:val="auto"/>
          <w:lang w:val="en-AU"/>
        </w:rPr>
        <w:t xml:space="preserve">produced </w:t>
      </w:r>
      <w:r w:rsidR="008856F6" w:rsidRPr="00C70845">
        <w:rPr>
          <w:color w:val="auto"/>
          <w:lang w:val="en-AU"/>
        </w:rPr>
        <w:t xml:space="preserve">country reports </w:t>
      </w:r>
      <w:r w:rsidRPr="00C70845">
        <w:rPr>
          <w:color w:val="auto"/>
          <w:lang w:val="en-AU"/>
        </w:rPr>
        <w:t>which are providing individual Australia Awards programs</w:t>
      </w:r>
      <w:r>
        <w:rPr>
          <w:color w:val="auto"/>
          <w:lang w:val="en-AU"/>
        </w:rPr>
        <w:t xml:space="preserve"> </w:t>
      </w:r>
      <w:r w:rsidRPr="00C70845">
        <w:rPr>
          <w:color w:val="auto"/>
          <w:lang w:val="en-AU"/>
        </w:rPr>
        <w:t xml:space="preserve">with </w:t>
      </w:r>
      <w:r w:rsidR="00756E5D">
        <w:rPr>
          <w:color w:val="auto"/>
          <w:lang w:val="en-AU"/>
        </w:rPr>
        <w:t xml:space="preserve">Global </w:t>
      </w:r>
      <w:r w:rsidRPr="00C70845">
        <w:rPr>
          <w:color w:val="auto"/>
          <w:lang w:val="en-AU"/>
        </w:rPr>
        <w:t xml:space="preserve">Tracer Survey data for their country. In addition, the Facility has produced 14 </w:t>
      </w:r>
      <w:r w:rsidR="008856F6" w:rsidRPr="00C70845">
        <w:rPr>
          <w:color w:val="auto"/>
          <w:lang w:val="en-AU"/>
        </w:rPr>
        <w:t>case</w:t>
      </w:r>
      <w:r w:rsidR="008856F6">
        <w:rPr>
          <w:color w:val="auto"/>
          <w:lang w:val="en-AU"/>
        </w:rPr>
        <w:t xml:space="preserve"> </w:t>
      </w:r>
      <w:r w:rsidR="008856F6" w:rsidRPr="00C70845">
        <w:rPr>
          <w:color w:val="auto"/>
          <w:lang w:val="en-AU"/>
        </w:rPr>
        <w:t xml:space="preserve">studies </w:t>
      </w:r>
      <w:r w:rsidRPr="00C70845">
        <w:rPr>
          <w:color w:val="auto"/>
          <w:lang w:val="en-AU"/>
        </w:rPr>
        <w:t>examining small cohorts of alumni in specific sectors and individual countries, with a</w:t>
      </w:r>
      <w:r>
        <w:rPr>
          <w:color w:val="auto"/>
          <w:lang w:val="en-AU"/>
        </w:rPr>
        <w:t xml:space="preserve"> </w:t>
      </w:r>
      <w:r w:rsidRPr="00C70845">
        <w:rPr>
          <w:color w:val="auto"/>
          <w:lang w:val="en-AU"/>
        </w:rPr>
        <w:t xml:space="preserve">further five </w:t>
      </w:r>
      <w:r w:rsidR="008856F6" w:rsidRPr="00C70845">
        <w:rPr>
          <w:color w:val="auto"/>
          <w:lang w:val="en-AU"/>
        </w:rPr>
        <w:t xml:space="preserve">case studies </w:t>
      </w:r>
      <w:r w:rsidRPr="00C70845">
        <w:rPr>
          <w:color w:val="auto"/>
          <w:lang w:val="en-AU"/>
        </w:rPr>
        <w:t>planned for 2019-20 (year 4).</w:t>
      </w:r>
      <w:r>
        <w:rPr>
          <w:color w:val="auto"/>
          <w:lang w:val="en-AU"/>
        </w:rPr>
        <w:t xml:space="preserve"> </w:t>
      </w:r>
    </w:p>
    <w:p w:rsidR="00B40C3E" w:rsidRDefault="00B40C3E" w:rsidP="00B40C3E">
      <w:pPr>
        <w:spacing w:line="240" w:lineRule="auto"/>
        <w:rPr>
          <w:color w:val="auto"/>
          <w:lang w:val="en-AU"/>
        </w:rPr>
      </w:pPr>
      <w:r>
        <w:rPr>
          <w:color w:val="auto"/>
          <w:lang w:val="en-AU"/>
        </w:rPr>
        <w:t xml:space="preserve">In 2019, the </w:t>
      </w:r>
      <w:r w:rsidR="00756E5D">
        <w:rPr>
          <w:color w:val="auto"/>
          <w:lang w:val="en-AU"/>
        </w:rPr>
        <w:t xml:space="preserve">Global </w:t>
      </w:r>
      <w:r>
        <w:rPr>
          <w:color w:val="auto"/>
          <w:lang w:val="en-AU"/>
        </w:rPr>
        <w:t xml:space="preserve">Tracer Facility was also </w:t>
      </w:r>
      <w:r w:rsidR="008856F6">
        <w:rPr>
          <w:color w:val="auto"/>
          <w:lang w:val="en-AU"/>
        </w:rPr>
        <w:t xml:space="preserve">reviewed, with the review finding </w:t>
      </w:r>
      <w:r>
        <w:rPr>
          <w:color w:val="auto"/>
          <w:lang w:val="en-AU"/>
        </w:rPr>
        <w:t xml:space="preserve">compelling reasons for DFAT to continue to invest in the Facility as the main mechanism evaluating post-award outcomes at the global level. The </w:t>
      </w:r>
      <w:r w:rsidR="008856F6">
        <w:rPr>
          <w:color w:val="auto"/>
          <w:lang w:val="en-AU"/>
        </w:rPr>
        <w:t xml:space="preserve">review found </w:t>
      </w:r>
      <w:r>
        <w:rPr>
          <w:color w:val="auto"/>
          <w:lang w:val="en-AU"/>
        </w:rPr>
        <w:t xml:space="preserve">that while the Facility </w:t>
      </w:r>
      <w:r w:rsidR="008856F6">
        <w:rPr>
          <w:color w:val="auto"/>
          <w:lang w:val="en-AU"/>
        </w:rPr>
        <w:t>was</w:t>
      </w:r>
      <w:r>
        <w:rPr>
          <w:color w:val="auto"/>
          <w:lang w:val="en-AU"/>
        </w:rPr>
        <w:t xml:space="preserve"> mostly achieving its objectives, the main gap in the Facility’s implementation ha</w:t>
      </w:r>
      <w:r w:rsidR="008856F6">
        <w:rPr>
          <w:color w:val="auto"/>
          <w:lang w:val="en-AU"/>
        </w:rPr>
        <w:t>d</w:t>
      </w:r>
      <w:r>
        <w:rPr>
          <w:color w:val="auto"/>
          <w:lang w:val="en-AU"/>
        </w:rPr>
        <w:t xml:space="preserve"> been the extent to which DFAT use</w:t>
      </w:r>
      <w:r w:rsidR="008856F6">
        <w:rPr>
          <w:color w:val="auto"/>
          <w:lang w:val="en-AU"/>
        </w:rPr>
        <w:t>d</w:t>
      </w:r>
      <w:r>
        <w:rPr>
          <w:color w:val="auto"/>
          <w:lang w:val="en-AU"/>
        </w:rPr>
        <w:t xml:space="preserve"> the research outputs, particularly at the bilateral and regional level</w:t>
      </w:r>
      <w:r w:rsidR="008856F6">
        <w:rPr>
          <w:color w:val="auto"/>
          <w:lang w:val="en-AU"/>
        </w:rPr>
        <w:t>s</w:t>
      </w:r>
      <w:r>
        <w:rPr>
          <w:color w:val="auto"/>
          <w:lang w:val="en-AU"/>
        </w:rPr>
        <w:t>. The review recommended that the Facility be extended for a further four years</w:t>
      </w:r>
      <w:r w:rsidR="008856F6">
        <w:rPr>
          <w:color w:val="auto"/>
          <w:lang w:val="en-AU"/>
        </w:rPr>
        <w:t xml:space="preserve">, with the </w:t>
      </w:r>
      <w:r>
        <w:rPr>
          <w:color w:val="auto"/>
          <w:lang w:val="en-AU"/>
        </w:rPr>
        <w:t xml:space="preserve">new phase </w:t>
      </w:r>
      <w:r w:rsidR="008856F6">
        <w:rPr>
          <w:color w:val="auto"/>
          <w:lang w:val="en-AU"/>
        </w:rPr>
        <w:t xml:space="preserve">to </w:t>
      </w:r>
      <w:r>
        <w:rPr>
          <w:color w:val="auto"/>
          <w:lang w:val="en-AU"/>
        </w:rPr>
        <w:t xml:space="preserve">be developed through a consultative scoping process. </w:t>
      </w:r>
    </w:p>
    <w:p w:rsidR="00600479" w:rsidRPr="00CF62AE" w:rsidRDefault="00600479" w:rsidP="00600479">
      <w:pPr>
        <w:rPr>
          <w:sz w:val="32"/>
          <w:szCs w:val="32"/>
          <w:lang w:eastAsia="zh-CN"/>
        </w:rPr>
      </w:pPr>
      <w:r w:rsidRPr="00CF62AE">
        <w:rPr>
          <w:sz w:val="32"/>
          <w:szCs w:val="32"/>
          <w:lang w:eastAsia="zh-CN"/>
        </w:rPr>
        <w:t>Performance of key delivery partners</w:t>
      </w:r>
    </w:p>
    <w:p w:rsidR="00E11B69" w:rsidRDefault="00C779FD" w:rsidP="00431E2C">
      <w:pPr>
        <w:rPr>
          <w:color w:val="000000" w:themeColor="text1"/>
        </w:rPr>
      </w:pPr>
      <w:r>
        <w:rPr>
          <w:color w:val="auto"/>
        </w:rPr>
        <w:t>The key d</w:t>
      </w:r>
      <w:r w:rsidR="002630E5" w:rsidRPr="00415AEF">
        <w:rPr>
          <w:color w:val="auto"/>
        </w:rPr>
        <w:t xml:space="preserve">elivery partners for the Australia Awards </w:t>
      </w:r>
      <w:r w:rsidR="0045310E" w:rsidRPr="00415AEF">
        <w:rPr>
          <w:color w:val="auto"/>
        </w:rPr>
        <w:t xml:space="preserve">in Australia are universities </w:t>
      </w:r>
      <w:r w:rsidR="00415AEF" w:rsidRPr="00415AEF">
        <w:rPr>
          <w:color w:val="auto"/>
        </w:rPr>
        <w:t xml:space="preserve">and other tertiary education institutions and at post are managing contractors. </w:t>
      </w:r>
      <w:r w:rsidR="00D02F84">
        <w:rPr>
          <w:color w:val="000000" w:themeColor="text1"/>
        </w:rPr>
        <w:t>Overall</w:t>
      </w:r>
      <w:r w:rsidR="008856F6">
        <w:rPr>
          <w:color w:val="000000" w:themeColor="text1"/>
        </w:rPr>
        <w:t xml:space="preserve">, the key delivery partners </w:t>
      </w:r>
      <w:r w:rsidR="00D02F84">
        <w:rPr>
          <w:color w:val="000000" w:themeColor="text1"/>
        </w:rPr>
        <w:t xml:space="preserve">performed well and DFAT was pro-active in resolving performance issues as they arose. </w:t>
      </w:r>
    </w:p>
    <w:p w:rsidR="00415AEF" w:rsidRPr="00415AEF" w:rsidRDefault="00415AEF" w:rsidP="00431E2C">
      <w:pPr>
        <w:rPr>
          <w:rFonts w:asciiTheme="majorHAnsi" w:hAnsiTheme="majorHAnsi"/>
          <w:color w:val="auto"/>
          <w:sz w:val="28"/>
          <w:szCs w:val="24"/>
        </w:rPr>
      </w:pPr>
      <w:r w:rsidRPr="00415AEF">
        <w:rPr>
          <w:rFonts w:asciiTheme="majorHAnsi" w:hAnsiTheme="majorHAnsi"/>
          <w:color w:val="auto"/>
          <w:sz w:val="28"/>
          <w:szCs w:val="24"/>
        </w:rPr>
        <w:t>Managing Contractors</w:t>
      </w:r>
    </w:p>
    <w:p w:rsidR="00117246" w:rsidRDefault="00C779FD" w:rsidP="00104B68">
      <w:pPr>
        <w:rPr>
          <w:color w:val="000000" w:themeColor="text1"/>
        </w:rPr>
      </w:pPr>
      <w:r>
        <w:rPr>
          <w:color w:val="000000" w:themeColor="text1"/>
        </w:rPr>
        <w:t>A number of different managing contractors are engaged across the program and the arrangements are tailored to suit local requirements.</w:t>
      </w:r>
      <w:r w:rsidR="00E11B69">
        <w:rPr>
          <w:color w:val="000000" w:themeColor="text1"/>
        </w:rPr>
        <w:t xml:space="preserve"> </w:t>
      </w:r>
    </w:p>
    <w:p w:rsidR="00117246" w:rsidRDefault="004B0E64" w:rsidP="00104B68">
      <w:pPr>
        <w:rPr>
          <w:color w:val="000000" w:themeColor="text1"/>
        </w:rPr>
      </w:pPr>
      <w:r>
        <w:rPr>
          <w:color w:val="000000" w:themeColor="text1"/>
        </w:rPr>
        <w:t xml:space="preserve">The managing contractor for the Australia Awards </w:t>
      </w:r>
      <w:r w:rsidRPr="004F3BAB">
        <w:rPr>
          <w:b/>
          <w:bCs/>
          <w:color w:val="000000" w:themeColor="text1"/>
        </w:rPr>
        <w:t>Africa</w:t>
      </w:r>
      <w:r>
        <w:rPr>
          <w:color w:val="000000" w:themeColor="text1"/>
        </w:rPr>
        <w:t xml:space="preserve"> program is Palladium International Pty Ltd</w:t>
      </w:r>
      <w:r w:rsidR="00B40C3E">
        <w:rPr>
          <w:color w:val="000000" w:themeColor="text1"/>
        </w:rPr>
        <w:t>. T</w:t>
      </w:r>
      <w:r>
        <w:rPr>
          <w:color w:val="000000" w:themeColor="text1"/>
        </w:rPr>
        <w:t>he program’s 2018-19 ACQ report</w:t>
      </w:r>
      <w:r w:rsidR="008856F6">
        <w:rPr>
          <w:color w:val="000000" w:themeColor="text1"/>
        </w:rPr>
        <w:t>ed</w:t>
      </w:r>
      <w:r>
        <w:rPr>
          <w:color w:val="000000" w:themeColor="text1"/>
        </w:rPr>
        <w:t xml:space="preserve"> that Palladium ha</w:t>
      </w:r>
      <w:r w:rsidR="008856F6">
        <w:rPr>
          <w:color w:val="000000" w:themeColor="text1"/>
        </w:rPr>
        <w:t>d</w:t>
      </w:r>
      <w:r>
        <w:rPr>
          <w:color w:val="000000" w:themeColor="text1"/>
        </w:rPr>
        <w:t xml:space="preserve"> developed strong relationships with stakeholders and strive</w:t>
      </w:r>
      <w:r w:rsidR="008856F6">
        <w:rPr>
          <w:color w:val="000000" w:themeColor="text1"/>
        </w:rPr>
        <w:t>d</w:t>
      </w:r>
      <w:r>
        <w:rPr>
          <w:color w:val="000000" w:themeColor="text1"/>
        </w:rPr>
        <w:t xml:space="preserve"> to demonstrate flexibility and responsiveness to meet DFAT’s </w:t>
      </w:r>
      <w:r w:rsidR="00EF1666">
        <w:rPr>
          <w:color w:val="000000" w:themeColor="text1"/>
        </w:rPr>
        <w:t xml:space="preserve">expectations, including </w:t>
      </w:r>
      <w:r w:rsidR="008856F6">
        <w:rPr>
          <w:color w:val="000000" w:themeColor="text1"/>
        </w:rPr>
        <w:t xml:space="preserve">by </w:t>
      </w:r>
      <w:r w:rsidR="00EF1666">
        <w:rPr>
          <w:color w:val="000000" w:themeColor="text1"/>
        </w:rPr>
        <w:t xml:space="preserve">assisting Posts with ad-hoc requests regarding alumni engagement activities. </w:t>
      </w:r>
      <w:r w:rsidR="00265AC3">
        <w:rPr>
          <w:color w:val="000000" w:themeColor="text1"/>
        </w:rPr>
        <w:t xml:space="preserve">A mid-term evaluation of the Africa program found the managing contractor </w:t>
      </w:r>
      <w:r w:rsidR="008856F6">
        <w:rPr>
          <w:color w:val="000000" w:themeColor="text1"/>
        </w:rPr>
        <w:t xml:space="preserve">had </w:t>
      </w:r>
      <w:r w:rsidR="00265AC3">
        <w:rPr>
          <w:color w:val="000000" w:themeColor="text1"/>
        </w:rPr>
        <w:t>deliver</w:t>
      </w:r>
      <w:r w:rsidR="008856F6">
        <w:rPr>
          <w:color w:val="000000" w:themeColor="text1"/>
        </w:rPr>
        <w:t>ed</w:t>
      </w:r>
      <w:r w:rsidR="00265AC3">
        <w:rPr>
          <w:color w:val="000000" w:themeColor="text1"/>
        </w:rPr>
        <w:t xml:space="preserve"> against the expected number of Awards in a timely manner. </w:t>
      </w:r>
    </w:p>
    <w:p w:rsidR="00C779FD" w:rsidRDefault="00104B68" w:rsidP="00104B68">
      <w:pPr>
        <w:rPr>
          <w:color w:val="000000" w:themeColor="text1"/>
        </w:rPr>
      </w:pPr>
      <w:r>
        <w:rPr>
          <w:color w:val="000000" w:themeColor="text1"/>
        </w:rPr>
        <w:t xml:space="preserve">During the year the Australia Awards in </w:t>
      </w:r>
      <w:r w:rsidRPr="00117246">
        <w:rPr>
          <w:b/>
          <w:bCs/>
          <w:color w:val="000000" w:themeColor="text1"/>
        </w:rPr>
        <w:t>Mongolia</w:t>
      </w:r>
      <w:r w:rsidRPr="00FB47E7">
        <w:rPr>
          <w:color w:val="000000" w:themeColor="text1"/>
        </w:rPr>
        <w:t xml:space="preserve"> </w:t>
      </w:r>
      <w:r>
        <w:rPr>
          <w:color w:val="000000" w:themeColor="text1"/>
        </w:rPr>
        <w:t xml:space="preserve">changed </w:t>
      </w:r>
      <w:r w:rsidR="008856F6">
        <w:rPr>
          <w:color w:val="000000" w:themeColor="text1"/>
        </w:rPr>
        <w:t xml:space="preserve">its </w:t>
      </w:r>
      <w:r>
        <w:rPr>
          <w:color w:val="000000" w:themeColor="text1"/>
        </w:rPr>
        <w:t>managing contractor to Scope Global</w:t>
      </w:r>
      <w:r w:rsidR="008856F6">
        <w:rPr>
          <w:color w:val="000000" w:themeColor="text1"/>
        </w:rPr>
        <w:t xml:space="preserve">, reporting that Scope Global had </w:t>
      </w:r>
      <w:r>
        <w:rPr>
          <w:color w:val="000000" w:themeColor="text1"/>
        </w:rPr>
        <w:t>ensure</w:t>
      </w:r>
      <w:r w:rsidR="008856F6">
        <w:rPr>
          <w:color w:val="000000" w:themeColor="text1"/>
        </w:rPr>
        <w:t>d</w:t>
      </w:r>
      <w:r>
        <w:rPr>
          <w:color w:val="000000" w:themeColor="text1"/>
        </w:rPr>
        <w:t xml:space="preserve"> a smooth transition and improved co-ordination and communication channels. </w:t>
      </w:r>
    </w:p>
    <w:p w:rsidR="00104B68" w:rsidRDefault="002B399C" w:rsidP="00104B68">
      <w:pPr>
        <w:rPr>
          <w:color w:val="auto"/>
        </w:rPr>
      </w:pPr>
      <w:r>
        <w:rPr>
          <w:color w:val="000000" w:themeColor="text1"/>
        </w:rPr>
        <w:t xml:space="preserve">The </w:t>
      </w:r>
      <w:r w:rsidRPr="00143940">
        <w:rPr>
          <w:b/>
          <w:color w:val="auto"/>
        </w:rPr>
        <w:t>Laos</w:t>
      </w:r>
      <w:r>
        <w:rPr>
          <w:color w:val="auto"/>
        </w:rPr>
        <w:t xml:space="preserve"> program reported that Coffe</w:t>
      </w:r>
      <w:r w:rsidR="00B40C3E">
        <w:rPr>
          <w:color w:val="auto"/>
        </w:rPr>
        <w:t>y</w:t>
      </w:r>
      <w:r>
        <w:rPr>
          <w:color w:val="auto"/>
        </w:rPr>
        <w:t xml:space="preserve"> International</w:t>
      </w:r>
      <w:r w:rsidR="008856F6">
        <w:rPr>
          <w:color w:val="auto"/>
        </w:rPr>
        <w:t xml:space="preserve"> had</w:t>
      </w:r>
      <w:r>
        <w:rPr>
          <w:color w:val="auto"/>
        </w:rPr>
        <w:t xml:space="preserve"> improved its overall staffing profile </w:t>
      </w:r>
      <w:r w:rsidR="008856F6">
        <w:rPr>
          <w:color w:val="auto"/>
        </w:rPr>
        <w:t xml:space="preserve">to ensure </w:t>
      </w:r>
      <w:r>
        <w:rPr>
          <w:color w:val="auto"/>
        </w:rPr>
        <w:t>the efficient delivery of outcomes</w:t>
      </w:r>
      <w:r w:rsidR="008856F6">
        <w:rPr>
          <w:color w:val="auto"/>
        </w:rPr>
        <w:t>,</w:t>
      </w:r>
      <w:r>
        <w:rPr>
          <w:color w:val="auto"/>
        </w:rPr>
        <w:t xml:space="preserve"> however </w:t>
      </w:r>
      <w:r w:rsidR="001E1C06">
        <w:rPr>
          <w:color w:val="auto"/>
        </w:rPr>
        <w:t xml:space="preserve">their </w:t>
      </w:r>
      <w:r>
        <w:rPr>
          <w:color w:val="auto"/>
        </w:rPr>
        <w:t xml:space="preserve">resourcing for communications, HRD and M&amp;E were somewhat </w:t>
      </w:r>
      <w:r w:rsidR="00B40C3E">
        <w:rPr>
          <w:color w:val="auto"/>
        </w:rPr>
        <w:t xml:space="preserve">insufficient </w:t>
      </w:r>
      <w:r>
        <w:rPr>
          <w:color w:val="auto"/>
        </w:rPr>
        <w:t xml:space="preserve">for most of the performance period. </w:t>
      </w:r>
    </w:p>
    <w:p w:rsidR="00734D26" w:rsidRDefault="00C779FD" w:rsidP="00C779FD">
      <w:pPr>
        <w:rPr>
          <w:color w:val="000000" w:themeColor="text1"/>
        </w:rPr>
      </w:pPr>
      <w:r>
        <w:rPr>
          <w:color w:val="000000" w:themeColor="text1"/>
        </w:rPr>
        <w:t xml:space="preserve">The program in the </w:t>
      </w:r>
      <w:r w:rsidRPr="004F3BAB">
        <w:rPr>
          <w:b/>
          <w:bCs/>
          <w:color w:val="000000" w:themeColor="text1"/>
        </w:rPr>
        <w:t>Solomon Islands</w:t>
      </w:r>
      <w:r>
        <w:rPr>
          <w:color w:val="000000" w:themeColor="text1"/>
        </w:rPr>
        <w:t xml:space="preserve"> </w:t>
      </w:r>
      <w:r w:rsidR="008856F6">
        <w:rPr>
          <w:color w:val="000000" w:themeColor="text1"/>
        </w:rPr>
        <w:t xml:space="preserve">reported it was </w:t>
      </w:r>
      <w:r>
        <w:rPr>
          <w:color w:val="000000" w:themeColor="text1"/>
        </w:rPr>
        <w:t>taking steps to outsource more of the day-to-day management of the program</w:t>
      </w:r>
      <w:r w:rsidR="008856F6">
        <w:rPr>
          <w:color w:val="000000" w:themeColor="text1"/>
        </w:rPr>
        <w:t xml:space="preserve"> to achieve efficiencies</w:t>
      </w:r>
      <w:r w:rsidR="00857233">
        <w:rPr>
          <w:color w:val="000000" w:themeColor="text1"/>
        </w:rPr>
        <w:t xml:space="preserve">. </w:t>
      </w:r>
    </w:p>
    <w:p w:rsidR="004F3BAB" w:rsidRPr="00415AEF" w:rsidRDefault="004F3BAB" w:rsidP="00104B68">
      <w:pPr>
        <w:rPr>
          <w:rFonts w:asciiTheme="majorHAnsi" w:hAnsiTheme="majorHAnsi"/>
          <w:color w:val="auto"/>
          <w:sz w:val="28"/>
          <w:szCs w:val="24"/>
        </w:rPr>
      </w:pPr>
      <w:r w:rsidRPr="00415AEF">
        <w:rPr>
          <w:rFonts w:asciiTheme="majorHAnsi" w:hAnsiTheme="majorHAnsi"/>
          <w:color w:val="auto"/>
          <w:sz w:val="28"/>
          <w:szCs w:val="24"/>
        </w:rPr>
        <w:t xml:space="preserve">Australian Universities and Institutions </w:t>
      </w:r>
    </w:p>
    <w:p w:rsidR="004F3BAB" w:rsidRDefault="00117246" w:rsidP="004F3BAB">
      <w:pPr>
        <w:rPr>
          <w:color w:val="000000" w:themeColor="text1"/>
        </w:rPr>
      </w:pPr>
      <w:r>
        <w:rPr>
          <w:color w:val="000000" w:themeColor="text1"/>
        </w:rPr>
        <w:t xml:space="preserve">Annex F provides details of the universities and institutions </w:t>
      </w:r>
      <w:r w:rsidR="008856F6">
        <w:rPr>
          <w:color w:val="000000" w:themeColor="text1"/>
        </w:rPr>
        <w:t>where</w:t>
      </w:r>
      <w:r>
        <w:rPr>
          <w:color w:val="000000" w:themeColor="text1"/>
        </w:rPr>
        <w:t xml:space="preserve"> Australia Awards student</w:t>
      </w:r>
      <w:r w:rsidR="008856F6">
        <w:rPr>
          <w:color w:val="000000" w:themeColor="text1"/>
        </w:rPr>
        <w:t>s</w:t>
      </w:r>
      <w:r>
        <w:rPr>
          <w:color w:val="000000" w:themeColor="text1"/>
        </w:rPr>
        <w:t xml:space="preserve"> are studying. </w:t>
      </w:r>
      <w:r w:rsidR="00104B68">
        <w:rPr>
          <w:color w:val="000000" w:themeColor="text1"/>
        </w:rPr>
        <w:t xml:space="preserve">The annual reports from the universities and institutions reflect an overall positive and committed approach to the success of Australia Awards students. One university noted that the achievements and performance of the Australia Awards students was significantly higher than that of the overall international student cohort.  </w:t>
      </w:r>
    </w:p>
    <w:p w:rsidR="00471172" w:rsidRDefault="008856F6" w:rsidP="00F11B25">
      <w:pPr>
        <w:rPr>
          <w:color w:val="auto"/>
        </w:rPr>
      </w:pPr>
      <w:r>
        <w:rPr>
          <w:color w:val="auto"/>
        </w:rPr>
        <w:t xml:space="preserve">DFAT provides participating </w:t>
      </w:r>
      <w:r w:rsidR="00F11B25">
        <w:rPr>
          <w:color w:val="auto"/>
        </w:rPr>
        <w:t>institution</w:t>
      </w:r>
      <w:r>
        <w:rPr>
          <w:color w:val="auto"/>
        </w:rPr>
        <w:t>s w</w:t>
      </w:r>
      <w:r w:rsidR="00F11B25">
        <w:rPr>
          <w:color w:val="auto"/>
        </w:rPr>
        <w:t xml:space="preserve">ith </w:t>
      </w:r>
      <w:r w:rsidR="00116640">
        <w:rPr>
          <w:color w:val="auto"/>
        </w:rPr>
        <w:t xml:space="preserve">an </w:t>
      </w:r>
      <w:r w:rsidR="00F11B25" w:rsidRPr="00143940">
        <w:rPr>
          <w:bCs/>
          <w:i/>
          <w:color w:val="auto"/>
        </w:rPr>
        <w:t>Australia Awards Scholarship Surveys Institution Report</w:t>
      </w:r>
      <w:r w:rsidR="00F11B25">
        <w:rPr>
          <w:color w:val="auto"/>
        </w:rPr>
        <w:t xml:space="preserve">. This report </w:t>
      </w:r>
      <w:r w:rsidR="00116640">
        <w:rPr>
          <w:color w:val="auto"/>
        </w:rPr>
        <w:t xml:space="preserve">contains </w:t>
      </w:r>
      <w:r w:rsidR="00F11B25">
        <w:rPr>
          <w:color w:val="auto"/>
        </w:rPr>
        <w:t xml:space="preserve">the results of the annual Arrival and Ongoing Surveys conducted in the previous calendar year. It gives the institutions the results across four key performance measures for which the educational institutions are required to receive at least an 80 per cent satisfied/very satisfied rating. The report provides </w:t>
      </w:r>
      <w:r w:rsidR="00D26207">
        <w:rPr>
          <w:color w:val="auto"/>
        </w:rPr>
        <w:t>institutions</w:t>
      </w:r>
      <w:r w:rsidR="00F11B25">
        <w:rPr>
          <w:color w:val="auto"/>
        </w:rPr>
        <w:t xml:space="preserve"> with detailed data on their students’ responses to the survey questions.</w:t>
      </w:r>
    </w:p>
    <w:p w:rsidR="00F11B25" w:rsidRDefault="00F11B25" w:rsidP="00F11B25">
      <w:pPr>
        <w:rPr>
          <w:color w:val="auto"/>
        </w:rPr>
      </w:pPr>
      <w:r>
        <w:rPr>
          <w:color w:val="auto"/>
        </w:rPr>
        <w:t xml:space="preserve">In response to the Survey Report, the institutions provide to DFAT an annual report in which they address the survey results, outline Awardee achievements, institution initiatives and provide DFAT with suggestions to improve the program. This is a valuable source of information about the achievements, outcomes and areas for improvement with the program. The quality and high level of achievement </w:t>
      </w:r>
      <w:r w:rsidR="00471172">
        <w:rPr>
          <w:color w:val="auto"/>
        </w:rPr>
        <w:t xml:space="preserve">of </w:t>
      </w:r>
      <w:r>
        <w:rPr>
          <w:color w:val="auto"/>
        </w:rPr>
        <w:t>awardees is reflected in these reports with many students receiving university awards and acknowledgement for their results. Many of the institutions have actively promoted the</w:t>
      </w:r>
      <w:r w:rsidR="00116640">
        <w:rPr>
          <w:color w:val="auto"/>
        </w:rPr>
        <w:t xml:space="preserve"> achievements of these students</w:t>
      </w:r>
      <w:r>
        <w:rPr>
          <w:color w:val="auto"/>
        </w:rPr>
        <w:t xml:space="preserve">. </w:t>
      </w:r>
    </w:p>
    <w:p w:rsidR="004F3BAB" w:rsidRDefault="004F3BAB" w:rsidP="004F3BAB">
      <w:pPr>
        <w:rPr>
          <w:color w:val="auto"/>
        </w:rPr>
      </w:pPr>
      <w:r>
        <w:rPr>
          <w:color w:val="auto"/>
        </w:rPr>
        <w:t xml:space="preserve">The Australian universities and institutions which have Australia Awards students tend to be quite proud of the students’ achievements and continue to explore ways to engage the students within </w:t>
      </w:r>
      <w:r w:rsidR="00471172">
        <w:rPr>
          <w:color w:val="auto"/>
        </w:rPr>
        <w:t xml:space="preserve">the </w:t>
      </w:r>
      <w:r>
        <w:rPr>
          <w:color w:val="auto"/>
        </w:rPr>
        <w:t xml:space="preserve">university and the wider community. A number of universities collaborate </w:t>
      </w:r>
      <w:r w:rsidR="00116640">
        <w:rPr>
          <w:color w:val="auto"/>
        </w:rPr>
        <w:t xml:space="preserve">on </w:t>
      </w:r>
      <w:r>
        <w:rPr>
          <w:color w:val="auto"/>
        </w:rPr>
        <w:t xml:space="preserve">the delivery of their Australia Awards programs with the aim of widening the students’ networks and experiences. </w:t>
      </w:r>
    </w:p>
    <w:p w:rsidR="009F2C22" w:rsidRDefault="009F2C22" w:rsidP="00431E2C">
      <w:pPr>
        <w:rPr>
          <w:color w:val="000000" w:themeColor="text1"/>
        </w:rPr>
      </w:pPr>
      <w:r>
        <w:rPr>
          <w:color w:val="000000" w:themeColor="text1"/>
        </w:rPr>
        <w:t xml:space="preserve">The </w:t>
      </w:r>
      <w:r w:rsidR="004F3BAB" w:rsidRPr="004F3BAB">
        <w:rPr>
          <w:i/>
          <w:iCs/>
          <w:color w:val="000000" w:themeColor="text1"/>
        </w:rPr>
        <w:t>2018 Australia Awards Scholarships Survey</w:t>
      </w:r>
      <w:r w:rsidR="004F3BAB">
        <w:rPr>
          <w:i/>
          <w:iCs/>
          <w:color w:val="000000" w:themeColor="text1"/>
        </w:rPr>
        <w:t xml:space="preserve"> </w:t>
      </w:r>
      <w:r>
        <w:rPr>
          <w:color w:val="000000" w:themeColor="text1"/>
        </w:rPr>
        <w:t>indicated high satisfaction levels with the facilities and services at their Australian educational institution. Satisfaction levels were 90 per cent o</w:t>
      </w:r>
      <w:r w:rsidR="00A5442A">
        <w:rPr>
          <w:color w:val="000000" w:themeColor="text1"/>
        </w:rPr>
        <w:t>r</w:t>
      </w:r>
      <w:r>
        <w:rPr>
          <w:color w:val="000000" w:themeColor="text1"/>
        </w:rPr>
        <w:t xml:space="preserve"> higher in relation to library, Student Contact Officer support services, computer skills, international student support services, and academic skills services. Student</w:t>
      </w:r>
      <w:r w:rsidR="00471172">
        <w:rPr>
          <w:color w:val="000000" w:themeColor="text1"/>
        </w:rPr>
        <w:t>s</w:t>
      </w:r>
      <w:r>
        <w:rPr>
          <w:color w:val="000000" w:themeColor="text1"/>
        </w:rPr>
        <w:t xml:space="preserve"> reported being least satisfied with childcare facilities (62 per cent for new arrivals and 70 per cent for ongoing students), legal advice (77 per cent and 72 per cent) and disability services (83 per cent and 75 per cent).</w:t>
      </w:r>
    </w:p>
    <w:p w:rsidR="00EA57B0" w:rsidRDefault="00EA57B0">
      <w:pPr>
        <w:suppressAutoHyphens w:val="0"/>
        <w:spacing w:before="0" w:after="120" w:line="440" w:lineRule="atLeast"/>
        <w:rPr>
          <w:rFonts w:asciiTheme="majorHAnsi" w:eastAsiaTheme="majorEastAsia" w:hAnsiTheme="majorHAnsi" w:cstheme="majorBidi"/>
          <w:caps/>
          <w:sz w:val="38"/>
          <w:szCs w:val="26"/>
        </w:rPr>
      </w:pPr>
      <w:r>
        <w:br w:type="page"/>
      </w:r>
    </w:p>
    <w:p w:rsidR="002A51CA" w:rsidRPr="002A51CA" w:rsidRDefault="002A51CA" w:rsidP="00CF62AE">
      <w:pPr>
        <w:pStyle w:val="Heading2"/>
        <w:spacing w:before="360" w:line="300" w:lineRule="exact"/>
      </w:pPr>
      <w:r w:rsidRPr="002A51CA">
        <w:t>Risks</w:t>
      </w:r>
    </w:p>
    <w:p w:rsidR="002A51CA" w:rsidRPr="008C2F58" w:rsidRDefault="002A51CA" w:rsidP="002A51CA">
      <w:pPr>
        <w:rPr>
          <w:b/>
          <w:sz w:val="24"/>
        </w:rPr>
      </w:pPr>
      <w:r w:rsidRPr="00630B13">
        <w:rPr>
          <w:b/>
          <w:sz w:val="24"/>
        </w:rPr>
        <w:t xml:space="preserve">Table </w:t>
      </w:r>
      <w:r w:rsidR="00E13317">
        <w:rPr>
          <w:b/>
          <w:sz w:val="24"/>
        </w:rPr>
        <w:t>3</w:t>
      </w:r>
      <w:r w:rsidR="00332EC9">
        <w:rPr>
          <w:b/>
          <w:sz w:val="24"/>
        </w:rPr>
        <w:t>:</w:t>
      </w:r>
      <w:r w:rsidRPr="008C2F58">
        <w:rPr>
          <w:b/>
          <w:sz w:val="24"/>
        </w:rPr>
        <w:t xml:space="preserve"> Management of Key Risks to Achieving Objectives</w:t>
      </w:r>
    </w:p>
    <w:tbl>
      <w:tblPr>
        <w:tblStyle w:val="AP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34"/>
        <w:gridCol w:w="2337"/>
        <w:gridCol w:w="2460"/>
        <w:gridCol w:w="1263"/>
        <w:gridCol w:w="1234"/>
      </w:tblGrid>
      <w:tr w:rsidR="002A6AC8" w:rsidRPr="00C61187" w:rsidTr="002630E5">
        <w:tc>
          <w:tcPr>
            <w:tcW w:w="2292" w:type="dxa"/>
            <w:hideMark/>
          </w:tcPr>
          <w:p w:rsidR="002A6AC8" w:rsidRPr="00BE6C6D" w:rsidRDefault="002A6AC8" w:rsidP="00EA4BE3">
            <w:pPr>
              <w:spacing w:line="240" w:lineRule="auto"/>
              <w:rPr>
                <w:rFonts w:asciiTheme="minorHAnsi" w:hAnsiTheme="minorHAnsi"/>
                <w:b/>
              </w:rPr>
            </w:pPr>
            <w:r w:rsidRPr="00BE6C6D">
              <w:rPr>
                <w:rFonts w:asciiTheme="minorHAnsi" w:hAnsiTheme="minorHAnsi"/>
                <w:b/>
              </w:rPr>
              <w:t>Key risks</w:t>
            </w:r>
            <w:r w:rsidR="004F7208">
              <w:rPr>
                <w:rFonts w:asciiTheme="minorHAnsi" w:hAnsiTheme="minorHAnsi"/>
                <w:b/>
              </w:rPr>
              <w:t xml:space="preserve"> (emerging and ongoing)</w:t>
            </w:r>
          </w:p>
        </w:tc>
        <w:tc>
          <w:tcPr>
            <w:tcW w:w="2309" w:type="dxa"/>
          </w:tcPr>
          <w:p w:rsidR="002A6AC8" w:rsidRPr="00BE6C6D" w:rsidRDefault="002A6AC8" w:rsidP="00EA4BE3">
            <w:pPr>
              <w:spacing w:line="240" w:lineRule="auto"/>
              <w:rPr>
                <w:rFonts w:asciiTheme="minorHAnsi" w:hAnsiTheme="minorHAnsi"/>
                <w:b/>
              </w:rPr>
            </w:pPr>
            <w:r w:rsidRPr="00BE6C6D">
              <w:rPr>
                <w:rFonts w:asciiTheme="minorHAnsi" w:hAnsiTheme="minorHAnsi"/>
                <w:b/>
              </w:rPr>
              <w:t>What actions were taken to manage the risks over the past year?</w:t>
            </w:r>
          </w:p>
        </w:tc>
        <w:tc>
          <w:tcPr>
            <w:tcW w:w="2432" w:type="dxa"/>
          </w:tcPr>
          <w:p w:rsidR="002A6AC8" w:rsidRPr="00BE6C6D" w:rsidRDefault="002A6AC8" w:rsidP="00EA4BE3">
            <w:pPr>
              <w:spacing w:line="240" w:lineRule="auto"/>
              <w:rPr>
                <w:rFonts w:asciiTheme="minorHAnsi" w:hAnsiTheme="minorHAnsi"/>
                <w:b/>
              </w:rPr>
            </w:pPr>
            <w:r w:rsidRPr="00BE6C6D">
              <w:rPr>
                <w:rFonts w:asciiTheme="minorHAnsi" w:hAnsiTheme="minorHAnsi"/>
                <w:b/>
              </w:rPr>
              <w:t>What further actions will be taken to manage the risks in the coming year?</w:t>
            </w:r>
          </w:p>
        </w:tc>
        <w:tc>
          <w:tcPr>
            <w:tcW w:w="1235" w:type="dxa"/>
          </w:tcPr>
          <w:p w:rsidR="002A6AC8" w:rsidRPr="00BE6C6D" w:rsidRDefault="004F7208" w:rsidP="00EA4BE3">
            <w:pPr>
              <w:spacing w:line="240" w:lineRule="auto"/>
              <w:rPr>
                <w:rFonts w:asciiTheme="minorHAnsi" w:hAnsiTheme="minorHAnsi"/>
                <w:b/>
              </w:rPr>
            </w:pPr>
            <w:r>
              <w:rPr>
                <w:rFonts w:asciiTheme="minorHAnsi" w:hAnsiTheme="minorHAnsi"/>
                <w:b/>
              </w:rPr>
              <w:t>P</w:t>
            </w:r>
            <w:r w:rsidR="002A6AC8" w:rsidRPr="00BE6C6D">
              <w:rPr>
                <w:rFonts w:asciiTheme="minorHAnsi" w:hAnsiTheme="minorHAnsi"/>
                <w:b/>
              </w:rPr>
              <w:t>rovide a Risk Rating (low, medium, high, very high)</w:t>
            </w:r>
          </w:p>
        </w:tc>
        <w:tc>
          <w:tcPr>
            <w:tcW w:w="1192" w:type="dxa"/>
          </w:tcPr>
          <w:p w:rsidR="002A6AC8" w:rsidRPr="00BE6C6D" w:rsidRDefault="0043564E" w:rsidP="00EA4BE3">
            <w:pPr>
              <w:spacing w:line="240" w:lineRule="auto"/>
              <w:rPr>
                <w:b/>
              </w:rPr>
            </w:pPr>
            <w:r>
              <w:rPr>
                <w:b/>
              </w:rPr>
              <w:t xml:space="preserve">Are </w:t>
            </w:r>
            <w:r w:rsidR="002A6AC8">
              <w:rPr>
                <w:b/>
              </w:rPr>
              <w:t xml:space="preserve">these same risks </w:t>
            </w:r>
            <w:r>
              <w:rPr>
                <w:b/>
              </w:rPr>
              <w:t xml:space="preserve">in in </w:t>
            </w:r>
            <w:r w:rsidR="002A6AC8">
              <w:rPr>
                <w:b/>
              </w:rPr>
              <w:t>Post’s Risk Register (Yes/No)*</w:t>
            </w:r>
          </w:p>
        </w:tc>
      </w:tr>
      <w:tr w:rsidR="002A6AC8" w:rsidRPr="00C61187" w:rsidTr="002630E5">
        <w:tc>
          <w:tcPr>
            <w:tcW w:w="2292" w:type="dxa"/>
            <w:hideMark/>
          </w:tcPr>
          <w:p w:rsidR="002A6AC8" w:rsidRPr="00EA4BE3" w:rsidRDefault="00EA4BE3" w:rsidP="00EA4BE3">
            <w:pPr>
              <w:keepLines/>
              <w:spacing w:before="40" w:after="40" w:line="200" w:lineRule="atLeast"/>
              <w:rPr>
                <w:rFonts w:eastAsia="Times New Roman"/>
                <w:iCs/>
                <w:szCs w:val="17"/>
                <w:lang w:eastAsia="en-US"/>
              </w:rPr>
            </w:pPr>
            <w:r>
              <w:rPr>
                <w:rFonts w:eastAsia="Times New Roman"/>
                <w:iCs/>
                <w:szCs w:val="17"/>
                <w:lang w:eastAsia="en-US"/>
              </w:rPr>
              <w:t>Decentralised management of Australia Awards risks the integrity of the global Australia Awards investment due to inconsistent processes and policies</w:t>
            </w:r>
            <w:r w:rsidR="003A3956">
              <w:rPr>
                <w:rFonts w:eastAsia="Times New Roman"/>
                <w:iCs/>
                <w:szCs w:val="17"/>
                <w:lang w:eastAsia="en-US"/>
              </w:rPr>
              <w:t>.</w:t>
            </w:r>
          </w:p>
        </w:tc>
        <w:tc>
          <w:tcPr>
            <w:tcW w:w="2309" w:type="dxa"/>
          </w:tcPr>
          <w:p w:rsidR="00E855E6" w:rsidRDefault="00E855E6" w:rsidP="00EA4BE3">
            <w:pPr>
              <w:keepLines/>
              <w:spacing w:before="40" w:after="40" w:line="200" w:lineRule="atLeast"/>
              <w:rPr>
                <w:rFonts w:eastAsia="Times New Roman"/>
                <w:iCs/>
                <w:szCs w:val="17"/>
                <w:lang w:eastAsia="en-US"/>
              </w:rPr>
            </w:pPr>
            <w:r>
              <w:rPr>
                <w:rFonts w:eastAsia="Times New Roman"/>
                <w:iCs/>
                <w:szCs w:val="17"/>
                <w:lang w:eastAsia="en-US"/>
              </w:rPr>
              <w:t>Australia Awards Global Strategy, MEF and Policy Handbook seek to ensure consistency of the Australia Awards cycle and application of policies and procedures.</w:t>
            </w:r>
          </w:p>
          <w:p w:rsidR="00E855E6" w:rsidRDefault="00E855E6" w:rsidP="00EA4BE3">
            <w:pPr>
              <w:keepLines/>
              <w:spacing w:before="40" w:after="40" w:line="200" w:lineRule="atLeast"/>
              <w:rPr>
                <w:rFonts w:eastAsia="Times New Roman"/>
                <w:iCs/>
                <w:szCs w:val="17"/>
                <w:lang w:eastAsia="en-US"/>
              </w:rPr>
            </w:pPr>
          </w:p>
          <w:p w:rsidR="002A6AC8" w:rsidRPr="00EA4BE3" w:rsidRDefault="00EA4BE3" w:rsidP="00E855E6">
            <w:pPr>
              <w:keepLines/>
              <w:spacing w:before="40" w:after="40" w:line="200" w:lineRule="atLeast"/>
              <w:rPr>
                <w:rFonts w:eastAsia="Times New Roman"/>
                <w:iCs/>
                <w:szCs w:val="17"/>
                <w:lang w:eastAsia="en-US"/>
              </w:rPr>
            </w:pPr>
            <w:r>
              <w:rPr>
                <w:rFonts w:eastAsia="Times New Roman"/>
                <w:iCs/>
                <w:szCs w:val="17"/>
                <w:lang w:eastAsia="en-US"/>
              </w:rPr>
              <w:t xml:space="preserve">Evaluation of the Australia Awards Global Strategy, </w:t>
            </w:r>
            <w:r w:rsidR="00E855E6">
              <w:rPr>
                <w:rFonts w:eastAsia="Times New Roman"/>
                <w:iCs/>
                <w:szCs w:val="17"/>
                <w:lang w:eastAsia="en-US"/>
              </w:rPr>
              <w:t xml:space="preserve">Review </w:t>
            </w:r>
            <w:r>
              <w:rPr>
                <w:rFonts w:eastAsia="Times New Roman"/>
                <w:iCs/>
                <w:szCs w:val="17"/>
                <w:lang w:eastAsia="en-US"/>
              </w:rPr>
              <w:t>of the Global Tracer Facility</w:t>
            </w:r>
          </w:p>
        </w:tc>
        <w:tc>
          <w:tcPr>
            <w:tcW w:w="2432" w:type="dxa"/>
          </w:tcPr>
          <w:p w:rsidR="002A6AC8" w:rsidRDefault="00EA4BE3" w:rsidP="00E855E6">
            <w:pPr>
              <w:keepLines/>
              <w:spacing w:before="40" w:after="40" w:line="200" w:lineRule="atLeast"/>
              <w:rPr>
                <w:rFonts w:eastAsia="Times New Roman"/>
                <w:iCs/>
                <w:szCs w:val="17"/>
                <w:lang w:eastAsia="en-US"/>
              </w:rPr>
            </w:pPr>
            <w:r>
              <w:rPr>
                <w:rFonts w:eastAsia="Times New Roman"/>
                <w:iCs/>
                <w:szCs w:val="17"/>
                <w:lang w:eastAsia="en-US"/>
              </w:rPr>
              <w:t xml:space="preserve">Implementation of the recommendations from the Evaluation of the Australia Awards Global Strategy </w:t>
            </w:r>
          </w:p>
          <w:p w:rsidR="00E855E6" w:rsidRPr="00EA4BE3" w:rsidRDefault="00E855E6" w:rsidP="00E855E6">
            <w:pPr>
              <w:keepLines/>
              <w:spacing w:before="40" w:after="40" w:line="200" w:lineRule="atLeast"/>
              <w:rPr>
                <w:rFonts w:eastAsia="Times New Roman"/>
                <w:iCs/>
                <w:szCs w:val="17"/>
                <w:lang w:eastAsia="en-US"/>
              </w:rPr>
            </w:pPr>
            <w:r>
              <w:rPr>
                <w:rFonts w:eastAsia="Times New Roman"/>
                <w:iCs/>
                <w:szCs w:val="17"/>
                <w:lang w:eastAsia="en-US"/>
              </w:rPr>
              <w:t>Development of management response to review of the Global Tracer Facility</w:t>
            </w:r>
          </w:p>
        </w:tc>
        <w:tc>
          <w:tcPr>
            <w:tcW w:w="1235" w:type="dxa"/>
          </w:tcPr>
          <w:p w:rsidR="002A6AC8" w:rsidRPr="00EA4BE3" w:rsidRDefault="00EA4BE3" w:rsidP="00EA4BE3">
            <w:pPr>
              <w:keepLines/>
              <w:spacing w:before="40" w:after="40" w:line="200" w:lineRule="atLeast"/>
              <w:rPr>
                <w:rFonts w:eastAsia="Times New Roman"/>
                <w:iCs/>
                <w:szCs w:val="17"/>
                <w:lang w:eastAsia="en-US"/>
              </w:rPr>
            </w:pPr>
            <w:r>
              <w:rPr>
                <w:rFonts w:eastAsia="Times New Roman"/>
                <w:iCs/>
                <w:szCs w:val="17"/>
                <w:lang w:eastAsia="en-US"/>
              </w:rPr>
              <w:t>Medium</w:t>
            </w:r>
          </w:p>
        </w:tc>
        <w:tc>
          <w:tcPr>
            <w:tcW w:w="1192" w:type="dxa"/>
          </w:tcPr>
          <w:p w:rsidR="002A6AC8" w:rsidRPr="00EA4BE3" w:rsidRDefault="00EA4BE3" w:rsidP="00EA4BE3">
            <w:pPr>
              <w:keepLines/>
              <w:spacing w:before="40" w:after="40" w:line="200" w:lineRule="atLeast"/>
              <w:rPr>
                <w:rFonts w:eastAsia="Times New Roman"/>
                <w:iCs/>
                <w:szCs w:val="17"/>
                <w:lang w:eastAsia="en-US"/>
              </w:rPr>
            </w:pPr>
            <w:r>
              <w:rPr>
                <w:rFonts w:eastAsia="Times New Roman"/>
                <w:iCs/>
                <w:szCs w:val="17"/>
                <w:lang w:eastAsia="en-US"/>
              </w:rPr>
              <w:t>N/A</w:t>
            </w:r>
          </w:p>
        </w:tc>
      </w:tr>
      <w:tr w:rsidR="002A6AC8" w:rsidRPr="00C61187" w:rsidTr="002630E5">
        <w:tc>
          <w:tcPr>
            <w:tcW w:w="2292" w:type="dxa"/>
            <w:hideMark/>
          </w:tcPr>
          <w:p w:rsidR="002A6AC8" w:rsidRPr="00C61187" w:rsidRDefault="00EA4BE3" w:rsidP="00D15A00">
            <w:pPr>
              <w:keepLines/>
              <w:spacing w:before="40" w:after="40" w:line="200" w:lineRule="atLeast"/>
              <w:rPr>
                <w:rFonts w:eastAsia="Times New Roman"/>
                <w:iCs/>
                <w:szCs w:val="17"/>
                <w:lang w:eastAsia="en-US"/>
              </w:rPr>
            </w:pPr>
            <w:r>
              <w:rPr>
                <w:rFonts w:eastAsia="Times New Roman"/>
                <w:iCs/>
                <w:szCs w:val="17"/>
                <w:lang w:eastAsia="en-US"/>
              </w:rPr>
              <w:t>Inadequate budget is available to fund the number of scholarships offered.</w:t>
            </w:r>
          </w:p>
        </w:tc>
        <w:tc>
          <w:tcPr>
            <w:tcW w:w="2309" w:type="dxa"/>
          </w:tcPr>
          <w:p w:rsidR="002A6AC8" w:rsidRDefault="00EA4BE3" w:rsidP="00D15A00">
            <w:pPr>
              <w:keepLines/>
              <w:spacing w:before="40" w:after="40" w:line="200" w:lineRule="atLeast"/>
              <w:rPr>
                <w:rFonts w:eastAsia="Times New Roman"/>
                <w:iCs/>
                <w:szCs w:val="17"/>
                <w:lang w:eastAsia="en-US"/>
              </w:rPr>
            </w:pPr>
            <w:r>
              <w:rPr>
                <w:rFonts w:eastAsia="Times New Roman"/>
                <w:iCs/>
                <w:szCs w:val="17"/>
                <w:lang w:eastAsia="en-US"/>
              </w:rPr>
              <w:t>SCB clearly communicates with country and regional programs</w:t>
            </w:r>
            <w:r w:rsidR="003A3956">
              <w:rPr>
                <w:rFonts w:eastAsia="Times New Roman"/>
                <w:iCs/>
                <w:szCs w:val="17"/>
                <w:lang w:eastAsia="en-US"/>
              </w:rPr>
              <w:t xml:space="preserve"> about their annual allocation.</w:t>
            </w:r>
          </w:p>
          <w:p w:rsidR="003A3956" w:rsidRDefault="003A3956" w:rsidP="00D15A00">
            <w:pPr>
              <w:keepLines/>
              <w:spacing w:before="40" w:after="40" w:line="200" w:lineRule="atLeast"/>
              <w:rPr>
                <w:rFonts w:eastAsia="Times New Roman"/>
                <w:iCs/>
                <w:szCs w:val="17"/>
                <w:lang w:eastAsia="en-US"/>
              </w:rPr>
            </w:pPr>
          </w:p>
          <w:p w:rsidR="003A3956" w:rsidRPr="00C61187" w:rsidRDefault="003A3956" w:rsidP="00D15A00">
            <w:pPr>
              <w:keepLines/>
              <w:spacing w:before="40" w:after="40" w:line="200" w:lineRule="atLeast"/>
              <w:rPr>
                <w:rFonts w:eastAsia="Times New Roman"/>
                <w:iCs/>
                <w:szCs w:val="17"/>
                <w:lang w:eastAsia="en-US"/>
              </w:rPr>
            </w:pPr>
            <w:r>
              <w:rPr>
                <w:rFonts w:eastAsia="Times New Roman"/>
                <w:iCs/>
                <w:szCs w:val="17"/>
                <w:lang w:eastAsia="en-US"/>
              </w:rPr>
              <w:t>Close monitoring of annual allocation and expenditure</w:t>
            </w:r>
          </w:p>
        </w:tc>
        <w:tc>
          <w:tcPr>
            <w:tcW w:w="2432" w:type="dxa"/>
          </w:tcPr>
          <w:p w:rsidR="002A6AC8" w:rsidRDefault="003A3956" w:rsidP="00D15A00">
            <w:pPr>
              <w:keepLines/>
              <w:spacing w:before="40" w:after="40" w:line="200" w:lineRule="atLeast"/>
              <w:rPr>
                <w:rFonts w:eastAsia="Times New Roman"/>
                <w:iCs/>
                <w:szCs w:val="17"/>
                <w:lang w:eastAsia="en-US"/>
              </w:rPr>
            </w:pPr>
            <w:r>
              <w:rPr>
                <w:rFonts w:eastAsia="Times New Roman"/>
                <w:iCs/>
                <w:szCs w:val="17"/>
                <w:lang w:eastAsia="en-US"/>
              </w:rPr>
              <w:t>Continue to provide advice.</w:t>
            </w:r>
          </w:p>
          <w:p w:rsidR="003A3956" w:rsidRDefault="003A3956" w:rsidP="00D15A00">
            <w:pPr>
              <w:keepLines/>
              <w:spacing w:before="40" w:after="40" w:line="200" w:lineRule="atLeast"/>
              <w:rPr>
                <w:rFonts w:eastAsia="Times New Roman"/>
                <w:iCs/>
                <w:szCs w:val="17"/>
                <w:lang w:eastAsia="en-US"/>
              </w:rPr>
            </w:pPr>
          </w:p>
          <w:p w:rsidR="003A3956" w:rsidRDefault="003A3956" w:rsidP="00D15A00">
            <w:pPr>
              <w:keepLines/>
              <w:spacing w:before="40" w:after="40" w:line="200" w:lineRule="atLeast"/>
              <w:rPr>
                <w:rFonts w:eastAsia="Times New Roman"/>
                <w:iCs/>
                <w:szCs w:val="17"/>
                <w:lang w:eastAsia="en-US"/>
              </w:rPr>
            </w:pPr>
          </w:p>
          <w:p w:rsidR="003A3956" w:rsidRDefault="003A3956" w:rsidP="00D15A00">
            <w:pPr>
              <w:keepLines/>
              <w:spacing w:before="40" w:after="40" w:line="200" w:lineRule="atLeast"/>
              <w:rPr>
                <w:rFonts w:eastAsia="Times New Roman"/>
                <w:iCs/>
                <w:szCs w:val="17"/>
                <w:lang w:eastAsia="en-US"/>
              </w:rPr>
            </w:pPr>
          </w:p>
          <w:p w:rsidR="003A3956" w:rsidRPr="00C61187" w:rsidRDefault="003A3956" w:rsidP="00D15A00">
            <w:pPr>
              <w:keepLines/>
              <w:spacing w:before="40" w:after="40" w:line="200" w:lineRule="atLeast"/>
              <w:rPr>
                <w:rFonts w:eastAsia="Times New Roman"/>
                <w:iCs/>
                <w:szCs w:val="17"/>
                <w:lang w:eastAsia="en-US"/>
              </w:rPr>
            </w:pPr>
            <w:r>
              <w:rPr>
                <w:rFonts w:eastAsia="Times New Roman"/>
                <w:iCs/>
                <w:szCs w:val="17"/>
                <w:lang w:eastAsia="en-US"/>
              </w:rPr>
              <w:t>Continue to monitor and forecast expenditure</w:t>
            </w:r>
          </w:p>
        </w:tc>
        <w:tc>
          <w:tcPr>
            <w:tcW w:w="1235" w:type="dxa"/>
          </w:tcPr>
          <w:p w:rsidR="002A6AC8" w:rsidRPr="00C61187" w:rsidRDefault="003A3956" w:rsidP="00D15A00">
            <w:pPr>
              <w:keepLines/>
              <w:spacing w:before="40" w:after="40" w:line="200" w:lineRule="atLeast"/>
              <w:rPr>
                <w:rFonts w:eastAsia="Times New Roman"/>
                <w:iCs/>
                <w:szCs w:val="17"/>
                <w:lang w:eastAsia="en-US"/>
              </w:rPr>
            </w:pPr>
            <w:r>
              <w:rPr>
                <w:rFonts w:eastAsia="Times New Roman"/>
                <w:iCs/>
                <w:szCs w:val="17"/>
                <w:lang w:eastAsia="en-US"/>
              </w:rPr>
              <w:t>Low</w:t>
            </w:r>
          </w:p>
        </w:tc>
        <w:tc>
          <w:tcPr>
            <w:tcW w:w="1192" w:type="dxa"/>
          </w:tcPr>
          <w:p w:rsidR="002A6AC8" w:rsidRPr="00C61187" w:rsidRDefault="003A3956" w:rsidP="00D15A00">
            <w:pPr>
              <w:keepLines/>
              <w:spacing w:before="40" w:after="40" w:line="200" w:lineRule="atLeast"/>
              <w:rPr>
                <w:rFonts w:eastAsia="Times New Roman"/>
                <w:iCs/>
                <w:szCs w:val="17"/>
              </w:rPr>
            </w:pPr>
            <w:r>
              <w:rPr>
                <w:rFonts w:eastAsia="Times New Roman"/>
                <w:iCs/>
                <w:szCs w:val="17"/>
              </w:rPr>
              <w:t>N/A</w:t>
            </w:r>
          </w:p>
        </w:tc>
      </w:tr>
      <w:tr w:rsidR="002A6AC8" w:rsidRPr="00C61187" w:rsidTr="002630E5">
        <w:trPr>
          <w:trHeight w:val="56"/>
        </w:trPr>
        <w:tc>
          <w:tcPr>
            <w:tcW w:w="2292" w:type="dxa"/>
          </w:tcPr>
          <w:p w:rsidR="002A6AC8" w:rsidRPr="00C61187" w:rsidRDefault="003A3956" w:rsidP="00D15A00">
            <w:pPr>
              <w:keepLines/>
              <w:spacing w:before="40" w:after="40" w:line="200" w:lineRule="atLeast"/>
              <w:rPr>
                <w:rFonts w:eastAsia="Times New Roman"/>
                <w:iCs/>
                <w:szCs w:val="17"/>
                <w:lang w:eastAsia="en-US"/>
              </w:rPr>
            </w:pPr>
            <w:r>
              <w:rPr>
                <w:rFonts w:eastAsia="Times New Roman"/>
                <w:iCs/>
                <w:szCs w:val="17"/>
                <w:lang w:eastAsia="en-US"/>
              </w:rPr>
              <w:t>Selection process for Australia Awards are compromised</w:t>
            </w:r>
          </w:p>
        </w:tc>
        <w:tc>
          <w:tcPr>
            <w:tcW w:w="2309" w:type="dxa"/>
          </w:tcPr>
          <w:p w:rsidR="002A6AC8" w:rsidRPr="00C61187" w:rsidRDefault="003A3956" w:rsidP="00D15A00">
            <w:pPr>
              <w:keepLines/>
              <w:spacing w:before="40" w:after="40" w:line="200" w:lineRule="atLeast"/>
              <w:rPr>
                <w:rFonts w:eastAsia="Times New Roman"/>
                <w:iCs/>
                <w:szCs w:val="17"/>
                <w:lang w:eastAsia="en-US"/>
              </w:rPr>
            </w:pPr>
            <w:r>
              <w:rPr>
                <w:rFonts w:eastAsia="Times New Roman"/>
                <w:iCs/>
                <w:szCs w:val="17"/>
                <w:lang w:eastAsia="en-US"/>
              </w:rPr>
              <w:t>Selection processes and interview panels are overseen by an appropriate DFAT delegate</w:t>
            </w:r>
          </w:p>
        </w:tc>
        <w:tc>
          <w:tcPr>
            <w:tcW w:w="2432" w:type="dxa"/>
          </w:tcPr>
          <w:p w:rsidR="002A6AC8" w:rsidRPr="00C61187" w:rsidRDefault="003A3956" w:rsidP="00D15A00">
            <w:pPr>
              <w:keepLines/>
              <w:spacing w:before="40" w:after="40" w:line="200" w:lineRule="atLeast"/>
              <w:rPr>
                <w:rFonts w:eastAsia="Times New Roman"/>
                <w:iCs/>
                <w:szCs w:val="17"/>
                <w:lang w:eastAsia="en-US"/>
              </w:rPr>
            </w:pPr>
            <w:r>
              <w:rPr>
                <w:rFonts w:eastAsia="Times New Roman"/>
                <w:iCs/>
                <w:szCs w:val="17"/>
                <w:lang w:eastAsia="en-US"/>
              </w:rPr>
              <w:t>Continue to update and strengthen guidance and advice</w:t>
            </w:r>
          </w:p>
        </w:tc>
        <w:tc>
          <w:tcPr>
            <w:tcW w:w="1235" w:type="dxa"/>
          </w:tcPr>
          <w:p w:rsidR="002A6AC8" w:rsidRPr="00C61187" w:rsidRDefault="003A3956" w:rsidP="00D15A00">
            <w:pPr>
              <w:keepLines/>
              <w:spacing w:before="40" w:after="40" w:line="200" w:lineRule="atLeast"/>
              <w:rPr>
                <w:rFonts w:eastAsia="Times New Roman"/>
                <w:iCs/>
                <w:szCs w:val="17"/>
                <w:lang w:eastAsia="en-US"/>
              </w:rPr>
            </w:pPr>
            <w:r>
              <w:rPr>
                <w:rFonts w:eastAsia="Times New Roman"/>
                <w:iCs/>
                <w:szCs w:val="17"/>
                <w:lang w:eastAsia="en-US"/>
              </w:rPr>
              <w:t>Low</w:t>
            </w:r>
          </w:p>
        </w:tc>
        <w:tc>
          <w:tcPr>
            <w:tcW w:w="1192" w:type="dxa"/>
          </w:tcPr>
          <w:p w:rsidR="002A6AC8" w:rsidRPr="00C61187" w:rsidRDefault="003A3956" w:rsidP="00D15A00">
            <w:pPr>
              <w:keepLines/>
              <w:spacing w:before="40" w:after="40" w:line="200" w:lineRule="atLeast"/>
              <w:rPr>
                <w:rFonts w:eastAsia="Times New Roman"/>
                <w:iCs/>
                <w:szCs w:val="17"/>
              </w:rPr>
            </w:pPr>
            <w:r>
              <w:rPr>
                <w:rFonts w:eastAsia="Times New Roman"/>
                <w:iCs/>
                <w:szCs w:val="17"/>
              </w:rPr>
              <w:t>N/A</w:t>
            </w:r>
          </w:p>
        </w:tc>
      </w:tr>
      <w:tr w:rsidR="00E855E6" w:rsidRPr="00C61187" w:rsidTr="002630E5">
        <w:trPr>
          <w:trHeight w:val="56"/>
        </w:trPr>
        <w:tc>
          <w:tcPr>
            <w:tcW w:w="2292" w:type="dxa"/>
          </w:tcPr>
          <w:p w:rsidR="00E855E6" w:rsidDel="00E855E6" w:rsidRDefault="00E855E6" w:rsidP="00D15A00">
            <w:pPr>
              <w:keepLines/>
              <w:spacing w:before="40" w:after="40" w:line="200" w:lineRule="atLeast"/>
              <w:rPr>
                <w:rFonts w:eastAsia="Times New Roman"/>
                <w:iCs/>
                <w:szCs w:val="17"/>
              </w:rPr>
            </w:pPr>
            <w:r>
              <w:rPr>
                <w:rFonts w:eastAsia="Times New Roman"/>
                <w:iCs/>
                <w:szCs w:val="17"/>
              </w:rPr>
              <w:t>Lowering of eligibility requirements such as academic preparedness or English language competency represents a risk to a scholar’s chance to succeed and their overall wellbeing</w:t>
            </w:r>
          </w:p>
        </w:tc>
        <w:tc>
          <w:tcPr>
            <w:tcW w:w="2309" w:type="dxa"/>
          </w:tcPr>
          <w:p w:rsidR="00E855E6" w:rsidRDefault="00E855E6" w:rsidP="00D15A00">
            <w:pPr>
              <w:keepLines/>
              <w:spacing w:before="40" w:after="40" w:line="200" w:lineRule="atLeast"/>
              <w:rPr>
                <w:rFonts w:eastAsia="Times New Roman"/>
                <w:iCs/>
                <w:szCs w:val="17"/>
              </w:rPr>
            </w:pPr>
            <w:r>
              <w:rPr>
                <w:rFonts w:eastAsia="Times New Roman"/>
                <w:iCs/>
                <w:szCs w:val="17"/>
              </w:rPr>
              <w:t>SCB liaised with posts and universities regarding the requirements for English language.</w:t>
            </w:r>
          </w:p>
          <w:p w:rsidR="00E855E6" w:rsidRDefault="00E855E6" w:rsidP="00D15A00">
            <w:pPr>
              <w:keepLines/>
              <w:spacing w:before="40" w:after="40" w:line="200" w:lineRule="atLeast"/>
              <w:rPr>
                <w:rFonts w:eastAsia="Times New Roman"/>
                <w:iCs/>
                <w:szCs w:val="17"/>
              </w:rPr>
            </w:pPr>
          </w:p>
          <w:p w:rsidR="00E855E6" w:rsidDel="00E855E6" w:rsidRDefault="00E855E6" w:rsidP="00D15A00">
            <w:pPr>
              <w:keepLines/>
              <w:spacing w:before="40" w:after="40" w:line="200" w:lineRule="atLeast"/>
              <w:rPr>
                <w:rFonts w:eastAsia="Times New Roman"/>
                <w:iCs/>
                <w:szCs w:val="17"/>
              </w:rPr>
            </w:pPr>
            <w:r>
              <w:rPr>
                <w:rFonts w:eastAsia="Times New Roman"/>
                <w:iCs/>
                <w:szCs w:val="17"/>
              </w:rPr>
              <w:t>Maintained requirement for minimum English language competency and English language proficiency testing.</w:t>
            </w:r>
          </w:p>
        </w:tc>
        <w:tc>
          <w:tcPr>
            <w:tcW w:w="2432" w:type="dxa"/>
          </w:tcPr>
          <w:p w:rsidR="00E855E6" w:rsidDel="00E855E6" w:rsidRDefault="00F755F4" w:rsidP="00D15A00">
            <w:pPr>
              <w:keepLines/>
              <w:spacing w:before="40" w:after="40" w:line="200" w:lineRule="atLeast"/>
              <w:rPr>
                <w:rFonts w:eastAsia="Times New Roman"/>
                <w:iCs/>
                <w:szCs w:val="17"/>
              </w:rPr>
            </w:pPr>
            <w:r>
              <w:rPr>
                <w:rFonts w:eastAsia="Times New Roman"/>
                <w:iCs/>
                <w:szCs w:val="17"/>
              </w:rPr>
              <w:t>Continue to provide advice</w:t>
            </w:r>
          </w:p>
        </w:tc>
        <w:tc>
          <w:tcPr>
            <w:tcW w:w="1235" w:type="dxa"/>
          </w:tcPr>
          <w:p w:rsidR="00E855E6" w:rsidDel="00E855E6" w:rsidRDefault="00E855E6" w:rsidP="00D15A00">
            <w:pPr>
              <w:keepLines/>
              <w:spacing w:before="40" w:after="40" w:line="200" w:lineRule="atLeast"/>
              <w:rPr>
                <w:rFonts w:eastAsia="Times New Roman"/>
                <w:iCs/>
                <w:szCs w:val="17"/>
              </w:rPr>
            </w:pPr>
            <w:r>
              <w:rPr>
                <w:rFonts w:eastAsia="Times New Roman"/>
                <w:iCs/>
                <w:szCs w:val="17"/>
              </w:rPr>
              <w:t>Medium</w:t>
            </w:r>
          </w:p>
        </w:tc>
        <w:tc>
          <w:tcPr>
            <w:tcW w:w="1192" w:type="dxa"/>
          </w:tcPr>
          <w:p w:rsidR="00E855E6" w:rsidDel="00E855E6" w:rsidRDefault="00F755F4" w:rsidP="00D15A00">
            <w:pPr>
              <w:keepLines/>
              <w:spacing w:before="40" w:after="40" w:line="200" w:lineRule="atLeast"/>
              <w:rPr>
                <w:rFonts w:eastAsia="Times New Roman"/>
                <w:iCs/>
                <w:szCs w:val="17"/>
              </w:rPr>
            </w:pPr>
            <w:r>
              <w:rPr>
                <w:rFonts w:eastAsia="Times New Roman"/>
                <w:iCs/>
                <w:szCs w:val="17"/>
              </w:rPr>
              <w:t>N/A</w:t>
            </w:r>
          </w:p>
        </w:tc>
      </w:tr>
    </w:tbl>
    <w:p w:rsidR="002A6AC8" w:rsidRDefault="002A6AC8" w:rsidP="002A51CA">
      <w:pPr>
        <w:spacing w:before="20" w:after="20" w:line="180" w:lineRule="atLeast"/>
        <w:jc w:val="both"/>
        <w:rPr>
          <w:rFonts w:ascii="Franklin Gothic Book" w:eastAsia="Times New Roman" w:hAnsi="Franklin Gothic Book"/>
          <w:sz w:val="18"/>
          <w:szCs w:val="18"/>
        </w:rPr>
      </w:pPr>
    </w:p>
    <w:p w:rsidR="006E5BAA" w:rsidRPr="006E5BAA" w:rsidRDefault="006E5BAA" w:rsidP="002A51CA">
      <w:pPr>
        <w:spacing w:before="20" w:after="20" w:line="180" w:lineRule="atLeast"/>
        <w:jc w:val="both"/>
        <w:rPr>
          <w:rFonts w:eastAsia="Times New Roman"/>
          <w:color w:val="auto"/>
        </w:rPr>
      </w:pPr>
      <w:r>
        <w:rPr>
          <w:rFonts w:eastAsia="Times New Roman"/>
          <w:color w:val="auto"/>
        </w:rPr>
        <w:t xml:space="preserve">The </w:t>
      </w:r>
      <w:r w:rsidR="003A3956">
        <w:rPr>
          <w:rFonts w:eastAsia="Times New Roman"/>
          <w:color w:val="auto"/>
        </w:rPr>
        <w:t>overall risk profile for the program has not changed in 2018-19</w:t>
      </w:r>
      <w:r w:rsidR="00116640">
        <w:rPr>
          <w:rFonts w:eastAsia="Times New Roman"/>
          <w:color w:val="auto"/>
        </w:rPr>
        <w:t>. DFAT is strengthening its risk management of the Australia Awards in 2019-20.</w:t>
      </w:r>
      <w:r w:rsidR="00227A95">
        <w:rPr>
          <w:rFonts w:eastAsia="Times New Roman"/>
          <w:color w:val="auto"/>
        </w:rPr>
        <w:t xml:space="preserve"> </w:t>
      </w:r>
    </w:p>
    <w:p w:rsidR="00D80810" w:rsidRDefault="00D80810">
      <w:pPr>
        <w:suppressAutoHyphens w:val="0"/>
        <w:spacing w:before="0" w:after="120" w:line="440" w:lineRule="atLeast"/>
        <w:rPr>
          <w:rFonts w:asciiTheme="majorHAnsi" w:eastAsiaTheme="majorEastAsia" w:hAnsiTheme="majorHAnsi" w:cstheme="majorBidi"/>
          <w:caps/>
          <w:sz w:val="38"/>
          <w:szCs w:val="26"/>
        </w:rPr>
      </w:pPr>
      <w:r>
        <w:br w:type="page"/>
      </w:r>
    </w:p>
    <w:p w:rsidR="002A51CA" w:rsidRDefault="002A51CA" w:rsidP="00047FFB">
      <w:pPr>
        <w:pStyle w:val="Heading2"/>
        <w:spacing w:before="360" w:line="300" w:lineRule="exact"/>
      </w:pPr>
      <w:r w:rsidRPr="002A51CA">
        <w:t xml:space="preserve">Management </w:t>
      </w:r>
      <w:r w:rsidR="00AC302F">
        <w:t>actions</w:t>
      </w:r>
      <w:r w:rsidRPr="002A51CA">
        <w:tab/>
      </w:r>
      <w:r w:rsidRPr="002A51CA">
        <w:tab/>
      </w:r>
    </w:p>
    <w:p w:rsidR="00E83BE1" w:rsidRPr="00E83BE1" w:rsidRDefault="00E83BE1" w:rsidP="00E83BE1">
      <w:pPr>
        <w:rPr>
          <w:color w:val="auto"/>
        </w:rPr>
      </w:pPr>
      <w:r w:rsidRPr="00E83BE1">
        <w:rPr>
          <w:color w:val="auto"/>
        </w:rPr>
        <w:t xml:space="preserve">In 2017-18, two management actions for Australia Awards </w:t>
      </w:r>
      <w:r>
        <w:rPr>
          <w:color w:val="auto"/>
        </w:rPr>
        <w:t>were identified</w:t>
      </w:r>
      <w:r w:rsidRPr="00E83BE1">
        <w:rPr>
          <w:color w:val="auto"/>
        </w:rPr>
        <w:t>:</w:t>
      </w:r>
    </w:p>
    <w:p w:rsidR="00E83BE1" w:rsidRDefault="00E83BE1" w:rsidP="00F45A59">
      <w:pPr>
        <w:pStyle w:val="Bullet3"/>
        <w:numPr>
          <w:ilvl w:val="2"/>
          <w:numId w:val="12"/>
        </w:numPr>
        <w:rPr>
          <w:color w:val="auto"/>
        </w:rPr>
      </w:pPr>
      <w:r w:rsidRPr="00E83BE1">
        <w:rPr>
          <w:color w:val="auto"/>
        </w:rPr>
        <w:t xml:space="preserve"> </w:t>
      </w:r>
      <w:r w:rsidRPr="00E83BE1">
        <w:rPr>
          <w:b/>
          <w:color w:val="auto"/>
        </w:rPr>
        <w:t>Global Strategy evaluation</w:t>
      </w:r>
      <w:r w:rsidRPr="00E83BE1">
        <w:rPr>
          <w:color w:val="auto"/>
        </w:rPr>
        <w:t xml:space="preserve">: an independent evaluation of the Australia Awards Global Strategy and MEF </w:t>
      </w:r>
      <w:r>
        <w:rPr>
          <w:color w:val="auto"/>
        </w:rPr>
        <w:t>to</w:t>
      </w:r>
      <w:r w:rsidRPr="00E83BE1">
        <w:rPr>
          <w:color w:val="auto"/>
        </w:rPr>
        <w:t xml:space="preserve"> be undertaken to identify lessons learned on their implementation and to provide a basis for a refresh of these documents.</w:t>
      </w:r>
    </w:p>
    <w:p w:rsidR="007F3B99" w:rsidRDefault="00837106" w:rsidP="007F3B99">
      <w:pPr>
        <w:pStyle w:val="Bullet3"/>
        <w:numPr>
          <w:ilvl w:val="0"/>
          <w:numId w:val="0"/>
        </w:numPr>
        <w:ind w:left="510"/>
        <w:rPr>
          <w:color w:val="auto"/>
        </w:rPr>
      </w:pPr>
      <w:r>
        <w:rPr>
          <w:color w:val="auto"/>
        </w:rPr>
        <w:t xml:space="preserve">In April </w:t>
      </w:r>
      <w:r w:rsidR="00F755F4">
        <w:rPr>
          <w:color w:val="auto"/>
        </w:rPr>
        <w:t>20</w:t>
      </w:r>
      <w:r>
        <w:rPr>
          <w:color w:val="auto"/>
        </w:rPr>
        <w:t xml:space="preserve">19 the Australian Council for Educational Research completed the independent </w:t>
      </w:r>
      <w:r w:rsidR="007F3B99">
        <w:rPr>
          <w:color w:val="auto"/>
        </w:rPr>
        <w:t xml:space="preserve">evaluation </w:t>
      </w:r>
      <w:r>
        <w:rPr>
          <w:color w:val="auto"/>
        </w:rPr>
        <w:t xml:space="preserve">of the Australia Awards Global Strategy. The Evaluation Report </w:t>
      </w:r>
      <w:r w:rsidR="007F3B99">
        <w:rPr>
          <w:color w:val="auto"/>
        </w:rPr>
        <w:t>and the DFAT management response w</w:t>
      </w:r>
      <w:r w:rsidR="00630B13">
        <w:rPr>
          <w:color w:val="auto"/>
        </w:rPr>
        <w:t>ere</w:t>
      </w:r>
      <w:r w:rsidR="007F3B99">
        <w:rPr>
          <w:color w:val="auto"/>
        </w:rPr>
        <w:t xml:space="preserve"> published on the DFAT website on 25 June 2019. </w:t>
      </w:r>
      <w:r w:rsidR="00D80810">
        <w:rPr>
          <w:color w:val="auto"/>
        </w:rPr>
        <w:t>The</w:t>
      </w:r>
      <w:r>
        <w:rPr>
          <w:color w:val="auto"/>
        </w:rPr>
        <w:t xml:space="preserve"> report included </w:t>
      </w:r>
      <w:r w:rsidR="00D80810">
        <w:rPr>
          <w:color w:val="auto"/>
        </w:rPr>
        <w:t xml:space="preserve">nine </w:t>
      </w:r>
      <w:r w:rsidR="007F3B99">
        <w:rPr>
          <w:color w:val="auto"/>
        </w:rPr>
        <w:t>recommendations</w:t>
      </w:r>
      <w:r w:rsidR="00D80810">
        <w:rPr>
          <w:color w:val="auto"/>
        </w:rPr>
        <w:t xml:space="preserve">, of which one was </w:t>
      </w:r>
      <w:r w:rsidR="007F3B99">
        <w:rPr>
          <w:color w:val="auto"/>
        </w:rPr>
        <w:t>agreed</w:t>
      </w:r>
      <w:r w:rsidR="00D80810">
        <w:rPr>
          <w:color w:val="auto"/>
        </w:rPr>
        <w:t xml:space="preserve">, six </w:t>
      </w:r>
      <w:r w:rsidR="007F3B99">
        <w:rPr>
          <w:color w:val="auto"/>
        </w:rPr>
        <w:t xml:space="preserve">agreed in principle </w:t>
      </w:r>
      <w:r w:rsidR="00D80810">
        <w:rPr>
          <w:color w:val="auto"/>
        </w:rPr>
        <w:t xml:space="preserve">and one partly agreed. All of the recommendations </w:t>
      </w:r>
      <w:r w:rsidR="007F3B99">
        <w:rPr>
          <w:color w:val="auto"/>
        </w:rPr>
        <w:t>will be incorporated into the new strategy</w:t>
      </w:r>
      <w:r w:rsidR="00D80810">
        <w:rPr>
          <w:color w:val="auto"/>
        </w:rPr>
        <w:t xml:space="preserve"> when it is developed in 2019-20.</w:t>
      </w:r>
    </w:p>
    <w:p w:rsidR="00E83BE1" w:rsidRDefault="00E83BE1" w:rsidP="00F45A59">
      <w:pPr>
        <w:pStyle w:val="Bullet3"/>
        <w:numPr>
          <w:ilvl w:val="2"/>
          <w:numId w:val="12"/>
        </w:numPr>
        <w:rPr>
          <w:color w:val="auto"/>
        </w:rPr>
      </w:pPr>
      <w:r w:rsidRPr="00E83BE1">
        <w:rPr>
          <w:b/>
          <w:color w:val="auto"/>
        </w:rPr>
        <w:t xml:space="preserve"> Broadening the on-award experience</w:t>
      </w:r>
      <w:r w:rsidRPr="00E83BE1">
        <w:rPr>
          <w:color w:val="auto"/>
        </w:rPr>
        <w:t>: DFAT will consider ways to increase people-to-people links for Australia Award recipients (Outcome 2) and to support the building of partnerships between institutions and businesses in Australia and partner countries (Outcome 3). This will build on examples of on-award support for students such as the Indonesia On-Award Enrichment Program and the Pacific focussed Women’s Leadership Initiative.</w:t>
      </w:r>
    </w:p>
    <w:p w:rsidR="00DF5042" w:rsidRDefault="00A7794D" w:rsidP="00116640">
      <w:pPr>
        <w:pStyle w:val="Bullet3"/>
        <w:numPr>
          <w:ilvl w:val="0"/>
          <w:numId w:val="0"/>
        </w:numPr>
        <w:ind w:left="510"/>
        <w:rPr>
          <w:color w:val="auto"/>
        </w:rPr>
      </w:pPr>
      <w:r w:rsidRPr="00957383">
        <w:rPr>
          <w:rFonts w:eastAsia="Times New Roman"/>
          <w:iCs/>
          <w:color w:val="auto"/>
          <w:szCs w:val="17"/>
        </w:rPr>
        <w:t xml:space="preserve">Australia Awards </w:t>
      </w:r>
      <w:r w:rsidR="00BA4F25">
        <w:rPr>
          <w:rFonts w:eastAsia="Times New Roman"/>
          <w:iCs/>
          <w:color w:val="auto"/>
          <w:szCs w:val="17"/>
        </w:rPr>
        <w:t>country program</w:t>
      </w:r>
      <w:r w:rsidR="005071C8">
        <w:rPr>
          <w:rFonts w:eastAsia="Times New Roman"/>
          <w:iCs/>
          <w:color w:val="auto"/>
          <w:szCs w:val="17"/>
        </w:rPr>
        <w:t xml:space="preserve"> </w:t>
      </w:r>
      <w:r w:rsidRPr="00957383">
        <w:rPr>
          <w:rFonts w:eastAsia="Times New Roman"/>
          <w:iCs/>
          <w:color w:val="auto"/>
          <w:szCs w:val="17"/>
        </w:rPr>
        <w:t>areas continue to lead on the delivery of On-Award Enrichment activities</w:t>
      </w:r>
      <w:r w:rsidR="005071C8">
        <w:rPr>
          <w:rFonts w:eastAsia="Times New Roman"/>
          <w:iCs/>
          <w:color w:val="auto"/>
          <w:szCs w:val="17"/>
        </w:rPr>
        <w:t>.</w:t>
      </w:r>
      <w:r>
        <w:rPr>
          <w:rFonts w:eastAsia="Times New Roman"/>
          <w:iCs/>
          <w:color w:val="auto"/>
          <w:szCs w:val="17"/>
        </w:rPr>
        <w:t xml:space="preserve"> </w:t>
      </w:r>
      <w:r w:rsidRPr="00E277E6">
        <w:rPr>
          <w:rFonts w:eastAsia="Times New Roman"/>
          <w:iCs/>
          <w:color w:val="auto"/>
          <w:szCs w:val="17"/>
        </w:rPr>
        <w:t>DFAT and its partners continue to share good examples of on-award enrichment across the global program</w:t>
      </w:r>
      <w:r>
        <w:rPr>
          <w:rFonts w:eastAsia="Times New Roman"/>
          <w:iCs/>
          <w:color w:val="auto"/>
          <w:szCs w:val="17"/>
        </w:rPr>
        <w:t xml:space="preserve"> </w:t>
      </w:r>
      <w:r w:rsidRPr="00957383">
        <w:rPr>
          <w:rFonts w:eastAsia="Times New Roman"/>
          <w:iCs/>
          <w:color w:val="auto"/>
          <w:szCs w:val="17"/>
        </w:rPr>
        <w:t>leveraging lessons and experience to increase opportunities for a broader cohort of students.</w:t>
      </w:r>
      <w:r>
        <w:rPr>
          <w:rFonts w:eastAsia="Times New Roman"/>
          <w:iCs/>
          <w:color w:val="auto"/>
          <w:szCs w:val="17"/>
        </w:rPr>
        <w:t xml:space="preserve"> Most of the universities reported on-going and new enrichment program activities designed to enhance the student experience and build their connection with both the university and wider local community. </w:t>
      </w:r>
    </w:p>
    <w:p w:rsidR="00E83BE1" w:rsidRDefault="00DF5042" w:rsidP="002A51CA">
      <w:pPr>
        <w:rPr>
          <w:color w:val="auto"/>
        </w:rPr>
      </w:pPr>
      <w:r>
        <w:rPr>
          <w:color w:val="auto"/>
        </w:rPr>
        <w:t>Management actions for Australia Awards at the global level for 2019-20 are:</w:t>
      </w:r>
    </w:p>
    <w:p w:rsidR="00F45762" w:rsidRPr="00F45762" w:rsidRDefault="00F45762" w:rsidP="00E11B69">
      <w:pPr>
        <w:pStyle w:val="Bullet3"/>
        <w:numPr>
          <w:ilvl w:val="0"/>
          <w:numId w:val="0"/>
        </w:numPr>
        <w:ind w:left="510" w:hanging="170"/>
        <w:rPr>
          <w:bCs/>
          <w:color w:val="auto"/>
        </w:rPr>
      </w:pPr>
      <w:r>
        <w:rPr>
          <w:b/>
          <w:color w:val="auto"/>
        </w:rPr>
        <w:t>1. Australia Awards Global Strategy</w:t>
      </w:r>
      <w:r>
        <w:rPr>
          <w:bCs/>
          <w:color w:val="auto"/>
        </w:rPr>
        <w:t xml:space="preserve">: </w:t>
      </w:r>
      <w:r w:rsidR="007E40EA">
        <w:rPr>
          <w:bCs/>
          <w:color w:val="auto"/>
        </w:rPr>
        <w:t xml:space="preserve">DFAT will </w:t>
      </w:r>
      <w:r w:rsidR="005071C8">
        <w:rPr>
          <w:bCs/>
          <w:color w:val="auto"/>
        </w:rPr>
        <w:t>refresh</w:t>
      </w:r>
      <w:r w:rsidRPr="00F45762">
        <w:rPr>
          <w:bCs/>
          <w:color w:val="auto"/>
        </w:rPr>
        <w:t xml:space="preserve"> the</w:t>
      </w:r>
      <w:r>
        <w:rPr>
          <w:b/>
          <w:color w:val="auto"/>
        </w:rPr>
        <w:t xml:space="preserve"> </w:t>
      </w:r>
      <w:r>
        <w:rPr>
          <w:bCs/>
          <w:color w:val="auto"/>
        </w:rPr>
        <w:t xml:space="preserve">Australia Awards </w:t>
      </w:r>
      <w:r w:rsidR="00682F1E">
        <w:rPr>
          <w:bCs/>
          <w:color w:val="auto"/>
        </w:rPr>
        <w:t xml:space="preserve">Global </w:t>
      </w:r>
      <w:r>
        <w:rPr>
          <w:bCs/>
          <w:color w:val="auto"/>
        </w:rPr>
        <w:t xml:space="preserve">Strategy </w:t>
      </w:r>
      <w:r w:rsidR="007E40EA">
        <w:rPr>
          <w:bCs/>
          <w:color w:val="auto"/>
        </w:rPr>
        <w:t>by June 2020</w:t>
      </w:r>
      <w:r>
        <w:rPr>
          <w:bCs/>
          <w:color w:val="auto"/>
        </w:rPr>
        <w:t xml:space="preserve">. </w:t>
      </w:r>
    </w:p>
    <w:p w:rsidR="0024530A" w:rsidRDefault="00F45762" w:rsidP="00E11B69">
      <w:pPr>
        <w:pStyle w:val="Bullet3"/>
        <w:numPr>
          <w:ilvl w:val="0"/>
          <w:numId w:val="0"/>
        </w:numPr>
        <w:ind w:left="510" w:hanging="170"/>
        <w:rPr>
          <w:color w:val="auto"/>
        </w:rPr>
      </w:pPr>
      <w:r>
        <w:rPr>
          <w:b/>
          <w:color w:val="auto"/>
        </w:rPr>
        <w:t>2</w:t>
      </w:r>
      <w:r w:rsidR="0024530A">
        <w:rPr>
          <w:b/>
          <w:color w:val="auto"/>
        </w:rPr>
        <w:t xml:space="preserve">. </w:t>
      </w:r>
      <w:r>
        <w:rPr>
          <w:b/>
          <w:color w:val="auto"/>
        </w:rPr>
        <w:t xml:space="preserve">Australia Awards Global Tracer </w:t>
      </w:r>
      <w:r w:rsidRPr="00F45762">
        <w:rPr>
          <w:b/>
          <w:color w:val="auto"/>
        </w:rPr>
        <w:t>Facility</w:t>
      </w:r>
      <w:r>
        <w:rPr>
          <w:bCs/>
          <w:color w:val="auto"/>
        </w:rPr>
        <w:t xml:space="preserve">: </w:t>
      </w:r>
      <w:r w:rsidR="007E40EA">
        <w:rPr>
          <w:bCs/>
          <w:color w:val="auto"/>
        </w:rPr>
        <w:t xml:space="preserve">DFAT will </w:t>
      </w:r>
      <w:r>
        <w:rPr>
          <w:bCs/>
          <w:color w:val="auto"/>
        </w:rPr>
        <w:t xml:space="preserve">consider and respond to the </w:t>
      </w:r>
      <w:r w:rsidRPr="00F45762">
        <w:rPr>
          <w:bCs/>
          <w:i/>
          <w:iCs/>
          <w:color w:val="auto"/>
        </w:rPr>
        <w:t xml:space="preserve">Review of the </w:t>
      </w:r>
      <w:r w:rsidR="0024530A" w:rsidRPr="00F45762">
        <w:rPr>
          <w:i/>
          <w:iCs/>
          <w:color w:val="auto"/>
        </w:rPr>
        <w:t xml:space="preserve">Australia Awards </w:t>
      </w:r>
      <w:r w:rsidRPr="00F45762">
        <w:rPr>
          <w:i/>
          <w:iCs/>
          <w:color w:val="auto"/>
        </w:rPr>
        <w:t>Global Tracer Facility</w:t>
      </w:r>
      <w:r>
        <w:rPr>
          <w:color w:val="auto"/>
        </w:rPr>
        <w:t xml:space="preserve"> </w:t>
      </w:r>
      <w:r w:rsidR="007E40EA">
        <w:rPr>
          <w:color w:val="auto"/>
        </w:rPr>
        <w:t>by June 2020</w:t>
      </w:r>
      <w:r>
        <w:rPr>
          <w:color w:val="auto"/>
        </w:rPr>
        <w:t xml:space="preserve">. </w:t>
      </w:r>
    </w:p>
    <w:p w:rsidR="007E40EA" w:rsidRDefault="007E40EA" w:rsidP="00E11B69">
      <w:pPr>
        <w:pStyle w:val="Bullet3"/>
        <w:numPr>
          <w:ilvl w:val="0"/>
          <w:numId w:val="0"/>
        </w:numPr>
        <w:ind w:left="510" w:hanging="170"/>
        <w:rPr>
          <w:bCs/>
          <w:color w:val="auto"/>
        </w:rPr>
      </w:pPr>
      <w:r>
        <w:rPr>
          <w:b/>
          <w:color w:val="auto"/>
        </w:rPr>
        <w:t>3. Risk Management:</w:t>
      </w:r>
      <w:r>
        <w:rPr>
          <w:bCs/>
          <w:color w:val="auto"/>
        </w:rPr>
        <w:t xml:space="preserve"> Australia Awards Section will review and implement the risk management planning for the Australia Awards globally and develop a specific detailed risk register for the Australia Awards by June 2020. </w:t>
      </w:r>
    </w:p>
    <w:p w:rsidR="00682F1E" w:rsidRPr="00682F1E" w:rsidRDefault="00E11B69" w:rsidP="00E11B69">
      <w:pPr>
        <w:pStyle w:val="Bullet3"/>
        <w:numPr>
          <w:ilvl w:val="0"/>
          <w:numId w:val="0"/>
        </w:numPr>
        <w:ind w:left="510" w:hanging="170"/>
        <w:rPr>
          <w:color w:val="auto"/>
        </w:rPr>
      </w:pPr>
      <w:r>
        <w:rPr>
          <w:b/>
          <w:color w:val="auto"/>
        </w:rPr>
        <w:t xml:space="preserve">4. </w:t>
      </w:r>
      <w:r w:rsidR="00682F1E">
        <w:rPr>
          <w:b/>
          <w:color w:val="auto"/>
        </w:rPr>
        <w:t xml:space="preserve">Australia Awards Monitoring and Evaluation Framework: </w:t>
      </w:r>
      <w:r w:rsidR="00682F1E" w:rsidRPr="00682F1E">
        <w:rPr>
          <w:color w:val="auto"/>
        </w:rPr>
        <w:t>DFAT will update the global M&amp;E framework as part of the revision of the Australia Awards Global Strategy</w:t>
      </w:r>
      <w:r w:rsidR="00682F1E">
        <w:rPr>
          <w:color w:val="auto"/>
        </w:rPr>
        <w:t>, by June 2020</w:t>
      </w:r>
      <w:r w:rsidR="00682F1E" w:rsidRPr="00682F1E">
        <w:rPr>
          <w:color w:val="auto"/>
        </w:rPr>
        <w:t>. This is in line with the findings of the independent evaluation.</w:t>
      </w:r>
    </w:p>
    <w:p w:rsidR="007E40EA" w:rsidRDefault="007E40EA" w:rsidP="0024530A">
      <w:pPr>
        <w:pStyle w:val="Bullet3"/>
        <w:numPr>
          <w:ilvl w:val="0"/>
          <w:numId w:val="0"/>
        </w:numPr>
        <w:ind w:left="340"/>
        <w:rPr>
          <w:bCs/>
          <w:color w:val="auto"/>
        </w:rPr>
      </w:pPr>
    </w:p>
    <w:p w:rsidR="00D15A00" w:rsidRDefault="00D15A00" w:rsidP="002A51CA">
      <w:pPr>
        <w:sectPr w:rsidR="00D15A00" w:rsidSect="00C6626C">
          <w:pgSz w:w="11906" w:h="16838" w:code="9"/>
          <w:pgMar w:top="1527" w:right="1134" w:bottom="851" w:left="1134" w:header="1418" w:footer="567" w:gutter="0"/>
          <w:cols w:space="397"/>
          <w:docGrid w:linePitch="360"/>
        </w:sectPr>
      </w:pPr>
    </w:p>
    <w:p w:rsidR="00400B0F" w:rsidRPr="008821C2" w:rsidRDefault="00400B0F" w:rsidP="008821C2">
      <w:pPr>
        <w:pStyle w:val="Subtitle"/>
        <w:numPr>
          <w:ilvl w:val="0"/>
          <w:numId w:val="0"/>
        </w:numPr>
        <w:spacing w:before="360" w:after="120" w:line="300" w:lineRule="exact"/>
        <w:rPr>
          <w:rFonts w:asciiTheme="majorHAnsi" w:hAnsiTheme="majorHAnsi" w:cstheme="majorHAnsi"/>
        </w:rPr>
      </w:pPr>
      <w:r w:rsidRPr="008821C2">
        <w:rPr>
          <w:rFonts w:asciiTheme="majorHAnsi" w:hAnsiTheme="majorHAnsi" w:cstheme="majorHAnsi"/>
        </w:rPr>
        <w:t xml:space="preserve">Annex A - Progress in Addressing Management </w:t>
      </w:r>
      <w:r w:rsidR="00AC302F" w:rsidRPr="008821C2">
        <w:rPr>
          <w:rFonts w:asciiTheme="majorHAnsi" w:hAnsiTheme="majorHAnsi" w:cstheme="majorHAnsi"/>
        </w:rPr>
        <w:t>actions</w:t>
      </w:r>
    </w:p>
    <w:p w:rsidR="008821C2" w:rsidRPr="00085E5F" w:rsidRDefault="008821C2" w:rsidP="008821C2">
      <w:pPr>
        <w:spacing w:after="120"/>
        <w:rPr>
          <w:color w:val="FF0000"/>
        </w:rPr>
      </w:pPr>
    </w:p>
    <w:tbl>
      <w:tblPr>
        <w:tblStyle w:val="APPR"/>
        <w:tblpPr w:leftFromText="180" w:rightFromText="180" w:vertAnchor="text" w:tblpY="1"/>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5"/>
        <w:gridCol w:w="1188"/>
        <w:gridCol w:w="6800"/>
      </w:tblGrid>
      <w:tr w:rsidR="008821C2" w:rsidRPr="00812509" w:rsidTr="00583D1D">
        <w:trPr>
          <w:cnfStyle w:val="000000010000" w:firstRow="0" w:lastRow="0" w:firstColumn="0" w:lastColumn="0" w:oddVBand="0" w:evenVBand="0" w:oddHBand="0" w:evenHBand="1" w:firstRowFirstColumn="0" w:firstRowLastColumn="0" w:lastRowFirstColumn="0" w:lastRowLastColumn="0"/>
        </w:trPr>
        <w:tc>
          <w:tcPr>
            <w:tcW w:w="63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821C2" w:rsidRPr="00812509" w:rsidRDefault="008821C2" w:rsidP="004C3677">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Management responses identified in 20</w:t>
            </w:r>
            <w:r>
              <w:rPr>
                <w:rFonts w:asciiTheme="minorHAnsi" w:eastAsia="Times New Roman" w:hAnsiTheme="minorHAnsi"/>
                <w:b/>
                <w:iCs/>
                <w:szCs w:val="17"/>
                <w:lang w:eastAsia="en-US"/>
              </w:rPr>
              <w:t>17-18</w:t>
            </w:r>
            <w:r w:rsidRPr="00812509">
              <w:rPr>
                <w:rFonts w:asciiTheme="minorHAnsi" w:eastAsia="Times New Roman" w:hAnsiTheme="minorHAnsi"/>
                <w:b/>
                <w:iCs/>
                <w:szCs w:val="17"/>
                <w:lang w:eastAsia="en-US"/>
              </w:rPr>
              <w:t xml:space="preserve"> APPR</w:t>
            </w:r>
            <w:r w:rsidRPr="00812509">
              <w:rPr>
                <w:rFonts w:asciiTheme="minorHAnsi" w:eastAsia="Times New Roman" w:hAnsiTheme="minorHAnsi"/>
                <w:b/>
                <w:iCs/>
                <w:szCs w:val="17"/>
                <w:lang w:eastAsia="en-US"/>
              </w:rPr>
              <w:tab/>
            </w:r>
          </w:p>
        </w:tc>
        <w:tc>
          <w:tcPr>
            <w:tcW w:w="11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821C2" w:rsidRPr="00812509" w:rsidRDefault="008821C2" w:rsidP="004C3677">
            <w:pPr>
              <w:keepLines/>
              <w:spacing w:before="80" w:after="80" w:line="200" w:lineRule="atLeast"/>
              <w:jc w:val="center"/>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Rating</w:t>
            </w:r>
          </w:p>
        </w:tc>
        <w:tc>
          <w:tcPr>
            <w:tcW w:w="67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821C2" w:rsidRPr="00812509" w:rsidRDefault="008821C2" w:rsidP="004C3677">
            <w:pPr>
              <w:keepLines/>
              <w:spacing w:before="80" w:after="80" w:line="200" w:lineRule="atLeast"/>
              <w:jc w:val="center"/>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Progress made in 201</w:t>
            </w:r>
            <w:r>
              <w:rPr>
                <w:rFonts w:asciiTheme="minorHAnsi" w:eastAsia="Times New Roman" w:hAnsiTheme="minorHAnsi"/>
                <w:b/>
                <w:iCs/>
                <w:szCs w:val="17"/>
                <w:lang w:eastAsia="en-US"/>
              </w:rPr>
              <w:t>8-19</w:t>
            </w:r>
          </w:p>
        </w:tc>
      </w:tr>
      <w:tr w:rsidR="008821C2" w:rsidRPr="00812509" w:rsidTr="00583D1D">
        <w:trPr>
          <w:cnfStyle w:val="000000010000" w:firstRow="0" w:lastRow="0" w:firstColumn="0" w:lastColumn="0" w:oddVBand="0" w:evenVBand="0" w:oddHBand="0" w:evenHBand="1" w:firstRowFirstColumn="0" w:firstRowLastColumn="0" w:lastRowFirstColumn="0" w:lastRowLastColumn="0"/>
        </w:trPr>
        <w:tc>
          <w:tcPr>
            <w:tcW w:w="63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821C2" w:rsidRPr="00812509" w:rsidRDefault="00583D1D" w:rsidP="004C3677">
            <w:pPr>
              <w:keepLines/>
              <w:spacing w:before="40" w:after="40" w:line="200" w:lineRule="atLeast"/>
              <w:rPr>
                <w:rFonts w:asciiTheme="minorHAnsi" w:eastAsia="Times New Roman" w:hAnsiTheme="minorHAnsi"/>
                <w:iCs/>
                <w:szCs w:val="17"/>
                <w:lang w:eastAsia="en-US"/>
              </w:rPr>
            </w:pPr>
            <w:r w:rsidRPr="0049079B">
              <w:rPr>
                <w:rFonts w:asciiTheme="minorHAnsi" w:hAnsiTheme="minorHAnsi"/>
                <w:b/>
                <w:bCs/>
                <w:color w:val="auto"/>
                <w:sz w:val="22"/>
                <w:lang w:eastAsia="en-US"/>
              </w:rPr>
              <w:t>Global Strategy evaluation</w:t>
            </w:r>
            <w:r w:rsidRPr="0049079B">
              <w:rPr>
                <w:rFonts w:asciiTheme="minorHAnsi" w:hAnsiTheme="minorHAnsi"/>
                <w:color w:val="auto"/>
                <w:sz w:val="22"/>
                <w:lang w:eastAsia="en-US"/>
              </w:rPr>
              <w:t>: an independent evaluation of the Australia Awards Global Strategy and MEF will be undertaken to identify lessons learned on their implementation and to provide a basis for a refresh of these documents.</w:t>
            </w:r>
          </w:p>
        </w:tc>
        <w:tc>
          <w:tcPr>
            <w:tcW w:w="11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2AF2F"/>
          </w:tcPr>
          <w:p w:rsidR="008821C2" w:rsidRPr="00812509" w:rsidRDefault="008821C2" w:rsidP="004C3677">
            <w:pPr>
              <w:keepLines/>
              <w:spacing w:before="40" w:after="40" w:line="200" w:lineRule="atLeast"/>
              <w:jc w:val="center"/>
              <w:rPr>
                <w:rFonts w:asciiTheme="minorHAnsi" w:eastAsia="Times New Roman" w:hAnsiTheme="minorHAnsi"/>
                <w:iCs/>
                <w:color w:val="FFFFFF" w:themeColor="background1"/>
                <w:szCs w:val="17"/>
                <w:lang w:eastAsia="en-US"/>
              </w:rPr>
            </w:pPr>
            <w:r w:rsidRPr="00812509">
              <w:rPr>
                <w:rFonts w:asciiTheme="minorHAnsi" w:eastAsia="Times New Roman" w:hAnsiTheme="minorHAnsi"/>
                <w:iCs/>
                <w:color w:val="FFFFFF" w:themeColor="background1"/>
                <w:szCs w:val="17"/>
                <w:lang w:eastAsia="en-US"/>
              </w:rPr>
              <w:t>Achieved</w:t>
            </w:r>
          </w:p>
        </w:tc>
        <w:tc>
          <w:tcPr>
            <w:tcW w:w="67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821C2" w:rsidRPr="00630B13" w:rsidRDefault="00630B13" w:rsidP="004C3677">
            <w:pPr>
              <w:keepLines/>
              <w:spacing w:before="40" w:after="40" w:line="200" w:lineRule="atLeast"/>
              <w:rPr>
                <w:rFonts w:asciiTheme="minorHAnsi" w:eastAsia="Times New Roman" w:hAnsiTheme="minorHAnsi"/>
                <w:iCs/>
                <w:color w:val="auto"/>
                <w:szCs w:val="17"/>
                <w:lang w:eastAsia="en-US"/>
              </w:rPr>
            </w:pPr>
            <w:r>
              <w:rPr>
                <w:rFonts w:asciiTheme="minorHAnsi" w:eastAsia="Times New Roman" w:hAnsiTheme="minorHAnsi"/>
                <w:iCs/>
                <w:color w:val="auto"/>
                <w:szCs w:val="17"/>
                <w:lang w:eastAsia="en-US"/>
              </w:rPr>
              <w:t xml:space="preserve">The report </w:t>
            </w:r>
            <w:r>
              <w:rPr>
                <w:rFonts w:asciiTheme="minorHAnsi" w:eastAsia="Times New Roman" w:hAnsiTheme="minorHAnsi"/>
                <w:i/>
                <w:color w:val="auto"/>
                <w:szCs w:val="17"/>
                <w:lang w:eastAsia="en-US"/>
              </w:rPr>
              <w:t>Australia Awards Global Strategy Evaluation and Performance Report</w:t>
            </w:r>
            <w:r>
              <w:rPr>
                <w:rFonts w:asciiTheme="minorHAnsi" w:eastAsia="Times New Roman" w:hAnsiTheme="minorHAnsi"/>
                <w:iCs/>
                <w:color w:val="auto"/>
                <w:szCs w:val="17"/>
                <w:lang w:eastAsia="en-US"/>
              </w:rPr>
              <w:t xml:space="preserve"> and DFAT’s management response was published on the DFAT website on </w:t>
            </w:r>
            <w:r w:rsidRPr="00630B13">
              <w:rPr>
                <w:rFonts w:asciiTheme="minorHAnsi" w:eastAsia="Times New Roman" w:hAnsiTheme="minorHAnsi"/>
                <w:iCs/>
                <w:color w:val="auto"/>
                <w:szCs w:val="17"/>
                <w:lang w:eastAsia="en-US"/>
              </w:rPr>
              <w:t>25 June 2019. All the recommendations were either agreed or agreed in principle and will be incorporated into the new strategy.</w:t>
            </w:r>
          </w:p>
        </w:tc>
      </w:tr>
      <w:tr w:rsidR="008821C2" w:rsidRPr="00812509" w:rsidTr="00E11B69">
        <w:trPr>
          <w:cnfStyle w:val="000000010000" w:firstRow="0" w:lastRow="0" w:firstColumn="0" w:lastColumn="0" w:oddVBand="0" w:evenVBand="0" w:oddHBand="0" w:evenHBand="1" w:firstRowFirstColumn="0" w:firstRowLastColumn="0" w:lastRowFirstColumn="0" w:lastRowLastColumn="0"/>
        </w:trPr>
        <w:tc>
          <w:tcPr>
            <w:tcW w:w="63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821C2" w:rsidRPr="00812509" w:rsidRDefault="00583D1D" w:rsidP="004C3677">
            <w:pPr>
              <w:keepLines/>
              <w:spacing w:before="40" w:after="40" w:line="200" w:lineRule="atLeast"/>
              <w:rPr>
                <w:rFonts w:asciiTheme="minorHAnsi" w:eastAsia="Times New Roman" w:hAnsiTheme="minorHAnsi"/>
                <w:iCs/>
                <w:szCs w:val="17"/>
                <w:lang w:eastAsia="en-US"/>
              </w:rPr>
            </w:pPr>
            <w:r w:rsidRPr="0049079B">
              <w:rPr>
                <w:rFonts w:asciiTheme="minorHAnsi" w:hAnsiTheme="minorHAnsi"/>
                <w:b/>
                <w:bCs/>
                <w:color w:val="auto"/>
                <w:sz w:val="22"/>
                <w:lang w:eastAsia="en-US"/>
              </w:rPr>
              <w:t>Broadening the on-award experience</w:t>
            </w:r>
            <w:r w:rsidRPr="0049079B">
              <w:rPr>
                <w:rFonts w:asciiTheme="minorHAnsi" w:hAnsiTheme="minorHAnsi"/>
                <w:color w:val="auto"/>
                <w:sz w:val="22"/>
                <w:lang w:eastAsia="en-US"/>
              </w:rPr>
              <w:t>: DFAT will consider ways to increase people-to-people links for Australia Award recipients (Outcome 2) and to support the building of partnerships between institutions and businesses in Australia and partner countries (Outcome 3). This will build on examples of on-award support for students such as the Indonesia On-Award Enrichment Program and the Pacific focussed Women’s Leadership Initiative.</w:t>
            </w:r>
          </w:p>
        </w:tc>
        <w:tc>
          <w:tcPr>
            <w:tcW w:w="11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cPr>
          <w:p w:rsidR="008821C2" w:rsidRPr="00812509" w:rsidRDefault="00E11B69" w:rsidP="004C3677">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 xml:space="preserve">Partly </w:t>
            </w:r>
            <w:r w:rsidR="008821C2" w:rsidRPr="00812509">
              <w:rPr>
                <w:rFonts w:asciiTheme="minorHAnsi" w:eastAsia="Times New Roman" w:hAnsiTheme="minorHAnsi"/>
                <w:iCs/>
                <w:color w:val="FFFFFF" w:themeColor="background1"/>
                <w:szCs w:val="17"/>
                <w:lang w:eastAsia="en-US"/>
              </w:rPr>
              <w:t>Achieved</w:t>
            </w:r>
            <w:r w:rsidR="008821C2" w:rsidRPr="00812509">
              <w:rPr>
                <w:rFonts w:eastAsia="Times New Roman"/>
                <w:iCs/>
                <w:color w:val="FFFFFF" w:themeColor="background1"/>
                <w:szCs w:val="17"/>
              </w:rPr>
              <w:fldChar w:fldCharType="begin"/>
            </w:r>
            <w:r w:rsidR="008821C2" w:rsidRPr="00812509">
              <w:rPr>
                <w:rFonts w:asciiTheme="minorHAnsi" w:eastAsia="Times New Roman" w:hAnsiTheme="minorHAnsi"/>
                <w:iCs/>
                <w:color w:val="FFFFFF" w:themeColor="background1"/>
                <w:szCs w:val="17"/>
                <w:lang w:eastAsia="en-US"/>
              </w:rPr>
              <w:instrText xml:space="preserve"> AUTOTEXTLIST  \s "Rating bullet"\t "Right click to choose a rating" \* MERGEFORMAT </w:instrText>
            </w:r>
            <w:r w:rsidR="008821C2" w:rsidRPr="00812509">
              <w:rPr>
                <w:rFonts w:eastAsia="Times New Roman"/>
                <w:iCs/>
                <w:color w:val="FFFFFF" w:themeColor="background1"/>
                <w:szCs w:val="17"/>
              </w:rPr>
              <w:fldChar w:fldCharType="end"/>
            </w:r>
          </w:p>
        </w:tc>
        <w:tc>
          <w:tcPr>
            <w:tcW w:w="67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821C2" w:rsidRPr="00315E63" w:rsidRDefault="00957383" w:rsidP="00BA4F25">
            <w:pPr>
              <w:keepLines/>
              <w:spacing w:before="40" w:after="40" w:line="200" w:lineRule="atLeast"/>
              <w:rPr>
                <w:rFonts w:asciiTheme="minorHAnsi" w:eastAsia="Times New Roman" w:hAnsiTheme="minorHAnsi"/>
                <w:iCs/>
                <w:color w:val="FF0000"/>
                <w:szCs w:val="17"/>
                <w:lang w:eastAsia="en-US"/>
              </w:rPr>
            </w:pPr>
            <w:r w:rsidRPr="00957383">
              <w:rPr>
                <w:rFonts w:asciiTheme="minorHAnsi" w:eastAsia="Times New Roman" w:hAnsiTheme="minorHAnsi"/>
                <w:iCs/>
                <w:color w:val="auto"/>
                <w:szCs w:val="17"/>
                <w:lang w:eastAsia="en-US"/>
              </w:rPr>
              <w:t xml:space="preserve">Australia Awards </w:t>
            </w:r>
            <w:r w:rsidR="00BA4F25">
              <w:rPr>
                <w:rFonts w:asciiTheme="minorHAnsi" w:eastAsia="Times New Roman" w:hAnsiTheme="minorHAnsi"/>
                <w:iCs/>
                <w:color w:val="auto"/>
                <w:szCs w:val="17"/>
                <w:lang w:eastAsia="en-US"/>
              </w:rPr>
              <w:t>country program</w:t>
            </w:r>
            <w:r w:rsidRPr="00957383">
              <w:rPr>
                <w:rFonts w:asciiTheme="minorHAnsi" w:eastAsia="Times New Roman" w:hAnsiTheme="minorHAnsi"/>
                <w:iCs/>
                <w:color w:val="auto"/>
                <w:szCs w:val="17"/>
                <w:lang w:eastAsia="en-US"/>
              </w:rPr>
              <w:t xml:space="preserve"> areas continue to lead on the delivery of On-Award Enrichment activities</w:t>
            </w:r>
            <w:r w:rsidR="005071C8">
              <w:rPr>
                <w:rFonts w:asciiTheme="minorHAnsi" w:eastAsia="Times New Roman" w:hAnsiTheme="minorHAnsi"/>
                <w:iCs/>
                <w:color w:val="auto"/>
                <w:szCs w:val="17"/>
                <w:lang w:eastAsia="en-US"/>
              </w:rPr>
              <w:t>.</w:t>
            </w:r>
            <w:r>
              <w:rPr>
                <w:rFonts w:asciiTheme="minorHAnsi" w:eastAsia="Times New Roman" w:hAnsiTheme="minorHAnsi"/>
                <w:iCs/>
                <w:color w:val="auto"/>
                <w:szCs w:val="17"/>
                <w:lang w:eastAsia="en-US"/>
              </w:rPr>
              <w:t xml:space="preserve"> </w:t>
            </w:r>
            <w:r w:rsidR="00E277E6" w:rsidRPr="00E277E6">
              <w:rPr>
                <w:rFonts w:asciiTheme="minorHAnsi" w:eastAsia="Times New Roman" w:hAnsiTheme="minorHAnsi"/>
                <w:iCs/>
                <w:color w:val="auto"/>
                <w:szCs w:val="17"/>
                <w:lang w:eastAsia="en-US"/>
              </w:rPr>
              <w:t>DFAT and its partners continue to share good examples of on-award enrichment across the global program</w:t>
            </w:r>
            <w:r w:rsidR="00EF1FB1">
              <w:rPr>
                <w:rFonts w:asciiTheme="minorHAnsi" w:eastAsia="Times New Roman" w:hAnsiTheme="minorHAnsi"/>
                <w:iCs/>
                <w:color w:val="auto"/>
                <w:szCs w:val="17"/>
                <w:lang w:eastAsia="en-US"/>
              </w:rPr>
              <w:t xml:space="preserve"> </w:t>
            </w:r>
            <w:r w:rsidRPr="00957383">
              <w:rPr>
                <w:rFonts w:asciiTheme="minorHAnsi" w:eastAsia="Times New Roman" w:hAnsiTheme="minorHAnsi"/>
                <w:iCs/>
                <w:color w:val="auto"/>
                <w:szCs w:val="17"/>
                <w:lang w:eastAsia="en-US"/>
              </w:rPr>
              <w:t>leveraging lessons and experience to increase opportunities for a broader cohort of students.</w:t>
            </w:r>
            <w:r w:rsidR="00F219BB">
              <w:rPr>
                <w:rFonts w:asciiTheme="minorHAnsi" w:eastAsia="Times New Roman" w:hAnsiTheme="minorHAnsi"/>
                <w:iCs/>
                <w:color w:val="auto"/>
                <w:szCs w:val="17"/>
                <w:lang w:eastAsia="en-US"/>
              </w:rPr>
              <w:t xml:space="preserve"> Most of the universities reported on-going and new enrichment program activities designed to enhance the student experience and build their connection with both the university and wider local community. </w:t>
            </w:r>
          </w:p>
        </w:tc>
      </w:tr>
    </w:tbl>
    <w:p w:rsidR="008821C2" w:rsidRPr="00812509" w:rsidRDefault="008821C2" w:rsidP="008821C2">
      <w:pPr>
        <w:spacing w:before="20" w:after="20" w:line="180" w:lineRule="atLeast"/>
        <w:jc w:val="both"/>
        <w:rPr>
          <w:rFonts w:eastAsia="Times New Roman"/>
          <w:b/>
          <w:sz w:val="16"/>
          <w:szCs w:val="14"/>
        </w:rPr>
      </w:pPr>
      <w:r w:rsidRPr="00812509">
        <w:rPr>
          <w:rFonts w:eastAsia="Times New Roman"/>
          <w:b/>
          <w:sz w:val="16"/>
          <w:szCs w:val="14"/>
        </w:rPr>
        <w:t xml:space="preserve">Note: </w:t>
      </w:r>
    </w:p>
    <w:p w:rsidR="008821C2" w:rsidRPr="00812509" w:rsidRDefault="008821C2" w:rsidP="008821C2">
      <w:pPr>
        <w:spacing w:before="20" w:after="20" w:line="180" w:lineRule="atLeast"/>
        <w:jc w:val="both"/>
        <w:rPr>
          <w:rFonts w:eastAsia="Times New Roman"/>
          <w:b/>
          <w:sz w:val="16"/>
          <w:szCs w:val="14"/>
        </w:rPr>
      </w:pPr>
      <w:r w:rsidRPr="00812509">
        <w:rPr>
          <w:rFonts w:eastAsia="Times New Roman"/>
          <w:b/>
          <w:color w:val="72AF2F"/>
          <w:sz w:val="16"/>
          <w:szCs w:val="14"/>
        </w:rPr>
        <w:sym w:font="Webdings" w:char="F067"/>
      </w:r>
      <w:r w:rsidRPr="00812509">
        <w:rPr>
          <w:rFonts w:eastAsia="Times New Roman"/>
          <w:b/>
          <w:sz w:val="16"/>
          <w:szCs w:val="14"/>
        </w:rPr>
        <w:t> </w:t>
      </w:r>
      <w:r w:rsidRPr="00812509">
        <w:rPr>
          <w:rFonts w:eastAsia="Times New Roman"/>
          <w:b/>
          <w:sz w:val="16"/>
          <w:szCs w:val="14"/>
        </w:rPr>
        <w:t xml:space="preserve"> Achieved.  Significant progress has been made in addressing the issue </w:t>
      </w:r>
    </w:p>
    <w:p w:rsidR="008821C2" w:rsidRPr="00812509" w:rsidRDefault="008821C2" w:rsidP="008821C2">
      <w:pPr>
        <w:spacing w:before="20" w:after="20" w:line="180" w:lineRule="atLeast"/>
        <w:jc w:val="both"/>
        <w:rPr>
          <w:rFonts w:eastAsia="Times New Roman"/>
          <w:b/>
          <w:sz w:val="16"/>
          <w:szCs w:val="14"/>
        </w:rPr>
      </w:pPr>
      <w:r w:rsidRPr="00812509">
        <w:rPr>
          <w:rFonts w:eastAsia="Times New Roman"/>
          <w:b/>
          <w:color w:val="E36C0A"/>
          <w:sz w:val="16"/>
          <w:szCs w:val="14"/>
        </w:rPr>
        <w:sym w:font="Webdings" w:char="F067"/>
      </w:r>
      <w:r w:rsidRPr="00812509">
        <w:rPr>
          <w:rFonts w:eastAsia="Times New Roman"/>
          <w:b/>
          <w:sz w:val="16"/>
          <w:szCs w:val="14"/>
        </w:rPr>
        <w:t> </w:t>
      </w:r>
      <w:r w:rsidRPr="00812509">
        <w:rPr>
          <w:rFonts w:eastAsia="Times New Roman"/>
          <w:b/>
          <w:sz w:val="16"/>
          <w:szCs w:val="14"/>
        </w:rPr>
        <w:t xml:space="preserve"> Partly achieved.  Some progress has been made in addressing the issue, but the issue has not been resolved </w:t>
      </w:r>
    </w:p>
    <w:p w:rsidR="008821C2" w:rsidRPr="00812509" w:rsidRDefault="008821C2" w:rsidP="008821C2">
      <w:pPr>
        <w:spacing w:before="20" w:after="20" w:line="180" w:lineRule="atLeast"/>
        <w:jc w:val="both"/>
        <w:rPr>
          <w:rFonts w:eastAsia="Times New Roman"/>
          <w:b/>
          <w:sz w:val="16"/>
          <w:szCs w:val="14"/>
        </w:rPr>
      </w:pPr>
      <w:r w:rsidRPr="00812509">
        <w:rPr>
          <w:rFonts w:eastAsia="Times New Roman"/>
          <w:b/>
          <w:color w:val="FF0000"/>
          <w:sz w:val="16"/>
          <w:szCs w:val="14"/>
        </w:rPr>
        <w:sym w:font="Webdings" w:char="F067"/>
      </w:r>
      <w:r w:rsidRPr="00812509">
        <w:rPr>
          <w:rFonts w:eastAsia="Times New Roman"/>
          <w:b/>
          <w:sz w:val="16"/>
          <w:szCs w:val="14"/>
        </w:rPr>
        <w:t> </w:t>
      </w:r>
      <w:r w:rsidRPr="00812509">
        <w:rPr>
          <w:rFonts w:eastAsia="Times New Roman"/>
          <w:b/>
          <w:sz w:val="16"/>
          <w:szCs w:val="14"/>
        </w:rPr>
        <w:t xml:space="preserve"> Not achieved. Progress in addressing the issue has been significantly below expectations</w:t>
      </w:r>
    </w:p>
    <w:p w:rsidR="00400B0F" w:rsidRPr="00C61187" w:rsidRDefault="00400B0F" w:rsidP="00400B0F">
      <w:pPr>
        <w:spacing w:after="160" w:line="280" w:lineRule="exact"/>
        <w:rPr>
          <w:rFonts w:ascii="Franklin Gothic Book" w:eastAsia="Times New Roman" w:hAnsi="Franklin Gothic Book"/>
          <w:sz w:val="21"/>
        </w:rPr>
      </w:pPr>
    </w:p>
    <w:p w:rsidR="00400B0F" w:rsidRPr="00C61187" w:rsidRDefault="00400B0F" w:rsidP="00400B0F">
      <w:pPr>
        <w:spacing w:after="200" w:line="276" w:lineRule="auto"/>
        <w:rPr>
          <w:rFonts w:ascii="Franklin Gothic Book" w:hAnsi="Franklin Gothic Book"/>
          <w:sz w:val="21"/>
        </w:rPr>
      </w:pPr>
    </w:p>
    <w:p w:rsidR="00D15A00" w:rsidRDefault="00D15A00" w:rsidP="002A51CA"/>
    <w:p w:rsidR="00060268" w:rsidRDefault="00060268" w:rsidP="002A51CA"/>
    <w:p w:rsidR="00060268" w:rsidRDefault="00060268" w:rsidP="002A51CA"/>
    <w:p w:rsidR="00060268" w:rsidRDefault="00060268" w:rsidP="002A51CA"/>
    <w:p w:rsidR="00060268" w:rsidRDefault="00060268" w:rsidP="002A51CA"/>
    <w:p w:rsidR="00060268" w:rsidRDefault="00060268" w:rsidP="002A51CA"/>
    <w:p w:rsidR="00060268" w:rsidRDefault="00060268" w:rsidP="002A51CA"/>
    <w:p w:rsidR="007B4865" w:rsidRDefault="007B4865" w:rsidP="007B4865">
      <w:pPr>
        <w:rPr>
          <w:rFonts w:ascii="Franklin Gothic Book" w:eastAsia="Times New Roman" w:hAnsi="Franklin Gothic Book"/>
          <w:b/>
          <w:sz w:val="24"/>
          <w:szCs w:val="24"/>
        </w:rPr>
      </w:pPr>
    </w:p>
    <w:p w:rsidR="00400B0F" w:rsidRPr="008821C2" w:rsidRDefault="00400B0F" w:rsidP="008821C2">
      <w:pPr>
        <w:suppressAutoHyphens w:val="0"/>
        <w:spacing w:before="360" w:after="120" w:line="300" w:lineRule="exact"/>
        <w:rPr>
          <w:rFonts w:asciiTheme="majorHAnsi" w:hAnsiTheme="majorHAnsi" w:cstheme="majorHAnsi"/>
          <w:sz w:val="38"/>
          <w:szCs w:val="38"/>
        </w:rPr>
      </w:pPr>
      <w:r>
        <w:rPr>
          <w:rFonts w:ascii="Franklin Gothic Book" w:eastAsia="Times New Roman" w:hAnsi="Franklin Gothic Book"/>
          <w:sz w:val="21"/>
        </w:rPr>
        <w:br w:type="page"/>
      </w:r>
      <w:r w:rsidR="00E1474E" w:rsidRPr="008821C2">
        <w:rPr>
          <w:rFonts w:asciiTheme="majorHAnsi" w:hAnsiTheme="majorHAnsi" w:cstheme="majorHAnsi"/>
          <w:sz w:val="38"/>
          <w:szCs w:val="38"/>
        </w:rPr>
        <w:t xml:space="preserve">ANNEX </w:t>
      </w:r>
      <w:r w:rsidR="00E1474E">
        <w:rPr>
          <w:rFonts w:asciiTheme="majorHAnsi" w:hAnsiTheme="majorHAnsi" w:cstheme="majorHAnsi"/>
          <w:sz w:val="38"/>
          <w:szCs w:val="38"/>
        </w:rPr>
        <w:t>B</w:t>
      </w:r>
      <w:r w:rsidR="00E1474E" w:rsidRPr="008821C2">
        <w:rPr>
          <w:rFonts w:asciiTheme="majorHAnsi" w:hAnsiTheme="majorHAnsi" w:cstheme="majorHAnsi"/>
          <w:sz w:val="38"/>
          <w:szCs w:val="38"/>
        </w:rPr>
        <w:t xml:space="preserve"> - EVALUATION PLANNING</w:t>
      </w:r>
    </w:p>
    <w:p w:rsidR="008821C2" w:rsidRPr="00EF26B5" w:rsidRDefault="008821C2" w:rsidP="008821C2">
      <w:pPr>
        <w:spacing w:before="360"/>
        <w:rPr>
          <w:rFonts w:eastAsiaTheme="majorEastAsia" w:cstheme="minorHAnsi"/>
          <w:caps/>
          <w:sz w:val="36"/>
          <w:szCs w:val="36"/>
        </w:rPr>
      </w:pPr>
      <w:r w:rsidRPr="00EF26B5">
        <w:rPr>
          <w:rFonts w:eastAsiaTheme="majorEastAsia" w:cstheme="minorHAnsi"/>
          <w:caps/>
          <w:sz w:val="36"/>
          <w:szCs w:val="36"/>
        </w:rPr>
        <w:t xml:space="preserve">List of evaluations completed in the reporting period </w:t>
      </w:r>
    </w:p>
    <w:tbl>
      <w:tblPr>
        <w:tblStyle w:val="APPR"/>
        <w:tblW w:w="14938" w:type="dxa"/>
        <w:tblLayout w:type="fixed"/>
        <w:tblLook w:val="04A0" w:firstRow="1" w:lastRow="0" w:firstColumn="1" w:lastColumn="0" w:noHBand="0" w:noVBand="1"/>
      </w:tblPr>
      <w:tblGrid>
        <w:gridCol w:w="4189"/>
        <w:gridCol w:w="4468"/>
        <w:gridCol w:w="1662"/>
        <w:gridCol w:w="1951"/>
        <w:gridCol w:w="1673"/>
        <w:gridCol w:w="995"/>
      </w:tblGrid>
      <w:tr w:rsidR="008821C2" w:rsidRPr="00C61187" w:rsidTr="00854166">
        <w:trPr>
          <w:cnfStyle w:val="100000000000" w:firstRow="1" w:lastRow="0" w:firstColumn="0" w:lastColumn="0" w:oddVBand="0" w:evenVBand="0" w:oddHBand="0" w:evenHBand="0" w:firstRowFirstColumn="0" w:firstRowLastColumn="0" w:lastRowFirstColumn="0" w:lastRowLastColumn="0"/>
          <w:trHeight w:val="670"/>
        </w:trPr>
        <w:tc>
          <w:tcPr>
            <w:tcW w:w="4147" w:type="dxa"/>
            <w:tcBorders>
              <w:bottom w:val="single" w:sz="4" w:space="0" w:color="auto"/>
            </w:tcBorders>
          </w:tcPr>
          <w:p w:rsidR="008821C2" w:rsidRPr="00854166" w:rsidRDefault="008821C2" w:rsidP="00174896">
            <w:pPr>
              <w:keepLines/>
              <w:spacing w:before="0" w:line="200" w:lineRule="atLeast"/>
              <w:contextualSpacing/>
              <w:rPr>
                <w:rFonts w:asciiTheme="minorHAnsi" w:eastAsia="Times New Roman" w:hAnsiTheme="minorHAnsi"/>
                <w:iCs/>
                <w:sz w:val="18"/>
                <w:szCs w:val="18"/>
                <w:lang w:eastAsia="en-US"/>
              </w:rPr>
            </w:pPr>
            <w:r w:rsidRPr="00854166">
              <w:rPr>
                <w:rFonts w:asciiTheme="minorHAnsi" w:eastAsia="Times New Roman" w:hAnsiTheme="minorHAnsi"/>
                <w:iCs/>
                <w:sz w:val="18"/>
                <w:szCs w:val="18"/>
                <w:lang w:eastAsia="en-US"/>
              </w:rPr>
              <w:t xml:space="preserve">Investment number and name </w:t>
            </w:r>
          </w:p>
          <w:p w:rsidR="008821C2" w:rsidRPr="00854166" w:rsidRDefault="008821C2" w:rsidP="00174896">
            <w:pPr>
              <w:keepLines/>
              <w:spacing w:before="0" w:line="200" w:lineRule="atLeast"/>
              <w:contextualSpacing/>
              <w:rPr>
                <w:rFonts w:asciiTheme="minorHAnsi" w:eastAsia="Times New Roman" w:hAnsiTheme="minorHAnsi"/>
                <w:b w:val="0"/>
                <w:iCs/>
                <w:sz w:val="18"/>
                <w:szCs w:val="18"/>
                <w:lang w:eastAsia="en-US"/>
              </w:rPr>
            </w:pPr>
            <w:r w:rsidRPr="00854166">
              <w:rPr>
                <w:rFonts w:asciiTheme="minorHAnsi" w:eastAsia="Times New Roman" w:hAnsiTheme="minorHAnsi"/>
                <w:iCs/>
                <w:sz w:val="18"/>
                <w:szCs w:val="18"/>
                <w:lang w:eastAsia="en-US"/>
              </w:rPr>
              <w:t xml:space="preserve">(if applicable) </w:t>
            </w:r>
          </w:p>
        </w:tc>
        <w:tc>
          <w:tcPr>
            <w:tcW w:w="4440" w:type="dxa"/>
            <w:tcBorders>
              <w:bottom w:val="single" w:sz="4" w:space="0" w:color="auto"/>
            </w:tcBorders>
          </w:tcPr>
          <w:p w:rsidR="008821C2" w:rsidRPr="00854166" w:rsidRDefault="008821C2" w:rsidP="00174896">
            <w:pPr>
              <w:keepLines/>
              <w:spacing w:before="0" w:line="200" w:lineRule="atLeast"/>
              <w:contextualSpacing/>
              <w:rPr>
                <w:rFonts w:asciiTheme="minorHAnsi" w:eastAsia="Times New Roman" w:hAnsiTheme="minorHAnsi"/>
                <w:iCs/>
                <w:sz w:val="18"/>
                <w:szCs w:val="18"/>
                <w:lang w:eastAsia="en-US"/>
              </w:rPr>
            </w:pPr>
            <w:r w:rsidRPr="00854166">
              <w:rPr>
                <w:rFonts w:asciiTheme="minorHAnsi" w:eastAsia="Times New Roman" w:hAnsiTheme="minorHAnsi"/>
                <w:iCs/>
                <w:sz w:val="18"/>
                <w:szCs w:val="18"/>
                <w:lang w:eastAsia="en-US"/>
              </w:rPr>
              <w:t>Name of evaluation</w:t>
            </w:r>
          </w:p>
        </w:tc>
        <w:tc>
          <w:tcPr>
            <w:tcW w:w="1634" w:type="dxa"/>
            <w:tcBorders>
              <w:bottom w:val="single" w:sz="4" w:space="0" w:color="auto"/>
            </w:tcBorders>
          </w:tcPr>
          <w:p w:rsidR="008821C2" w:rsidRPr="00854166" w:rsidRDefault="008821C2" w:rsidP="00174896">
            <w:pPr>
              <w:keepLines/>
              <w:spacing w:before="0" w:line="200" w:lineRule="atLeast"/>
              <w:contextualSpacing/>
              <w:rPr>
                <w:rFonts w:asciiTheme="minorHAnsi" w:eastAsia="Times New Roman" w:hAnsiTheme="minorHAnsi"/>
                <w:iCs/>
                <w:sz w:val="18"/>
                <w:szCs w:val="18"/>
                <w:lang w:eastAsia="en-US"/>
              </w:rPr>
            </w:pPr>
            <w:r w:rsidRPr="00854166">
              <w:rPr>
                <w:rFonts w:asciiTheme="minorHAnsi" w:eastAsia="Times New Roman" w:hAnsiTheme="minorHAnsi"/>
                <w:iCs/>
                <w:sz w:val="18"/>
                <w:szCs w:val="18"/>
                <w:lang w:eastAsia="en-US"/>
              </w:rPr>
              <w:t>Date completed</w:t>
            </w:r>
          </w:p>
        </w:tc>
        <w:tc>
          <w:tcPr>
            <w:tcW w:w="1923" w:type="dxa"/>
            <w:tcBorders>
              <w:bottom w:val="single" w:sz="4" w:space="0" w:color="auto"/>
            </w:tcBorders>
          </w:tcPr>
          <w:p w:rsidR="008821C2" w:rsidRPr="00854166" w:rsidRDefault="008821C2" w:rsidP="00174896">
            <w:pPr>
              <w:keepLines/>
              <w:spacing w:before="0" w:line="200" w:lineRule="atLeast"/>
              <w:contextualSpacing/>
              <w:rPr>
                <w:rFonts w:asciiTheme="minorHAnsi" w:eastAsia="Times New Roman" w:hAnsiTheme="minorHAnsi"/>
                <w:iCs/>
                <w:sz w:val="18"/>
                <w:szCs w:val="18"/>
                <w:lang w:eastAsia="en-US"/>
              </w:rPr>
            </w:pPr>
            <w:r w:rsidRPr="00854166">
              <w:rPr>
                <w:rFonts w:asciiTheme="minorHAnsi" w:eastAsia="Times New Roman" w:hAnsiTheme="minorHAnsi"/>
                <w:iCs/>
                <w:sz w:val="18"/>
                <w:szCs w:val="18"/>
                <w:lang w:eastAsia="en-US"/>
              </w:rPr>
              <w:t>Date Evaluation report Uploaded into AidWorks</w:t>
            </w:r>
          </w:p>
        </w:tc>
        <w:tc>
          <w:tcPr>
            <w:tcW w:w="1645" w:type="dxa"/>
            <w:tcBorders>
              <w:bottom w:val="single" w:sz="4" w:space="0" w:color="auto"/>
            </w:tcBorders>
          </w:tcPr>
          <w:p w:rsidR="008821C2" w:rsidRPr="00854166" w:rsidRDefault="008821C2" w:rsidP="00174896">
            <w:pPr>
              <w:keepLines/>
              <w:spacing w:before="0" w:line="200" w:lineRule="atLeast"/>
              <w:contextualSpacing/>
              <w:rPr>
                <w:rFonts w:asciiTheme="minorHAnsi" w:eastAsia="Times New Roman" w:hAnsiTheme="minorHAnsi"/>
                <w:iCs/>
                <w:sz w:val="18"/>
                <w:szCs w:val="18"/>
                <w:lang w:eastAsia="en-US"/>
              </w:rPr>
            </w:pPr>
            <w:r w:rsidRPr="00854166">
              <w:rPr>
                <w:rFonts w:asciiTheme="minorHAnsi" w:eastAsia="Times New Roman" w:hAnsiTheme="minorHAnsi"/>
                <w:iCs/>
                <w:sz w:val="18"/>
                <w:szCs w:val="18"/>
                <w:lang w:eastAsia="en-US"/>
              </w:rPr>
              <w:t>Date Management response uploaded into AidWorks</w:t>
            </w:r>
          </w:p>
        </w:tc>
        <w:tc>
          <w:tcPr>
            <w:tcW w:w="953" w:type="dxa"/>
            <w:tcBorders>
              <w:bottom w:val="single" w:sz="4" w:space="0" w:color="auto"/>
            </w:tcBorders>
          </w:tcPr>
          <w:p w:rsidR="008821C2" w:rsidRPr="00854166" w:rsidRDefault="008821C2" w:rsidP="00174896">
            <w:pPr>
              <w:keepLines/>
              <w:spacing w:before="0" w:line="200" w:lineRule="atLeast"/>
              <w:contextualSpacing/>
              <w:rPr>
                <w:rFonts w:asciiTheme="minorHAnsi" w:eastAsia="Times New Roman" w:hAnsiTheme="minorHAnsi"/>
                <w:iCs/>
                <w:sz w:val="18"/>
                <w:szCs w:val="18"/>
                <w:lang w:eastAsia="en-US"/>
              </w:rPr>
            </w:pPr>
            <w:r w:rsidRPr="00854166">
              <w:rPr>
                <w:rFonts w:asciiTheme="minorHAnsi" w:eastAsia="Times New Roman" w:hAnsiTheme="minorHAnsi"/>
                <w:iCs/>
                <w:sz w:val="18"/>
                <w:szCs w:val="18"/>
                <w:lang w:eastAsia="en-US"/>
              </w:rPr>
              <w:t>Published on website</w:t>
            </w:r>
          </w:p>
        </w:tc>
      </w:tr>
      <w:tr w:rsidR="00854166" w:rsidRPr="003B5EE5" w:rsidTr="00854166">
        <w:trPr>
          <w:cnfStyle w:val="100000000000" w:firstRow="1" w:lastRow="0" w:firstColumn="0" w:lastColumn="0" w:oddVBand="0" w:evenVBand="0" w:oddHBand="0" w:evenHBand="0" w:firstRowFirstColumn="0" w:firstRowLastColumn="0" w:lastRowFirstColumn="0" w:lastRowLastColumn="0"/>
          <w:trHeight w:val="592"/>
        </w:trPr>
        <w:tc>
          <w:tcPr>
            <w:tcW w:w="4147" w:type="dxa"/>
          </w:tcPr>
          <w:p w:rsidR="00854166" w:rsidRPr="00D26207" w:rsidRDefault="00854166" w:rsidP="004C3677">
            <w:pPr>
              <w:keepLines/>
              <w:spacing w:before="40" w:after="40" w:line="200" w:lineRule="atLeast"/>
              <w:rPr>
                <w:rFonts w:asciiTheme="minorHAnsi" w:eastAsia="Times New Roman" w:hAnsiTheme="minorHAnsi" w:cstheme="minorHAnsi"/>
                <w:b w:val="0"/>
                <w:bCs/>
                <w:iCs/>
                <w:color w:val="auto"/>
                <w:sz w:val="20"/>
                <w:szCs w:val="20"/>
              </w:rPr>
            </w:pPr>
            <w:r w:rsidRPr="00D26207">
              <w:rPr>
                <w:rFonts w:asciiTheme="minorHAnsi" w:eastAsia="Times New Roman" w:hAnsiTheme="minorHAnsi" w:cstheme="minorHAnsi"/>
                <w:b w:val="0"/>
                <w:bCs/>
                <w:iCs/>
                <w:color w:val="auto"/>
                <w:sz w:val="20"/>
                <w:szCs w:val="20"/>
              </w:rPr>
              <w:t>Australia Awards</w:t>
            </w:r>
          </w:p>
        </w:tc>
        <w:tc>
          <w:tcPr>
            <w:tcW w:w="4440" w:type="dxa"/>
          </w:tcPr>
          <w:p w:rsidR="00854166" w:rsidRPr="00854166" w:rsidRDefault="00854166"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 xml:space="preserve">Australia Awards Global Strategy Evaluation and Performance Report: Evaluation Report </w:t>
            </w:r>
          </w:p>
        </w:tc>
        <w:tc>
          <w:tcPr>
            <w:tcW w:w="1634" w:type="dxa"/>
          </w:tcPr>
          <w:p w:rsidR="00854166" w:rsidRPr="00854166" w:rsidRDefault="00854166"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4 April 2019</w:t>
            </w:r>
          </w:p>
        </w:tc>
        <w:tc>
          <w:tcPr>
            <w:tcW w:w="1923" w:type="dxa"/>
          </w:tcPr>
          <w:p w:rsidR="00854166" w:rsidRPr="00854166" w:rsidRDefault="00854166"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25 June 2019 (DFAT Website)</w:t>
            </w:r>
          </w:p>
        </w:tc>
        <w:tc>
          <w:tcPr>
            <w:tcW w:w="1645" w:type="dxa"/>
          </w:tcPr>
          <w:p w:rsidR="00854166" w:rsidRPr="00854166" w:rsidRDefault="00854166"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25 June 2019 (DFAT Website)</w:t>
            </w:r>
          </w:p>
        </w:tc>
        <w:tc>
          <w:tcPr>
            <w:tcW w:w="953" w:type="dxa"/>
          </w:tcPr>
          <w:p w:rsidR="00854166" w:rsidRPr="00854166" w:rsidRDefault="00854166"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Yes</w:t>
            </w:r>
          </w:p>
        </w:tc>
      </w:tr>
      <w:tr w:rsidR="004C6FD0" w:rsidRPr="003B5EE5" w:rsidTr="00854166">
        <w:trPr>
          <w:cnfStyle w:val="100000000000" w:firstRow="1" w:lastRow="0" w:firstColumn="0" w:lastColumn="0" w:oddVBand="0" w:evenVBand="0" w:oddHBand="0" w:evenHBand="0" w:firstRowFirstColumn="0" w:firstRowLastColumn="0" w:lastRowFirstColumn="0" w:lastRowLastColumn="0"/>
          <w:trHeight w:val="592"/>
        </w:trPr>
        <w:tc>
          <w:tcPr>
            <w:tcW w:w="4147" w:type="dxa"/>
          </w:tcPr>
          <w:p w:rsidR="004C6FD0" w:rsidRPr="00D26207" w:rsidRDefault="004C6FD0" w:rsidP="004C3677">
            <w:pPr>
              <w:keepLines/>
              <w:spacing w:before="40" w:after="40" w:line="200" w:lineRule="atLeast"/>
              <w:rPr>
                <w:rFonts w:asciiTheme="minorHAnsi" w:eastAsia="Times New Roman" w:hAnsiTheme="minorHAnsi" w:cstheme="minorHAnsi"/>
                <w:b w:val="0"/>
                <w:bCs/>
                <w:iCs/>
                <w:color w:val="auto"/>
                <w:sz w:val="20"/>
                <w:szCs w:val="20"/>
              </w:rPr>
            </w:pPr>
            <w:r w:rsidRPr="00D26207">
              <w:rPr>
                <w:rFonts w:asciiTheme="minorHAnsi" w:eastAsia="Times New Roman" w:hAnsiTheme="minorHAnsi" w:cstheme="minorHAnsi"/>
                <w:b w:val="0"/>
                <w:bCs/>
                <w:iCs/>
                <w:color w:val="auto"/>
                <w:sz w:val="20"/>
                <w:szCs w:val="20"/>
              </w:rPr>
              <w:t>Australia Awards</w:t>
            </w:r>
          </w:p>
        </w:tc>
        <w:tc>
          <w:tcPr>
            <w:tcW w:w="4440" w:type="dxa"/>
          </w:tcPr>
          <w:p w:rsidR="004C6FD0" w:rsidRPr="004C6FD0" w:rsidRDefault="004C6FD0"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4C6FD0">
              <w:rPr>
                <w:rFonts w:asciiTheme="minorHAnsi" w:eastAsia="Times New Roman" w:hAnsiTheme="minorHAnsi" w:cstheme="minorHAnsi"/>
                <w:b w:val="0"/>
                <w:bCs/>
                <w:iCs/>
                <w:color w:val="000000" w:themeColor="text1"/>
                <w:sz w:val="20"/>
                <w:szCs w:val="20"/>
              </w:rPr>
              <w:t>Review of the Australia Awards Global Tracer Facility</w:t>
            </w:r>
          </w:p>
        </w:tc>
        <w:tc>
          <w:tcPr>
            <w:tcW w:w="1634" w:type="dxa"/>
          </w:tcPr>
          <w:p w:rsidR="004C6FD0" w:rsidRPr="004C6FD0" w:rsidRDefault="004C6FD0"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4C6FD0">
              <w:rPr>
                <w:rFonts w:asciiTheme="minorHAnsi" w:eastAsia="Times New Roman" w:hAnsiTheme="minorHAnsi" w:cstheme="minorHAnsi"/>
                <w:b w:val="0"/>
                <w:bCs/>
                <w:iCs/>
                <w:color w:val="000000" w:themeColor="text1"/>
                <w:sz w:val="20"/>
                <w:szCs w:val="20"/>
              </w:rPr>
              <w:t>5 June 2019</w:t>
            </w:r>
          </w:p>
        </w:tc>
        <w:tc>
          <w:tcPr>
            <w:tcW w:w="1923" w:type="dxa"/>
          </w:tcPr>
          <w:p w:rsidR="004C6FD0" w:rsidRPr="004C6FD0" w:rsidRDefault="004C6FD0" w:rsidP="004C3677">
            <w:pPr>
              <w:keepLines/>
              <w:spacing w:before="40" w:after="40" w:line="200" w:lineRule="atLeast"/>
              <w:rPr>
                <w:rFonts w:asciiTheme="minorHAnsi" w:eastAsia="Times New Roman" w:hAnsiTheme="minorHAnsi" w:cstheme="minorHAnsi"/>
                <w:b w:val="0"/>
                <w:bCs/>
                <w:iCs/>
                <w:color w:val="FF0000"/>
                <w:sz w:val="20"/>
                <w:szCs w:val="20"/>
              </w:rPr>
            </w:pPr>
          </w:p>
        </w:tc>
        <w:tc>
          <w:tcPr>
            <w:tcW w:w="1645" w:type="dxa"/>
          </w:tcPr>
          <w:p w:rsidR="004C6FD0" w:rsidRPr="004C6FD0" w:rsidRDefault="004C6FD0" w:rsidP="004C3677">
            <w:pPr>
              <w:keepLines/>
              <w:spacing w:before="40" w:after="40" w:line="200" w:lineRule="atLeast"/>
              <w:rPr>
                <w:rFonts w:asciiTheme="minorHAnsi" w:eastAsia="Times New Roman" w:hAnsiTheme="minorHAnsi" w:cstheme="minorHAnsi"/>
                <w:b w:val="0"/>
                <w:bCs/>
                <w:iCs/>
                <w:color w:val="FF0000"/>
                <w:sz w:val="20"/>
                <w:szCs w:val="20"/>
              </w:rPr>
            </w:pPr>
          </w:p>
        </w:tc>
        <w:tc>
          <w:tcPr>
            <w:tcW w:w="953" w:type="dxa"/>
          </w:tcPr>
          <w:p w:rsidR="004C6FD0" w:rsidRPr="004C6FD0" w:rsidRDefault="004C6FD0" w:rsidP="004C3677">
            <w:pPr>
              <w:keepLines/>
              <w:spacing w:before="40" w:after="40" w:line="200" w:lineRule="atLeast"/>
              <w:rPr>
                <w:rFonts w:asciiTheme="minorHAnsi" w:eastAsia="Times New Roman" w:hAnsiTheme="minorHAnsi" w:cstheme="minorHAnsi"/>
                <w:b w:val="0"/>
                <w:bCs/>
                <w:iCs/>
                <w:color w:val="FF0000"/>
                <w:sz w:val="20"/>
                <w:szCs w:val="20"/>
              </w:rPr>
            </w:pPr>
          </w:p>
        </w:tc>
      </w:tr>
      <w:tr w:rsidR="00AC0E16" w:rsidRPr="003B5EE5" w:rsidTr="00854166">
        <w:trPr>
          <w:cnfStyle w:val="100000000000" w:firstRow="1" w:lastRow="0" w:firstColumn="0" w:lastColumn="0" w:oddVBand="0" w:evenVBand="0" w:oddHBand="0" w:evenHBand="0" w:firstRowFirstColumn="0" w:firstRowLastColumn="0" w:lastRowFirstColumn="0" w:lastRowLastColumn="0"/>
          <w:trHeight w:val="592"/>
        </w:trPr>
        <w:tc>
          <w:tcPr>
            <w:tcW w:w="4147" w:type="dxa"/>
          </w:tcPr>
          <w:p w:rsidR="00AC0E16" w:rsidRPr="00854166" w:rsidRDefault="004C3677"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 xml:space="preserve">INM023 </w:t>
            </w:r>
            <w:r w:rsidR="00AC0E16" w:rsidRPr="00854166">
              <w:rPr>
                <w:rFonts w:asciiTheme="minorHAnsi" w:eastAsia="Times New Roman" w:hAnsiTheme="minorHAnsi" w:cstheme="minorHAnsi"/>
                <w:b w:val="0"/>
                <w:bCs/>
                <w:iCs/>
                <w:color w:val="000000" w:themeColor="text1"/>
                <w:sz w:val="20"/>
                <w:szCs w:val="20"/>
              </w:rPr>
              <w:t>Australia Awards Papua New Guinea</w:t>
            </w:r>
          </w:p>
        </w:tc>
        <w:tc>
          <w:tcPr>
            <w:tcW w:w="4440"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AAPNG Assessment of Exposure to Family and Sexual Violence and Child Abuse</w:t>
            </w:r>
          </w:p>
        </w:tc>
        <w:tc>
          <w:tcPr>
            <w:tcW w:w="1634"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6 June 2018</w:t>
            </w:r>
          </w:p>
        </w:tc>
        <w:tc>
          <w:tcPr>
            <w:tcW w:w="1923"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22 November 2018</w:t>
            </w:r>
          </w:p>
        </w:tc>
        <w:tc>
          <w:tcPr>
            <w:tcW w:w="1645"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FF0000"/>
                <w:sz w:val="20"/>
                <w:szCs w:val="20"/>
              </w:rPr>
            </w:pPr>
          </w:p>
        </w:tc>
        <w:tc>
          <w:tcPr>
            <w:tcW w:w="953"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No</w:t>
            </w:r>
          </w:p>
        </w:tc>
      </w:tr>
      <w:tr w:rsidR="00AC0E16" w:rsidRPr="003B5EE5" w:rsidTr="00854166">
        <w:trPr>
          <w:cnfStyle w:val="100000000000" w:firstRow="1" w:lastRow="0" w:firstColumn="0" w:lastColumn="0" w:oddVBand="0" w:evenVBand="0" w:oddHBand="0" w:evenHBand="0" w:firstRowFirstColumn="0" w:firstRowLastColumn="0" w:lastRowFirstColumn="0" w:lastRowLastColumn="0"/>
          <w:trHeight w:val="592"/>
        </w:trPr>
        <w:tc>
          <w:tcPr>
            <w:tcW w:w="4147" w:type="dxa"/>
          </w:tcPr>
          <w:p w:rsidR="00AC0E16" w:rsidRPr="00854166" w:rsidRDefault="004C3677" w:rsidP="004C3677">
            <w:pPr>
              <w:keepLines/>
              <w:spacing w:before="40" w:after="40" w:line="200" w:lineRule="atLeast"/>
              <w:rPr>
                <w:rFonts w:asciiTheme="minorHAnsi" w:eastAsia="Times New Roman" w:hAnsiTheme="minorHAnsi" w:cstheme="minorHAnsi"/>
                <w:b w:val="0"/>
                <w:bCs/>
                <w:iCs/>
                <w:color w:val="FF0000"/>
                <w:sz w:val="20"/>
                <w:szCs w:val="20"/>
              </w:rPr>
            </w:pPr>
            <w:r w:rsidRPr="00854166">
              <w:rPr>
                <w:rFonts w:asciiTheme="minorHAnsi" w:eastAsia="Times New Roman" w:hAnsiTheme="minorHAnsi" w:cstheme="minorHAnsi"/>
                <w:b w:val="0"/>
                <w:bCs/>
                <w:iCs/>
                <w:color w:val="000000" w:themeColor="text1"/>
                <w:sz w:val="20"/>
                <w:szCs w:val="20"/>
              </w:rPr>
              <w:t xml:space="preserve">INM023 </w:t>
            </w:r>
            <w:r w:rsidR="00AC0E16" w:rsidRPr="00854166">
              <w:rPr>
                <w:rFonts w:asciiTheme="minorHAnsi" w:eastAsia="Times New Roman" w:hAnsiTheme="minorHAnsi" w:cstheme="minorHAnsi"/>
                <w:b w:val="0"/>
                <w:bCs/>
                <w:iCs/>
                <w:color w:val="000000" w:themeColor="text1"/>
                <w:sz w:val="20"/>
                <w:szCs w:val="20"/>
              </w:rPr>
              <w:t>Australia Awards Papua New Guinea</w:t>
            </w:r>
          </w:p>
        </w:tc>
        <w:tc>
          <w:tcPr>
            <w:tcW w:w="4440"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Historical and Situational Review: Australia Awards Scholarships Disability Inclusion 2013</w:t>
            </w:r>
            <w:r w:rsidR="001A5E3D" w:rsidRPr="00854166">
              <w:rPr>
                <w:rFonts w:asciiTheme="minorHAnsi" w:eastAsia="Times New Roman" w:hAnsiTheme="minorHAnsi" w:cstheme="minorHAnsi"/>
                <w:b w:val="0"/>
                <w:bCs/>
                <w:iCs/>
                <w:color w:val="auto"/>
                <w:sz w:val="20"/>
                <w:szCs w:val="20"/>
              </w:rPr>
              <w:t>-</w:t>
            </w:r>
            <w:r w:rsidRPr="00854166">
              <w:rPr>
                <w:rFonts w:asciiTheme="minorHAnsi" w:eastAsia="Times New Roman" w:hAnsiTheme="minorHAnsi" w:cstheme="minorHAnsi"/>
                <w:b w:val="0"/>
                <w:bCs/>
                <w:iCs/>
                <w:color w:val="auto"/>
                <w:sz w:val="20"/>
                <w:szCs w:val="20"/>
              </w:rPr>
              <w:t>2017</w:t>
            </w:r>
          </w:p>
        </w:tc>
        <w:tc>
          <w:tcPr>
            <w:tcW w:w="1634"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24 August 2018</w:t>
            </w:r>
          </w:p>
        </w:tc>
        <w:tc>
          <w:tcPr>
            <w:tcW w:w="1923"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FF0000"/>
                <w:sz w:val="20"/>
                <w:szCs w:val="20"/>
              </w:rPr>
            </w:pPr>
          </w:p>
        </w:tc>
        <w:tc>
          <w:tcPr>
            <w:tcW w:w="1645"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FF0000"/>
                <w:sz w:val="20"/>
                <w:szCs w:val="20"/>
              </w:rPr>
            </w:pPr>
          </w:p>
        </w:tc>
        <w:tc>
          <w:tcPr>
            <w:tcW w:w="953"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auto"/>
                <w:sz w:val="20"/>
                <w:szCs w:val="20"/>
              </w:rPr>
            </w:pPr>
          </w:p>
        </w:tc>
      </w:tr>
      <w:tr w:rsidR="00AC0E16" w:rsidRPr="003B5EE5" w:rsidTr="00854166">
        <w:trPr>
          <w:cnfStyle w:val="100000000000" w:firstRow="1" w:lastRow="0" w:firstColumn="0" w:lastColumn="0" w:oddVBand="0" w:evenVBand="0" w:oddHBand="0" w:evenHBand="0" w:firstRowFirstColumn="0" w:firstRowLastColumn="0" w:lastRowFirstColumn="0" w:lastRowLastColumn="0"/>
          <w:trHeight w:val="841"/>
        </w:trPr>
        <w:tc>
          <w:tcPr>
            <w:tcW w:w="4147" w:type="dxa"/>
          </w:tcPr>
          <w:p w:rsidR="00AC0E16" w:rsidRPr="00854166" w:rsidRDefault="004C3677"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 xml:space="preserve">INM023 </w:t>
            </w:r>
            <w:r w:rsidR="00AC0E16" w:rsidRPr="00854166">
              <w:rPr>
                <w:rFonts w:asciiTheme="minorHAnsi" w:eastAsia="Times New Roman" w:hAnsiTheme="minorHAnsi" w:cstheme="minorHAnsi"/>
                <w:b w:val="0"/>
                <w:bCs/>
                <w:iCs/>
                <w:color w:val="000000" w:themeColor="text1"/>
                <w:sz w:val="20"/>
                <w:szCs w:val="20"/>
              </w:rPr>
              <w:t>Australia Awards Papua New Guinea</w:t>
            </w:r>
          </w:p>
        </w:tc>
        <w:tc>
          <w:tcPr>
            <w:tcW w:w="4440"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Alumni Development Impact Survey - Assessing the effectiveness of the different scholarship modalities of Australia Awards in Papua New Guinea</w:t>
            </w:r>
          </w:p>
        </w:tc>
        <w:tc>
          <w:tcPr>
            <w:tcW w:w="1634"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3 July 2018</w:t>
            </w:r>
          </w:p>
        </w:tc>
        <w:tc>
          <w:tcPr>
            <w:tcW w:w="1923"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FF0000"/>
                <w:sz w:val="20"/>
                <w:szCs w:val="20"/>
              </w:rPr>
            </w:pPr>
          </w:p>
        </w:tc>
        <w:tc>
          <w:tcPr>
            <w:tcW w:w="1645"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FF0000"/>
                <w:sz w:val="20"/>
                <w:szCs w:val="20"/>
              </w:rPr>
            </w:pPr>
          </w:p>
        </w:tc>
        <w:tc>
          <w:tcPr>
            <w:tcW w:w="953"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auto"/>
                <w:sz w:val="20"/>
                <w:szCs w:val="20"/>
              </w:rPr>
            </w:pPr>
          </w:p>
        </w:tc>
      </w:tr>
      <w:tr w:rsidR="00AC0E16" w:rsidRPr="003B5EE5" w:rsidTr="00854166">
        <w:trPr>
          <w:cnfStyle w:val="100000000000" w:firstRow="1" w:lastRow="0" w:firstColumn="0" w:lastColumn="0" w:oddVBand="0" w:evenVBand="0" w:oddHBand="0" w:evenHBand="0" w:firstRowFirstColumn="0" w:firstRowLastColumn="0" w:lastRowFirstColumn="0" w:lastRowLastColumn="0"/>
          <w:trHeight w:val="841"/>
        </w:trPr>
        <w:tc>
          <w:tcPr>
            <w:tcW w:w="4147" w:type="dxa"/>
          </w:tcPr>
          <w:p w:rsidR="00AC0E16" w:rsidRPr="00854166" w:rsidRDefault="004C3677"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 xml:space="preserve">INM023 </w:t>
            </w:r>
            <w:r w:rsidR="00AC0E16" w:rsidRPr="00854166">
              <w:rPr>
                <w:rFonts w:asciiTheme="minorHAnsi" w:eastAsia="Times New Roman" w:hAnsiTheme="minorHAnsi" w:cstheme="minorHAnsi"/>
                <w:b w:val="0"/>
                <w:bCs/>
                <w:iCs/>
                <w:color w:val="000000" w:themeColor="text1"/>
                <w:sz w:val="20"/>
                <w:szCs w:val="20"/>
              </w:rPr>
              <w:t>Australia Awards Papua New Guinea</w:t>
            </w:r>
          </w:p>
        </w:tc>
        <w:tc>
          <w:tcPr>
            <w:tcW w:w="4440"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Alumni Development Impact Survey - Assessing the effectiveness of the Australia Awards Short Courses for APEC in Papua New Guinea</w:t>
            </w:r>
          </w:p>
        </w:tc>
        <w:tc>
          <w:tcPr>
            <w:tcW w:w="1634"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3 July 2018</w:t>
            </w:r>
          </w:p>
        </w:tc>
        <w:tc>
          <w:tcPr>
            <w:tcW w:w="1923"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FF0000"/>
                <w:sz w:val="20"/>
                <w:szCs w:val="20"/>
              </w:rPr>
            </w:pPr>
          </w:p>
        </w:tc>
        <w:tc>
          <w:tcPr>
            <w:tcW w:w="1645"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FF0000"/>
                <w:sz w:val="20"/>
                <w:szCs w:val="20"/>
              </w:rPr>
            </w:pPr>
          </w:p>
        </w:tc>
        <w:tc>
          <w:tcPr>
            <w:tcW w:w="953"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auto"/>
                <w:sz w:val="20"/>
                <w:szCs w:val="20"/>
              </w:rPr>
            </w:pPr>
          </w:p>
        </w:tc>
      </w:tr>
      <w:tr w:rsidR="00AC0E16" w:rsidRPr="003B5EE5" w:rsidTr="00854166">
        <w:trPr>
          <w:cnfStyle w:val="100000000000" w:firstRow="1" w:lastRow="0" w:firstColumn="0" w:lastColumn="0" w:oddVBand="0" w:evenVBand="0" w:oddHBand="0" w:evenHBand="0" w:firstRowFirstColumn="0" w:firstRowLastColumn="0" w:lastRowFirstColumn="0" w:lastRowLastColumn="0"/>
          <w:trHeight w:val="576"/>
        </w:trPr>
        <w:tc>
          <w:tcPr>
            <w:tcW w:w="4147" w:type="dxa"/>
          </w:tcPr>
          <w:p w:rsidR="00AC0E16" w:rsidRPr="00854166" w:rsidRDefault="004C3677"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INL420 Australia Awards Africa 2015-2020</w:t>
            </w:r>
          </w:p>
        </w:tc>
        <w:tc>
          <w:tcPr>
            <w:tcW w:w="4440" w:type="dxa"/>
          </w:tcPr>
          <w:p w:rsidR="00AC0E16"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Mid Term Evaluation</w:t>
            </w:r>
            <w:r w:rsidR="00174896" w:rsidRPr="00854166">
              <w:rPr>
                <w:rFonts w:asciiTheme="minorHAnsi" w:eastAsia="Times New Roman" w:hAnsiTheme="minorHAnsi" w:cstheme="minorHAnsi"/>
                <w:b w:val="0"/>
                <w:bCs/>
                <w:iCs/>
                <w:color w:val="auto"/>
                <w:sz w:val="20"/>
                <w:szCs w:val="20"/>
              </w:rPr>
              <w:t xml:space="preserve"> of Australia Awards in Africa Evaluation Report</w:t>
            </w:r>
          </w:p>
        </w:tc>
        <w:tc>
          <w:tcPr>
            <w:tcW w:w="1634" w:type="dxa"/>
          </w:tcPr>
          <w:p w:rsidR="00AC0E16"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22 February 2019</w:t>
            </w:r>
          </w:p>
        </w:tc>
        <w:tc>
          <w:tcPr>
            <w:tcW w:w="1923" w:type="dxa"/>
          </w:tcPr>
          <w:p w:rsidR="00AC0E16" w:rsidRPr="00854166" w:rsidRDefault="004C3677" w:rsidP="004C3677">
            <w:pPr>
              <w:keepLines/>
              <w:spacing w:before="40" w:after="40" w:line="200" w:lineRule="atLeast"/>
              <w:rPr>
                <w:rFonts w:asciiTheme="minorHAnsi" w:eastAsia="Times New Roman" w:hAnsiTheme="minorHAnsi" w:cstheme="minorHAnsi"/>
                <w:b w:val="0"/>
                <w:bCs/>
                <w:iCs/>
                <w:color w:val="FF0000"/>
                <w:sz w:val="20"/>
                <w:szCs w:val="20"/>
              </w:rPr>
            </w:pPr>
            <w:r w:rsidRPr="00854166">
              <w:rPr>
                <w:rFonts w:asciiTheme="minorHAnsi" w:eastAsia="Times New Roman" w:hAnsiTheme="minorHAnsi" w:cstheme="minorHAnsi"/>
                <w:b w:val="0"/>
                <w:bCs/>
                <w:iCs/>
                <w:color w:val="auto"/>
                <w:sz w:val="20"/>
                <w:szCs w:val="20"/>
              </w:rPr>
              <w:t>10 April 2019</w:t>
            </w:r>
          </w:p>
        </w:tc>
        <w:tc>
          <w:tcPr>
            <w:tcW w:w="1645" w:type="dxa"/>
          </w:tcPr>
          <w:p w:rsidR="00AC0E16" w:rsidRPr="00854166" w:rsidRDefault="00AC0E16" w:rsidP="004C3677">
            <w:pPr>
              <w:keepLines/>
              <w:spacing w:before="40" w:after="40" w:line="200" w:lineRule="atLeast"/>
              <w:rPr>
                <w:rFonts w:asciiTheme="minorHAnsi" w:eastAsia="Times New Roman" w:hAnsiTheme="minorHAnsi" w:cstheme="minorHAnsi"/>
                <w:b w:val="0"/>
                <w:bCs/>
                <w:iCs/>
                <w:color w:val="FF0000"/>
                <w:sz w:val="20"/>
                <w:szCs w:val="20"/>
              </w:rPr>
            </w:pPr>
          </w:p>
        </w:tc>
        <w:tc>
          <w:tcPr>
            <w:tcW w:w="953" w:type="dxa"/>
          </w:tcPr>
          <w:p w:rsidR="00AC0E16"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No</w:t>
            </w:r>
          </w:p>
        </w:tc>
      </w:tr>
      <w:tr w:rsidR="004C3677" w:rsidRPr="003B5EE5" w:rsidTr="00854166">
        <w:trPr>
          <w:cnfStyle w:val="100000000000" w:firstRow="1" w:lastRow="0" w:firstColumn="0" w:lastColumn="0" w:oddVBand="0" w:evenVBand="0" w:oddHBand="0" w:evenHBand="0" w:firstRowFirstColumn="0" w:firstRowLastColumn="0" w:lastRowFirstColumn="0" w:lastRowLastColumn="0"/>
          <w:trHeight w:val="342"/>
        </w:trPr>
        <w:tc>
          <w:tcPr>
            <w:tcW w:w="4147"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INL420 Australia Awards Africa 2015-2020</w:t>
            </w:r>
          </w:p>
        </w:tc>
        <w:tc>
          <w:tcPr>
            <w:tcW w:w="4440"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Outcomes Study 2018</w:t>
            </w:r>
            <w:r w:rsidR="00174896" w:rsidRPr="00854166">
              <w:rPr>
                <w:rFonts w:asciiTheme="minorHAnsi" w:eastAsia="Times New Roman" w:hAnsiTheme="minorHAnsi" w:cstheme="minorHAnsi"/>
                <w:b w:val="0"/>
                <w:bCs/>
                <w:iCs/>
                <w:color w:val="auto"/>
                <w:sz w:val="20"/>
                <w:szCs w:val="20"/>
              </w:rPr>
              <w:t>: Australia Awards in Africa</w:t>
            </w:r>
          </w:p>
        </w:tc>
        <w:tc>
          <w:tcPr>
            <w:tcW w:w="1634"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7 March 2019</w:t>
            </w:r>
          </w:p>
        </w:tc>
        <w:tc>
          <w:tcPr>
            <w:tcW w:w="1923"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12 April 2019</w:t>
            </w:r>
          </w:p>
        </w:tc>
        <w:tc>
          <w:tcPr>
            <w:tcW w:w="1645"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FF0000"/>
                <w:sz w:val="20"/>
                <w:szCs w:val="20"/>
              </w:rPr>
            </w:pPr>
          </w:p>
        </w:tc>
        <w:tc>
          <w:tcPr>
            <w:tcW w:w="953"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Yes</w:t>
            </w:r>
          </w:p>
        </w:tc>
      </w:tr>
      <w:tr w:rsidR="004C3677" w:rsidRPr="003B5EE5" w:rsidTr="00854166">
        <w:trPr>
          <w:cnfStyle w:val="100000000000" w:firstRow="1" w:lastRow="0" w:firstColumn="0" w:lastColumn="0" w:oddVBand="0" w:evenVBand="0" w:oddHBand="0" w:evenHBand="0" w:firstRowFirstColumn="0" w:firstRowLastColumn="0" w:lastRowFirstColumn="0" w:lastRowLastColumn="0"/>
          <w:trHeight w:val="592"/>
        </w:trPr>
        <w:tc>
          <w:tcPr>
            <w:tcW w:w="4147"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INL129 Education Sector Program 2 (Solomon Islands)</w:t>
            </w:r>
          </w:p>
        </w:tc>
        <w:tc>
          <w:tcPr>
            <w:tcW w:w="4440"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ESP2 Basic Education Component Mid-Term Review</w:t>
            </w:r>
          </w:p>
        </w:tc>
        <w:tc>
          <w:tcPr>
            <w:tcW w:w="1634"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1 October 2018</w:t>
            </w:r>
          </w:p>
        </w:tc>
        <w:tc>
          <w:tcPr>
            <w:tcW w:w="1923"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7 March 2019</w:t>
            </w:r>
          </w:p>
        </w:tc>
        <w:tc>
          <w:tcPr>
            <w:tcW w:w="1645"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29 April 2019</w:t>
            </w:r>
          </w:p>
        </w:tc>
        <w:tc>
          <w:tcPr>
            <w:tcW w:w="953"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Yes</w:t>
            </w:r>
          </w:p>
        </w:tc>
      </w:tr>
      <w:tr w:rsidR="004C3677" w:rsidRPr="003B5EE5" w:rsidTr="00854166">
        <w:trPr>
          <w:cnfStyle w:val="100000000000" w:firstRow="1" w:lastRow="0" w:firstColumn="0" w:lastColumn="0" w:oddVBand="0" w:evenVBand="0" w:oddHBand="0" w:evenHBand="0" w:firstRowFirstColumn="0" w:firstRowLastColumn="0" w:lastRowFirstColumn="0" w:lastRowLastColumn="0"/>
          <w:trHeight w:val="576"/>
        </w:trPr>
        <w:tc>
          <w:tcPr>
            <w:tcW w:w="4147"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INL129 Education Sector Program 2 (Solomon Islands)</w:t>
            </w:r>
          </w:p>
        </w:tc>
        <w:tc>
          <w:tcPr>
            <w:tcW w:w="4440"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Annual Independent Assessment (of 2017 Performance)</w:t>
            </w:r>
          </w:p>
        </w:tc>
        <w:tc>
          <w:tcPr>
            <w:tcW w:w="1634"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1 July 2018</w:t>
            </w:r>
          </w:p>
        </w:tc>
        <w:tc>
          <w:tcPr>
            <w:tcW w:w="1923"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10 August 2018</w:t>
            </w:r>
          </w:p>
        </w:tc>
        <w:tc>
          <w:tcPr>
            <w:tcW w:w="1645"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10 August 2018</w:t>
            </w:r>
          </w:p>
        </w:tc>
        <w:tc>
          <w:tcPr>
            <w:tcW w:w="953"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Yes</w:t>
            </w:r>
          </w:p>
        </w:tc>
      </w:tr>
      <w:tr w:rsidR="004C3677" w:rsidRPr="003B5EE5" w:rsidTr="00854166">
        <w:trPr>
          <w:cnfStyle w:val="100000000000" w:firstRow="1" w:lastRow="0" w:firstColumn="0" w:lastColumn="0" w:oddVBand="0" w:evenVBand="0" w:oddHBand="0" w:evenHBand="0" w:firstRowFirstColumn="0" w:firstRowLastColumn="0" w:lastRowFirstColumn="0" w:lastRowLastColumn="0"/>
          <w:trHeight w:val="592"/>
        </w:trPr>
        <w:tc>
          <w:tcPr>
            <w:tcW w:w="4147"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INL129 Education Sector Program 2 (Solomon Islands)</w:t>
            </w:r>
          </w:p>
        </w:tc>
        <w:tc>
          <w:tcPr>
            <w:tcW w:w="4440"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Independent Review of S4EG</w:t>
            </w:r>
          </w:p>
        </w:tc>
        <w:tc>
          <w:tcPr>
            <w:tcW w:w="1634"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30 January 2019</w:t>
            </w:r>
          </w:p>
        </w:tc>
        <w:tc>
          <w:tcPr>
            <w:tcW w:w="1923"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12 March 2019</w:t>
            </w:r>
          </w:p>
        </w:tc>
        <w:tc>
          <w:tcPr>
            <w:tcW w:w="1645"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12 March 2019</w:t>
            </w:r>
          </w:p>
        </w:tc>
        <w:tc>
          <w:tcPr>
            <w:tcW w:w="953" w:type="dxa"/>
          </w:tcPr>
          <w:p w:rsidR="004C3677" w:rsidRPr="00854166" w:rsidRDefault="004C3677"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No</w:t>
            </w:r>
          </w:p>
        </w:tc>
      </w:tr>
      <w:tr w:rsidR="00B346F7" w:rsidRPr="003B5EE5" w:rsidTr="00854166">
        <w:trPr>
          <w:cnfStyle w:val="100000000000" w:firstRow="1" w:lastRow="0" w:firstColumn="0" w:lastColumn="0" w:oddVBand="0" w:evenVBand="0" w:oddHBand="0" w:evenHBand="0" w:firstRowFirstColumn="0" w:firstRowLastColumn="0" w:lastRowFirstColumn="0" w:lastRowLastColumn="0"/>
          <w:trHeight w:val="592"/>
        </w:trPr>
        <w:tc>
          <w:tcPr>
            <w:tcW w:w="4147" w:type="dxa"/>
          </w:tcPr>
          <w:p w:rsidR="00B346F7" w:rsidRPr="00854166" w:rsidRDefault="00174896" w:rsidP="004C3677">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INL588 Australia Awards in South and West Asia</w:t>
            </w:r>
          </w:p>
        </w:tc>
        <w:tc>
          <w:tcPr>
            <w:tcW w:w="4440" w:type="dxa"/>
          </w:tcPr>
          <w:p w:rsidR="00B346F7" w:rsidRPr="00854166" w:rsidRDefault="00174896"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 xml:space="preserve">Alumni </w:t>
            </w:r>
            <w:r w:rsidRPr="00854166">
              <w:rPr>
                <w:rFonts w:asciiTheme="minorHAnsi" w:eastAsia="Times New Roman" w:hAnsiTheme="minorHAnsi" w:cstheme="minorHAnsi"/>
                <w:b w:val="0"/>
                <w:bCs/>
                <w:iCs/>
                <w:color w:val="000000" w:themeColor="text1"/>
                <w:sz w:val="20"/>
                <w:szCs w:val="20"/>
              </w:rPr>
              <w:t>Development</w:t>
            </w:r>
            <w:r w:rsidRPr="00854166">
              <w:rPr>
                <w:rFonts w:asciiTheme="minorHAnsi" w:eastAsia="Times New Roman" w:hAnsiTheme="minorHAnsi" w:cstheme="minorHAnsi"/>
                <w:b w:val="0"/>
                <w:bCs/>
                <w:iCs/>
                <w:color w:val="auto"/>
                <w:sz w:val="20"/>
                <w:szCs w:val="20"/>
              </w:rPr>
              <w:t xml:space="preserve"> Impact Survey 2018</w:t>
            </w:r>
          </w:p>
        </w:tc>
        <w:tc>
          <w:tcPr>
            <w:tcW w:w="1634" w:type="dxa"/>
          </w:tcPr>
          <w:p w:rsidR="00B346F7" w:rsidRPr="00854166" w:rsidRDefault="00174896"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1 September 2018</w:t>
            </w:r>
          </w:p>
        </w:tc>
        <w:tc>
          <w:tcPr>
            <w:tcW w:w="1923" w:type="dxa"/>
          </w:tcPr>
          <w:p w:rsidR="00B346F7" w:rsidRPr="00734D26" w:rsidRDefault="001216E1" w:rsidP="004C3677">
            <w:pPr>
              <w:keepLines/>
              <w:spacing w:before="40" w:after="40" w:line="200" w:lineRule="atLeast"/>
              <w:rPr>
                <w:rFonts w:asciiTheme="minorHAnsi" w:eastAsia="Times New Roman" w:hAnsiTheme="minorHAnsi" w:cstheme="minorHAnsi"/>
                <w:b w:val="0"/>
                <w:bCs/>
                <w:iCs/>
                <w:color w:val="auto"/>
                <w:sz w:val="20"/>
                <w:szCs w:val="20"/>
              </w:rPr>
            </w:pPr>
            <w:r w:rsidRPr="00734D26">
              <w:rPr>
                <w:rFonts w:asciiTheme="minorHAnsi" w:eastAsia="Times New Roman" w:hAnsiTheme="minorHAnsi" w:cstheme="minorHAnsi"/>
                <w:b w:val="0"/>
                <w:bCs/>
                <w:iCs/>
                <w:color w:val="auto"/>
                <w:sz w:val="20"/>
                <w:szCs w:val="20"/>
              </w:rPr>
              <w:t>N/A</w:t>
            </w:r>
          </w:p>
        </w:tc>
        <w:tc>
          <w:tcPr>
            <w:tcW w:w="1645" w:type="dxa"/>
          </w:tcPr>
          <w:p w:rsidR="00B346F7" w:rsidRPr="00734D26" w:rsidRDefault="001216E1" w:rsidP="004C3677">
            <w:pPr>
              <w:keepLines/>
              <w:spacing w:before="40" w:after="40" w:line="200" w:lineRule="atLeast"/>
              <w:rPr>
                <w:rFonts w:asciiTheme="minorHAnsi" w:eastAsia="Times New Roman" w:hAnsiTheme="minorHAnsi" w:cstheme="minorHAnsi"/>
                <w:b w:val="0"/>
                <w:bCs/>
                <w:iCs/>
                <w:color w:val="auto"/>
                <w:sz w:val="20"/>
                <w:szCs w:val="20"/>
              </w:rPr>
            </w:pPr>
            <w:r w:rsidRPr="00734D26">
              <w:rPr>
                <w:rFonts w:asciiTheme="minorHAnsi" w:eastAsia="Times New Roman" w:hAnsiTheme="minorHAnsi" w:cstheme="minorHAnsi"/>
                <w:b w:val="0"/>
                <w:bCs/>
                <w:iCs/>
                <w:color w:val="auto"/>
                <w:sz w:val="20"/>
                <w:szCs w:val="20"/>
              </w:rPr>
              <w:t>N/A</w:t>
            </w:r>
          </w:p>
        </w:tc>
        <w:tc>
          <w:tcPr>
            <w:tcW w:w="953" w:type="dxa"/>
          </w:tcPr>
          <w:p w:rsidR="00B346F7" w:rsidRPr="00854166" w:rsidRDefault="00174896" w:rsidP="004C3677">
            <w:pPr>
              <w:keepLines/>
              <w:spacing w:before="40" w:after="40" w:line="200" w:lineRule="atLeast"/>
              <w:rPr>
                <w:rFonts w:asciiTheme="minorHAnsi" w:eastAsia="Times New Roman" w:hAnsiTheme="minorHAnsi" w:cstheme="minorHAnsi"/>
                <w:b w:val="0"/>
                <w:bCs/>
                <w:iCs/>
                <w:color w:val="auto"/>
                <w:sz w:val="20"/>
                <w:szCs w:val="20"/>
              </w:rPr>
            </w:pPr>
            <w:r w:rsidRPr="00854166">
              <w:rPr>
                <w:rFonts w:asciiTheme="minorHAnsi" w:eastAsia="Times New Roman" w:hAnsiTheme="minorHAnsi" w:cstheme="minorHAnsi"/>
                <w:b w:val="0"/>
                <w:bCs/>
                <w:iCs/>
                <w:color w:val="auto"/>
                <w:sz w:val="20"/>
                <w:szCs w:val="20"/>
              </w:rPr>
              <w:t>No</w:t>
            </w:r>
          </w:p>
        </w:tc>
      </w:tr>
    </w:tbl>
    <w:p w:rsidR="003405FC" w:rsidRDefault="003405FC"/>
    <w:tbl>
      <w:tblPr>
        <w:tblStyle w:val="APPR"/>
        <w:tblW w:w="15026" w:type="dxa"/>
        <w:tblLayout w:type="fixed"/>
        <w:tblLook w:val="04A0" w:firstRow="1" w:lastRow="0" w:firstColumn="1" w:lastColumn="0" w:noHBand="0" w:noVBand="1"/>
      </w:tblPr>
      <w:tblGrid>
        <w:gridCol w:w="4395"/>
        <w:gridCol w:w="4252"/>
        <w:gridCol w:w="1559"/>
        <w:gridCol w:w="1984"/>
        <w:gridCol w:w="1702"/>
        <w:gridCol w:w="1134"/>
      </w:tblGrid>
      <w:tr w:rsidR="003405FC" w:rsidRPr="00854166" w:rsidTr="00854166">
        <w:trPr>
          <w:cnfStyle w:val="100000000000" w:firstRow="1" w:lastRow="0" w:firstColumn="0" w:lastColumn="0" w:oddVBand="0" w:evenVBand="0" w:oddHBand="0" w:evenHBand="0" w:firstRowFirstColumn="0" w:firstRowLastColumn="0" w:lastRowFirstColumn="0" w:lastRowLastColumn="0"/>
        </w:trPr>
        <w:tc>
          <w:tcPr>
            <w:tcW w:w="4353" w:type="dxa"/>
          </w:tcPr>
          <w:p w:rsidR="003405FC" w:rsidRPr="00854166" w:rsidRDefault="003405FC" w:rsidP="003405FC">
            <w:pPr>
              <w:keepLines/>
              <w:spacing w:before="0" w:line="200" w:lineRule="atLeast"/>
              <w:contextualSpacing/>
              <w:rPr>
                <w:rFonts w:asciiTheme="minorHAnsi" w:eastAsia="Times New Roman" w:hAnsiTheme="minorHAnsi"/>
                <w:iCs/>
                <w:sz w:val="20"/>
                <w:szCs w:val="20"/>
                <w:lang w:eastAsia="en-US"/>
              </w:rPr>
            </w:pPr>
            <w:r w:rsidRPr="00854166">
              <w:rPr>
                <w:rFonts w:asciiTheme="minorHAnsi" w:eastAsia="Times New Roman" w:hAnsiTheme="minorHAnsi"/>
                <w:iCs/>
                <w:sz w:val="20"/>
                <w:szCs w:val="20"/>
                <w:lang w:eastAsia="en-US"/>
              </w:rPr>
              <w:t xml:space="preserve">Investment number and name </w:t>
            </w:r>
          </w:p>
          <w:p w:rsidR="003405FC" w:rsidRPr="00854166" w:rsidRDefault="003405FC" w:rsidP="003405FC">
            <w:pPr>
              <w:keepLines/>
              <w:spacing w:before="0" w:line="200" w:lineRule="atLeast"/>
              <w:contextualSpacing/>
              <w:rPr>
                <w:rFonts w:asciiTheme="minorHAnsi" w:eastAsia="Times New Roman" w:hAnsiTheme="minorHAnsi"/>
                <w:b w:val="0"/>
                <w:iCs/>
                <w:sz w:val="20"/>
                <w:szCs w:val="20"/>
                <w:lang w:eastAsia="en-US"/>
              </w:rPr>
            </w:pPr>
            <w:r w:rsidRPr="00854166">
              <w:rPr>
                <w:rFonts w:asciiTheme="minorHAnsi" w:eastAsia="Times New Roman" w:hAnsiTheme="minorHAnsi"/>
                <w:iCs/>
                <w:sz w:val="20"/>
                <w:szCs w:val="20"/>
                <w:lang w:eastAsia="en-US"/>
              </w:rPr>
              <w:t xml:space="preserve">(if applicable) </w:t>
            </w:r>
          </w:p>
        </w:tc>
        <w:tc>
          <w:tcPr>
            <w:tcW w:w="4224" w:type="dxa"/>
          </w:tcPr>
          <w:p w:rsidR="003405FC" w:rsidRPr="00854166" w:rsidRDefault="003405FC" w:rsidP="003405FC">
            <w:pPr>
              <w:keepLines/>
              <w:spacing w:before="0" w:line="200" w:lineRule="atLeast"/>
              <w:contextualSpacing/>
              <w:rPr>
                <w:rFonts w:asciiTheme="minorHAnsi" w:eastAsia="Times New Roman" w:hAnsiTheme="minorHAnsi"/>
                <w:iCs/>
                <w:sz w:val="20"/>
                <w:szCs w:val="20"/>
                <w:lang w:eastAsia="en-US"/>
              </w:rPr>
            </w:pPr>
            <w:r w:rsidRPr="00854166">
              <w:rPr>
                <w:rFonts w:asciiTheme="minorHAnsi" w:eastAsia="Times New Roman" w:hAnsiTheme="minorHAnsi"/>
                <w:iCs/>
                <w:sz w:val="20"/>
                <w:szCs w:val="20"/>
                <w:lang w:eastAsia="en-US"/>
              </w:rPr>
              <w:t>Name of evaluation</w:t>
            </w:r>
          </w:p>
        </w:tc>
        <w:tc>
          <w:tcPr>
            <w:tcW w:w="1531" w:type="dxa"/>
          </w:tcPr>
          <w:p w:rsidR="003405FC" w:rsidRPr="00854166" w:rsidRDefault="003405FC" w:rsidP="003405FC">
            <w:pPr>
              <w:keepLines/>
              <w:spacing w:before="0" w:line="200" w:lineRule="atLeast"/>
              <w:contextualSpacing/>
              <w:rPr>
                <w:rFonts w:asciiTheme="minorHAnsi" w:eastAsia="Times New Roman" w:hAnsiTheme="minorHAnsi"/>
                <w:iCs/>
                <w:sz w:val="20"/>
                <w:szCs w:val="20"/>
                <w:lang w:eastAsia="en-US"/>
              </w:rPr>
            </w:pPr>
            <w:r w:rsidRPr="00854166">
              <w:rPr>
                <w:rFonts w:asciiTheme="minorHAnsi" w:eastAsia="Times New Roman" w:hAnsiTheme="minorHAnsi"/>
                <w:iCs/>
                <w:sz w:val="20"/>
                <w:szCs w:val="20"/>
                <w:lang w:eastAsia="en-US"/>
              </w:rPr>
              <w:t>Date completed</w:t>
            </w:r>
          </w:p>
        </w:tc>
        <w:tc>
          <w:tcPr>
            <w:tcW w:w="1956" w:type="dxa"/>
          </w:tcPr>
          <w:p w:rsidR="003405FC" w:rsidRPr="00854166" w:rsidRDefault="003405FC" w:rsidP="003405FC">
            <w:pPr>
              <w:keepLines/>
              <w:spacing w:before="0" w:line="200" w:lineRule="atLeast"/>
              <w:contextualSpacing/>
              <w:rPr>
                <w:rFonts w:asciiTheme="minorHAnsi" w:eastAsia="Times New Roman" w:hAnsiTheme="minorHAnsi"/>
                <w:iCs/>
                <w:sz w:val="20"/>
                <w:szCs w:val="20"/>
                <w:lang w:eastAsia="en-US"/>
              </w:rPr>
            </w:pPr>
            <w:r w:rsidRPr="00854166">
              <w:rPr>
                <w:rFonts w:asciiTheme="minorHAnsi" w:eastAsia="Times New Roman" w:hAnsiTheme="minorHAnsi"/>
                <w:iCs/>
                <w:sz w:val="20"/>
                <w:szCs w:val="20"/>
                <w:lang w:eastAsia="en-US"/>
              </w:rPr>
              <w:t>Date Evaluation report Uploaded into AidWorks</w:t>
            </w:r>
          </w:p>
        </w:tc>
        <w:tc>
          <w:tcPr>
            <w:tcW w:w="1674" w:type="dxa"/>
          </w:tcPr>
          <w:p w:rsidR="003405FC" w:rsidRPr="00854166" w:rsidRDefault="003405FC" w:rsidP="003405FC">
            <w:pPr>
              <w:keepLines/>
              <w:spacing w:before="0" w:line="200" w:lineRule="atLeast"/>
              <w:contextualSpacing/>
              <w:rPr>
                <w:rFonts w:asciiTheme="minorHAnsi" w:eastAsia="Times New Roman" w:hAnsiTheme="minorHAnsi"/>
                <w:iCs/>
                <w:sz w:val="20"/>
                <w:szCs w:val="20"/>
                <w:lang w:eastAsia="en-US"/>
              </w:rPr>
            </w:pPr>
            <w:r w:rsidRPr="00854166">
              <w:rPr>
                <w:rFonts w:asciiTheme="minorHAnsi" w:eastAsia="Times New Roman" w:hAnsiTheme="minorHAnsi"/>
                <w:iCs/>
                <w:sz w:val="18"/>
                <w:szCs w:val="18"/>
                <w:lang w:eastAsia="en-US"/>
              </w:rPr>
              <w:t>Date Management response uploaded into AidWorks</w:t>
            </w:r>
          </w:p>
        </w:tc>
        <w:tc>
          <w:tcPr>
            <w:tcW w:w="1092" w:type="dxa"/>
          </w:tcPr>
          <w:p w:rsidR="003405FC" w:rsidRPr="00854166" w:rsidRDefault="003405FC" w:rsidP="003405FC">
            <w:pPr>
              <w:keepLines/>
              <w:spacing w:before="0" w:line="200" w:lineRule="atLeast"/>
              <w:contextualSpacing/>
              <w:rPr>
                <w:rFonts w:asciiTheme="minorHAnsi" w:eastAsia="Times New Roman" w:hAnsiTheme="minorHAnsi"/>
                <w:iCs/>
                <w:sz w:val="20"/>
                <w:szCs w:val="20"/>
                <w:lang w:eastAsia="en-US"/>
              </w:rPr>
            </w:pPr>
            <w:r w:rsidRPr="00854166">
              <w:rPr>
                <w:rFonts w:asciiTheme="minorHAnsi" w:eastAsia="Times New Roman" w:hAnsiTheme="minorHAnsi"/>
                <w:iCs/>
                <w:sz w:val="20"/>
                <w:szCs w:val="20"/>
                <w:lang w:eastAsia="en-US"/>
              </w:rPr>
              <w:t>Published on website</w:t>
            </w:r>
          </w:p>
        </w:tc>
      </w:tr>
      <w:tr w:rsidR="004C6FD0" w:rsidRPr="00854166" w:rsidTr="00854166">
        <w:trPr>
          <w:cnfStyle w:val="100000000000" w:firstRow="1" w:lastRow="0" w:firstColumn="0" w:lastColumn="0" w:oddVBand="0" w:evenVBand="0" w:oddHBand="0" w:evenHBand="0" w:firstRowFirstColumn="0" w:firstRowLastColumn="0" w:lastRowFirstColumn="0" w:lastRowLastColumn="0"/>
        </w:trPr>
        <w:tc>
          <w:tcPr>
            <w:tcW w:w="4353"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INL487 Human Resource Development Facility (Vietnam)</w:t>
            </w:r>
          </w:p>
        </w:tc>
        <w:tc>
          <w:tcPr>
            <w:tcW w:w="4224"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Mid-term review</w:t>
            </w:r>
          </w:p>
        </w:tc>
        <w:tc>
          <w:tcPr>
            <w:tcW w:w="1531"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24 December 2018</w:t>
            </w:r>
          </w:p>
        </w:tc>
        <w:tc>
          <w:tcPr>
            <w:tcW w:w="1956"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p>
        </w:tc>
        <w:tc>
          <w:tcPr>
            <w:tcW w:w="1674"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p>
        </w:tc>
        <w:tc>
          <w:tcPr>
            <w:tcW w:w="1092"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p>
        </w:tc>
      </w:tr>
      <w:tr w:rsidR="004C6FD0" w:rsidRPr="00854166" w:rsidTr="00854166">
        <w:trPr>
          <w:cnfStyle w:val="100000000000" w:firstRow="1" w:lastRow="0" w:firstColumn="0" w:lastColumn="0" w:oddVBand="0" w:evenVBand="0" w:oddHBand="0" w:evenHBand="0" w:firstRowFirstColumn="0" w:firstRowLastColumn="0" w:lastRowFirstColumn="0" w:lastRowLastColumn="0"/>
        </w:trPr>
        <w:tc>
          <w:tcPr>
            <w:tcW w:w="4353"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INL131 Australia Awards in Indonesia</w:t>
            </w:r>
          </w:p>
        </w:tc>
        <w:tc>
          <w:tcPr>
            <w:tcW w:w="4224"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AAI Contribution to Private Sector Development in the Food Industry</w:t>
            </w:r>
          </w:p>
        </w:tc>
        <w:tc>
          <w:tcPr>
            <w:tcW w:w="1531"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13 July 2018</w:t>
            </w:r>
          </w:p>
        </w:tc>
        <w:tc>
          <w:tcPr>
            <w:tcW w:w="1956"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14 March 2019</w:t>
            </w:r>
          </w:p>
        </w:tc>
        <w:tc>
          <w:tcPr>
            <w:tcW w:w="1674"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p>
        </w:tc>
        <w:tc>
          <w:tcPr>
            <w:tcW w:w="1092"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No</w:t>
            </w:r>
          </w:p>
        </w:tc>
      </w:tr>
      <w:tr w:rsidR="004C6FD0" w:rsidRPr="00854166" w:rsidTr="00854166">
        <w:trPr>
          <w:cnfStyle w:val="100000000000" w:firstRow="1" w:lastRow="0" w:firstColumn="0" w:lastColumn="0" w:oddVBand="0" w:evenVBand="0" w:oddHBand="0" w:evenHBand="0" w:firstRowFirstColumn="0" w:firstRowLastColumn="0" w:lastRowFirstColumn="0" w:lastRowLastColumn="0"/>
        </w:trPr>
        <w:tc>
          <w:tcPr>
            <w:tcW w:w="4353"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INL131 Australia Awards in Indonesia</w:t>
            </w:r>
          </w:p>
        </w:tc>
        <w:tc>
          <w:tcPr>
            <w:tcW w:w="4224"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Maluku and North Maluku GFA Pilot Review</w:t>
            </w:r>
          </w:p>
        </w:tc>
        <w:tc>
          <w:tcPr>
            <w:tcW w:w="1531"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24 August 2018</w:t>
            </w:r>
          </w:p>
        </w:tc>
        <w:tc>
          <w:tcPr>
            <w:tcW w:w="1956"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14 March 2019</w:t>
            </w:r>
          </w:p>
        </w:tc>
        <w:tc>
          <w:tcPr>
            <w:tcW w:w="1674"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p>
        </w:tc>
        <w:tc>
          <w:tcPr>
            <w:tcW w:w="1092"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No</w:t>
            </w:r>
          </w:p>
        </w:tc>
      </w:tr>
      <w:tr w:rsidR="004C6FD0" w:rsidRPr="00854166" w:rsidTr="00854166">
        <w:trPr>
          <w:cnfStyle w:val="100000000000" w:firstRow="1" w:lastRow="0" w:firstColumn="0" w:lastColumn="0" w:oddVBand="0" w:evenVBand="0" w:oddHBand="0" w:evenHBand="0" w:firstRowFirstColumn="0" w:firstRowLastColumn="0" w:lastRowFirstColumn="0" w:lastRowLastColumn="0"/>
        </w:trPr>
        <w:tc>
          <w:tcPr>
            <w:tcW w:w="4353"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INL131 Australia Awards in Indonesia</w:t>
            </w:r>
          </w:p>
        </w:tc>
        <w:tc>
          <w:tcPr>
            <w:tcW w:w="4224"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Australia Awards Indonesia contribution to Australia’s Gender Strategy</w:t>
            </w:r>
          </w:p>
        </w:tc>
        <w:tc>
          <w:tcPr>
            <w:tcW w:w="1531"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13 December 2018</w:t>
            </w:r>
          </w:p>
        </w:tc>
        <w:tc>
          <w:tcPr>
            <w:tcW w:w="1956"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4 April 2019</w:t>
            </w:r>
          </w:p>
        </w:tc>
        <w:tc>
          <w:tcPr>
            <w:tcW w:w="1674"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p>
        </w:tc>
        <w:tc>
          <w:tcPr>
            <w:tcW w:w="1092"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No</w:t>
            </w:r>
          </w:p>
        </w:tc>
      </w:tr>
      <w:tr w:rsidR="004C6FD0" w:rsidRPr="00854166" w:rsidTr="00854166">
        <w:trPr>
          <w:cnfStyle w:val="100000000000" w:firstRow="1" w:lastRow="0" w:firstColumn="0" w:lastColumn="0" w:oddVBand="0" w:evenVBand="0" w:oddHBand="0" w:evenHBand="0" w:firstRowFirstColumn="0" w:firstRowLastColumn="0" w:lastRowFirstColumn="0" w:lastRowLastColumn="0"/>
        </w:trPr>
        <w:tc>
          <w:tcPr>
            <w:tcW w:w="4353"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INL131 Australia Awards in Indonesia</w:t>
            </w:r>
          </w:p>
        </w:tc>
        <w:tc>
          <w:tcPr>
            <w:tcW w:w="4224"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The Annual Program Review and Reflection Workshop</w:t>
            </w:r>
          </w:p>
        </w:tc>
        <w:tc>
          <w:tcPr>
            <w:tcW w:w="1531"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14 September 2018</w:t>
            </w:r>
          </w:p>
        </w:tc>
        <w:tc>
          <w:tcPr>
            <w:tcW w:w="1956"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14 March 2019</w:t>
            </w:r>
          </w:p>
        </w:tc>
        <w:tc>
          <w:tcPr>
            <w:tcW w:w="1674"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p>
        </w:tc>
        <w:tc>
          <w:tcPr>
            <w:tcW w:w="1092"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No</w:t>
            </w:r>
          </w:p>
        </w:tc>
      </w:tr>
      <w:tr w:rsidR="004C6FD0" w:rsidRPr="00854166" w:rsidTr="00854166">
        <w:trPr>
          <w:cnfStyle w:val="100000000000" w:firstRow="1" w:lastRow="0" w:firstColumn="0" w:lastColumn="0" w:oddVBand="0" w:evenVBand="0" w:oddHBand="0" w:evenHBand="0" w:firstRowFirstColumn="0" w:firstRowLastColumn="0" w:lastRowFirstColumn="0" w:lastRowLastColumn="0"/>
        </w:trPr>
        <w:tc>
          <w:tcPr>
            <w:tcW w:w="4353"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INL092 Workforce Development Program (Timor-Leste)</w:t>
            </w:r>
          </w:p>
        </w:tc>
        <w:tc>
          <w:tcPr>
            <w:tcW w:w="4224"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Independent Review of the Workforce Development Program</w:t>
            </w:r>
          </w:p>
        </w:tc>
        <w:tc>
          <w:tcPr>
            <w:tcW w:w="1531"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1 May 2018</w:t>
            </w:r>
          </w:p>
        </w:tc>
        <w:tc>
          <w:tcPr>
            <w:tcW w:w="1956"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22 January 2019</w:t>
            </w:r>
          </w:p>
        </w:tc>
        <w:tc>
          <w:tcPr>
            <w:tcW w:w="1674"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22 January 2019</w:t>
            </w:r>
          </w:p>
        </w:tc>
        <w:tc>
          <w:tcPr>
            <w:tcW w:w="1092"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Yes</w:t>
            </w:r>
          </w:p>
        </w:tc>
      </w:tr>
      <w:tr w:rsidR="004C6FD0" w:rsidRPr="00854166" w:rsidTr="00854166">
        <w:trPr>
          <w:cnfStyle w:val="100000000000" w:firstRow="1" w:lastRow="0" w:firstColumn="0" w:lastColumn="0" w:oddVBand="0" w:evenVBand="0" w:oddHBand="0" w:evenHBand="0" w:firstRowFirstColumn="0" w:firstRowLastColumn="0" w:lastRowFirstColumn="0" w:lastRowLastColumn="0"/>
        </w:trPr>
        <w:tc>
          <w:tcPr>
            <w:tcW w:w="4353" w:type="dxa"/>
          </w:tcPr>
          <w:p w:rsidR="004C6FD0" w:rsidRPr="00854166" w:rsidRDefault="004C6FD0" w:rsidP="004C6FD0">
            <w:pPr>
              <w:keepLines/>
              <w:spacing w:before="0" w:line="200" w:lineRule="atLeast"/>
              <w:contextualSpacing/>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INL092 Workforce Development Program (Timor-Leste</w:t>
            </w:r>
          </w:p>
        </w:tc>
        <w:tc>
          <w:tcPr>
            <w:tcW w:w="4224" w:type="dxa"/>
          </w:tcPr>
          <w:p w:rsidR="004C6FD0" w:rsidRPr="00854166" w:rsidRDefault="004C6FD0" w:rsidP="004C6FD0">
            <w:pPr>
              <w:keepLines/>
              <w:spacing w:before="0" w:line="200" w:lineRule="atLeast"/>
              <w:contextualSpacing/>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Private Sector Development Review</w:t>
            </w:r>
          </w:p>
        </w:tc>
        <w:tc>
          <w:tcPr>
            <w:tcW w:w="1531" w:type="dxa"/>
          </w:tcPr>
          <w:p w:rsidR="004C6FD0" w:rsidRPr="00854166" w:rsidRDefault="004C6FD0" w:rsidP="004C6FD0">
            <w:pPr>
              <w:keepLines/>
              <w:spacing w:before="0" w:line="200" w:lineRule="atLeast"/>
              <w:contextualSpacing/>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15 December 2018</w:t>
            </w:r>
          </w:p>
        </w:tc>
        <w:tc>
          <w:tcPr>
            <w:tcW w:w="1956" w:type="dxa"/>
          </w:tcPr>
          <w:p w:rsidR="004C6FD0" w:rsidRPr="00854166" w:rsidRDefault="004C6FD0" w:rsidP="004C6FD0">
            <w:pPr>
              <w:keepLines/>
              <w:spacing w:before="0" w:line="200" w:lineRule="atLeast"/>
              <w:contextualSpacing/>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22 January 2019</w:t>
            </w:r>
          </w:p>
        </w:tc>
        <w:tc>
          <w:tcPr>
            <w:tcW w:w="1674" w:type="dxa"/>
          </w:tcPr>
          <w:p w:rsidR="004C6FD0" w:rsidRPr="00854166" w:rsidRDefault="004C6FD0" w:rsidP="004C6FD0">
            <w:pPr>
              <w:keepLines/>
              <w:spacing w:before="0" w:line="200" w:lineRule="atLeast"/>
              <w:contextualSpacing/>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22 January 2019</w:t>
            </w:r>
          </w:p>
        </w:tc>
        <w:tc>
          <w:tcPr>
            <w:tcW w:w="1092" w:type="dxa"/>
          </w:tcPr>
          <w:p w:rsidR="004C6FD0" w:rsidRPr="00854166" w:rsidRDefault="004C6FD0" w:rsidP="004C6FD0">
            <w:pPr>
              <w:keepLines/>
              <w:spacing w:before="0" w:line="200" w:lineRule="atLeast"/>
              <w:contextualSpacing/>
              <w:rPr>
                <w:rFonts w:asciiTheme="minorHAnsi" w:eastAsia="Times New Roman" w:hAnsiTheme="minorHAnsi" w:cstheme="minorHAnsi"/>
                <w:b w:val="0"/>
                <w:bCs/>
                <w:iCs/>
                <w:color w:val="000000" w:themeColor="text1"/>
                <w:sz w:val="20"/>
                <w:szCs w:val="20"/>
              </w:rPr>
            </w:pPr>
            <w:r w:rsidRPr="00854166">
              <w:rPr>
                <w:rFonts w:asciiTheme="minorHAnsi" w:eastAsia="Times New Roman" w:hAnsiTheme="minorHAnsi" w:cstheme="minorHAnsi"/>
                <w:b w:val="0"/>
                <w:bCs/>
                <w:iCs/>
                <w:color w:val="000000" w:themeColor="text1"/>
                <w:sz w:val="20"/>
                <w:szCs w:val="20"/>
              </w:rPr>
              <w:t>Yes</w:t>
            </w:r>
          </w:p>
        </w:tc>
      </w:tr>
      <w:tr w:rsidR="004C6FD0" w:rsidRPr="00854166" w:rsidTr="00854166">
        <w:trPr>
          <w:cnfStyle w:val="100000000000" w:firstRow="1" w:lastRow="0" w:firstColumn="0" w:lastColumn="0" w:oddVBand="0" w:evenVBand="0" w:oddHBand="0" w:evenHBand="0" w:firstRowFirstColumn="0" w:firstRowLastColumn="0" w:lastRowFirstColumn="0" w:lastRowLastColumn="0"/>
        </w:trPr>
        <w:tc>
          <w:tcPr>
            <w:tcW w:w="4353"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p>
        </w:tc>
        <w:tc>
          <w:tcPr>
            <w:tcW w:w="4224"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p>
        </w:tc>
        <w:tc>
          <w:tcPr>
            <w:tcW w:w="1531"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p>
        </w:tc>
        <w:tc>
          <w:tcPr>
            <w:tcW w:w="1956"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p>
        </w:tc>
        <w:tc>
          <w:tcPr>
            <w:tcW w:w="1674"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p>
        </w:tc>
        <w:tc>
          <w:tcPr>
            <w:tcW w:w="1092" w:type="dxa"/>
          </w:tcPr>
          <w:p w:rsidR="004C6FD0" w:rsidRPr="00854166" w:rsidRDefault="004C6FD0" w:rsidP="004C6FD0">
            <w:pPr>
              <w:keepLines/>
              <w:spacing w:before="40" w:after="40" w:line="200" w:lineRule="atLeast"/>
              <w:rPr>
                <w:rFonts w:asciiTheme="minorHAnsi" w:eastAsia="Times New Roman" w:hAnsiTheme="minorHAnsi" w:cstheme="minorHAnsi"/>
                <w:b w:val="0"/>
                <w:bCs/>
                <w:iCs/>
                <w:color w:val="000000" w:themeColor="text1"/>
                <w:sz w:val="20"/>
                <w:szCs w:val="20"/>
              </w:rPr>
            </w:pPr>
          </w:p>
        </w:tc>
      </w:tr>
      <w:tr w:rsidR="004C6FD0" w:rsidRPr="00854166" w:rsidTr="00854166">
        <w:trPr>
          <w:cnfStyle w:val="100000000000" w:firstRow="1" w:lastRow="0" w:firstColumn="0" w:lastColumn="0" w:oddVBand="0" w:evenVBand="0" w:oddHBand="0" w:evenHBand="0" w:firstRowFirstColumn="0" w:firstRowLastColumn="0" w:lastRowFirstColumn="0" w:lastRowLastColumn="0"/>
        </w:trPr>
        <w:tc>
          <w:tcPr>
            <w:tcW w:w="4353" w:type="dxa"/>
          </w:tcPr>
          <w:p w:rsidR="004C6FD0" w:rsidRPr="00854166" w:rsidRDefault="004C6FD0" w:rsidP="004C6FD0">
            <w:pPr>
              <w:keepLines/>
              <w:spacing w:before="0" w:line="200" w:lineRule="atLeast"/>
              <w:contextualSpacing/>
              <w:rPr>
                <w:rFonts w:asciiTheme="minorHAnsi" w:eastAsia="Times New Roman" w:hAnsiTheme="minorHAnsi" w:cstheme="minorHAnsi"/>
                <w:b w:val="0"/>
                <w:bCs/>
                <w:iCs/>
                <w:color w:val="000000" w:themeColor="text1"/>
                <w:sz w:val="18"/>
                <w:szCs w:val="18"/>
              </w:rPr>
            </w:pPr>
          </w:p>
        </w:tc>
        <w:tc>
          <w:tcPr>
            <w:tcW w:w="4224" w:type="dxa"/>
          </w:tcPr>
          <w:p w:rsidR="004C6FD0" w:rsidRPr="00854166" w:rsidRDefault="004C6FD0" w:rsidP="004C6FD0">
            <w:pPr>
              <w:keepLines/>
              <w:spacing w:before="0" w:line="200" w:lineRule="atLeast"/>
              <w:contextualSpacing/>
              <w:rPr>
                <w:rFonts w:asciiTheme="minorHAnsi" w:eastAsia="Times New Roman" w:hAnsiTheme="minorHAnsi" w:cstheme="minorHAnsi"/>
                <w:b w:val="0"/>
                <w:bCs/>
                <w:iCs/>
                <w:color w:val="000000" w:themeColor="text1"/>
                <w:sz w:val="18"/>
                <w:szCs w:val="18"/>
              </w:rPr>
            </w:pPr>
          </w:p>
        </w:tc>
        <w:tc>
          <w:tcPr>
            <w:tcW w:w="1531" w:type="dxa"/>
          </w:tcPr>
          <w:p w:rsidR="004C6FD0" w:rsidRPr="00854166" w:rsidRDefault="004C6FD0" w:rsidP="004C6FD0">
            <w:pPr>
              <w:keepLines/>
              <w:spacing w:before="0" w:line="200" w:lineRule="atLeast"/>
              <w:contextualSpacing/>
              <w:rPr>
                <w:rFonts w:asciiTheme="minorHAnsi" w:eastAsia="Times New Roman" w:hAnsiTheme="minorHAnsi" w:cstheme="minorHAnsi"/>
                <w:b w:val="0"/>
                <w:bCs/>
                <w:iCs/>
                <w:color w:val="000000" w:themeColor="text1"/>
                <w:sz w:val="18"/>
                <w:szCs w:val="18"/>
              </w:rPr>
            </w:pPr>
          </w:p>
        </w:tc>
        <w:tc>
          <w:tcPr>
            <w:tcW w:w="1956" w:type="dxa"/>
          </w:tcPr>
          <w:p w:rsidR="004C6FD0" w:rsidRPr="00854166" w:rsidRDefault="004C6FD0" w:rsidP="004C6FD0">
            <w:pPr>
              <w:keepLines/>
              <w:spacing w:before="0" w:line="200" w:lineRule="atLeast"/>
              <w:contextualSpacing/>
              <w:rPr>
                <w:rFonts w:asciiTheme="minorHAnsi" w:eastAsia="Times New Roman" w:hAnsiTheme="minorHAnsi" w:cstheme="minorHAnsi"/>
                <w:b w:val="0"/>
                <w:bCs/>
                <w:iCs/>
                <w:color w:val="000000" w:themeColor="text1"/>
                <w:sz w:val="18"/>
                <w:szCs w:val="18"/>
              </w:rPr>
            </w:pPr>
          </w:p>
        </w:tc>
        <w:tc>
          <w:tcPr>
            <w:tcW w:w="1674" w:type="dxa"/>
          </w:tcPr>
          <w:p w:rsidR="004C6FD0" w:rsidRPr="00854166" w:rsidRDefault="004C6FD0" w:rsidP="004C6FD0">
            <w:pPr>
              <w:keepLines/>
              <w:spacing w:before="0" w:line="200" w:lineRule="atLeast"/>
              <w:contextualSpacing/>
              <w:rPr>
                <w:rFonts w:asciiTheme="minorHAnsi" w:eastAsia="Times New Roman" w:hAnsiTheme="minorHAnsi" w:cstheme="minorHAnsi"/>
                <w:b w:val="0"/>
                <w:bCs/>
                <w:iCs/>
                <w:color w:val="000000" w:themeColor="text1"/>
                <w:sz w:val="18"/>
                <w:szCs w:val="18"/>
              </w:rPr>
            </w:pPr>
          </w:p>
        </w:tc>
        <w:tc>
          <w:tcPr>
            <w:tcW w:w="1092" w:type="dxa"/>
          </w:tcPr>
          <w:p w:rsidR="004C6FD0" w:rsidRPr="00854166" w:rsidRDefault="004C6FD0" w:rsidP="004C6FD0">
            <w:pPr>
              <w:keepLines/>
              <w:spacing w:before="0" w:line="200" w:lineRule="atLeast"/>
              <w:contextualSpacing/>
              <w:rPr>
                <w:rFonts w:asciiTheme="minorHAnsi" w:eastAsia="Times New Roman" w:hAnsiTheme="minorHAnsi" w:cstheme="minorHAnsi"/>
                <w:b w:val="0"/>
                <w:bCs/>
                <w:iCs/>
                <w:color w:val="000000" w:themeColor="text1"/>
                <w:sz w:val="18"/>
                <w:szCs w:val="18"/>
              </w:rPr>
            </w:pPr>
          </w:p>
        </w:tc>
      </w:tr>
    </w:tbl>
    <w:p w:rsidR="00D93B1B" w:rsidRDefault="00D93B1B">
      <w:pPr>
        <w:suppressAutoHyphens w:val="0"/>
        <w:spacing w:before="0" w:after="120" w:line="440" w:lineRule="atLeast"/>
        <w:rPr>
          <w:rFonts w:eastAsiaTheme="majorEastAsia" w:cstheme="minorHAnsi"/>
          <w:caps/>
          <w:sz w:val="36"/>
          <w:szCs w:val="36"/>
        </w:rPr>
      </w:pPr>
    </w:p>
    <w:p w:rsidR="00400B0F" w:rsidRPr="002630E5" w:rsidRDefault="00400B0F" w:rsidP="002630E5">
      <w:pPr>
        <w:suppressAutoHyphens w:val="0"/>
        <w:spacing w:before="0" w:after="120" w:line="440" w:lineRule="atLeast"/>
        <w:rPr>
          <w:rFonts w:eastAsiaTheme="majorEastAsia" w:cstheme="minorHAnsi"/>
          <w:caps/>
          <w:sz w:val="36"/>
          <w:szCs w:val="36"/>
        </w:rPr>
        <w:sectPr w:rsidR="00400B0F" w:rsidRPr="002630E5" w:rsidSect="008C2F58">
          <w:headerReference w:type="even" r:id="rId35"/>
          <w:headerReference w:type="default" r:id="rId36"/>
          <w:headerReference w:type="first" r:id="rId37"/>
          <w:footerReference w:type="first" r:id="rId38"/>
          <w:footnotePr>
            <w:numRestart w:val="eachPage"/>
          </w:footnotePr>
          <w:type w:val="continuous"/>
          <w:pgSz w:w="16838" w:h="11906" w:orient="landscape" w:code="9"/>
          <w:pgMar w:top="1272" w:right="1814" w:bottom="851" w:left="851" w:header="709" w:footer="230" w:gutter="0"/>
          <w:cols w:space="708"/>
          <w:titlePg/>
          <w:docGrid w:linePitch="360"/>
        </w:sectPr>
      </w:pPr>
    </w:p>
    <w:p w:rsidR="00400B0F" w:rsidRPr="00901B73" w:rsidRDefault="00400B0F" w:rsidP="00901B73">
      <w:pPr>
        <w:keepNext/>
        <w:tabs>
          <w:tab w:val="left" w:pos="1560"/>
        </w:tabs>
        <w:spacing w:before="360" w:after="120" w:line="300" w:lineRule="exact"/>
        <w:outlineLvl w:val="1"/>
        <w:rPr>
          <w:rFonts w:asciiTheme="majorHAnsi" w:eastAsiaTheme="majorEastAsia" w:hAnsiTheme="majorHAnsi" w:cstheme="majorHAnsi"/>
          <w:bCs/>
          <w:iCs/>
          <w:caps/>
          <w:spacing w:val="-10"/>
          <w:kern w:val="28"/>
          <w:sz w:val="38"/>
          <w:szCs w:val="24"/>
        </w:rPr>
      </w:pPr>
      <w:r w:rsidRPr="00901B73">
        <w:rPr>
          <w:rFonts w:asciiTheme="majorHAnsi" w:eastAsiaTheme="majorEastAsia" w:hAnsiTheme="majorHAnsi" w:cstheme="majorHAnsi"/>
          <w:bCs/>
          <w:iCs/>
          <w:caps/>
          <w:spacing w:val="-10"/>
          <w:kern w:val="28"/>
          <w:sz w:val="38"/>
          <w:szCs w:val="24"/>
        </w:rPr>
        <w:t xml:space="preserve">Annex </w:t>
      </w:r>
      <w:r w:rsidR="00313511">
        <w:rPr>
          <w:rFonts w:asciiTheme="majorHAnsi" w:eastAsiaTheme="majorEastAsia" w:hAnsiTheme="majorHAnsi" w:cstheme="majorHAnsi"/>
          <w:bCs/>
          <w:iCs/>
          <w:caps/>
          <w:spacing w:val="-10"/>
          <w:kern w:val="28"/>
          <w:sz w:val="38"/>
          <w:szCs w:val="24"/>
        </w:rPr>
        <w:t>c</w:t>
      </w:r>
      <w:r w:rsidRPr="00901B73">
        <w:rPr>
          <w:rFonts w:asciiTheme="majorHAnsi" w:eastAsiaTheme="majorEastAsia" w:hAnsiTheme="majorHAnsi" w:cstheme="majorHAnsi"/>
          <w:bCs/>
          <w:iCs/>
          <w:caps/>
          <w:spacing w:val="-10"/>
          <w:kern w:val="28"/>
          <w:sz w:val="38"/>
          <w:szCs w:val="24"/>
        </w:rPr>
        <w:t xml:space="preserve"> </w:t>
      </w:r>
      <w:r w:rsidR="00313511">
        <w:rPr>
          <w:rFonts w:asciiTheme="majorHAnsi" w:eastAsiaTheme="majorEastAsia" w:hAnsiTheme="majorHAnsi" w:cstheme="majorHAnsi"/>
          <w:bCs/>
          <w:iCs/>
          <w:caps/>
          <w:spacing w:val="-10"/>
          <w:kern w:val="28"/>
          <w:sz w:val="38"/>
          <w:szCs w:val="24"/>
        </w:rPr>
        <w:t>–</w:t>
      </w:r>
      <w:r w:rsidRPr="00901B73">
        <w:rPr>
          <w:rFonts w:asciiTheme="majorHAnsi" w:eastAsiaTheme="majorEastAsia" w:hAnsiTheme="majorHAnsi" w:cstheme="majorHAnsi"/>
          <w:bCs/>
          <w:iCs/>
          <w:caps/>
          <w:spacing w:val="-10"/>
          <w:kern w:val="28"/>
          <w:sz w:val="38"/>
          <w:szCs w:val="24"/>
        </w:rPr>
        <w:t xml:space="preserve"> Aid</w:t>
      </w:r>
      <w:r w:rsidR="00313511">
        <w:rPr>
          <w:rFonts w:asciiTheme="majorHAnsi" w:eastAsiaTheme="majorEastAsia" w:hAnsiTheme="majorHAnsi" w:cstheme="majorHAnsi"/>
          <w:bCs/>
          <w:iCs/>
          <w:caps/>
          <w:spacing w:val="-10"/>
          <w:kern w:val="28"/>
          <w:sz w:val="38"/>
          <w:szCs w:val="24"/>
        </w:rPr>
        <w:t xml:space="preserve"> </w:t>
      </w:r>
      <w:r w:rsidRPr="00901B73">
        <w:rPr>
          <w:rFonts w:asciiTheme="majorHAnsi" w:eastAsiaTheme="majorEastAsia" w:hAnsiTheme="majorHAnsi" w:cstheme="majorHAnsi"/>
          <w:bCs/>
          <w:iCs/>
          <w:caps/>
          <w:spacing w:val="-10"/>
          <w:kern w:val="28"/>
          <w:sz w:val="38"/>
          <w:szCs w:val="24"/>
        </w:rPr>
        <w:t>Quality Check ratings</w:t>
      </w:r>
    </w:p>
    <w:p w:rsidR="00901B73" w:rsidRPr="00EF26B5" w:rsidRDefault="00901B73" w:rsidP="00901B73">
      <w:pPr>
        <w:pStyle w:val="ListBullet"/>
        <w:tabs>
          <w:tab w:val="clear" w:pos="284"/>
        </w:tabs>
        <w:spacing w:before="400"/>
        <w:rPr>
          <w:rFonts w:asciiTheme="minorHAnsi" w:eastAsiaTheme="majorEastAsia" w:hAnsiTheme="minorHAnsi" w:cstheme="minorHAnsi"/>
          <w:caps/>
          <w:color w:val="495965" w:themeColor="text2"/>
          <w:sz w:val="36"/>
          <w:szCs w:val="36"/>
          <w:lang w:val="en-GB" w:eastAsia="en-US"/>
        </w:rPr>
      </w:pPr>
      <w:r w:rsidRPr="00EF26B5">
        <w:rPr>
          <w:rFonts w:asciiTheme="minorHAnsi" w:eastAsiaTheme="majorEastAsia" w:hAnsiTheme="minorHAnsi" w:cstheme="minorHAnsi"/>
          <w:caps/>
          <w:color w:val="495965" w:themeColor="text2"/>
          <w:sz w:val="36"/>
          <w:szCs w:val="36"/>
          <w:lang w:val="en-GB" w:eastAsia="en-US"/>
        </w:rPr>
        <w:t>AQC ratings</w:t>
      </w:r>
      <w:r w:rsidR="00907952">
        <w:rPr>
          <w:rFonts w:asciiTheme="minorHAnsi" w:eastAsiaTheme="majorEastAsia" w:hAnsiTheme="minorHAnsi" w:cstheme="minorHAnsi"/>
          <w:caps/>
          <w:color w:val="495965" w:themeColor="text2"/>
          <w:sz w:val="36"/>
          <w:szCs w:val="36"/>
          <w:lang w:val="en-GB" w:eastAsia="en-US"/>
        </w:rPr>
        <w:t xml:space="preserve"> 2018</w:t>
      </w:r>
    </w:p>
    <w:p w:rsidR="005E0A54" w:rsidRPr="00907952" w:rsidRDefault="00901B73" w:rsidP="00400B0F">
      <w:pPr>
        <w:rPr>
          <w:iCs/>
          <w:color w:val="000000" w:themeColor="text1"/>
        </w:rPr>
      </w:pPr>
      <w:r w:rsidRPr="00907952">
        <w:rPr>
          <w:color w:val="000000" w:themeColor="text1"/>
        </w:rPr>
        <w:t xml:space="preserve">AQC investment performance over the previous 12 months </w:t>
      </w:r>
    </w:p>
    <w:tbl>
      <w:tblPr>
        <w:tblW w:w="9160" w:type="dxa"/>
        <w:tblLayout w:type="fixed"/>
        <w:tblLook w:val="04A0" w:firstRow="1" w:lastRow="0" w:firstColumn="1" w:lastColumn="0" w:noHBand="0" w:noVBand="1"/>
      </w:tblPr>
      <w:tblGrid>
        <w:gridCol w:w="801"/>
        <w:gridCol w:w="3545"/>
        <w:gridCol w:w="1466"/>
        <w:gridCol w:w="1352"/>
        <w:gridCol w:w="665"/>
        <w:gridCol w:w="665"/>
        <w:gridCol w:w="666"/>
      </w:tblGrid>
      <w:tr w:rsidR="00106504" w:rsidRPr="00106504" w:rsidTr="00DC68DD">
        <w:trPr>
          <w:trHeight w:val="1620"/>
        </w:trPr>
        <w:tc>
          <w:tcPr>
            <w:tcW w:w="801" w:type="dxa"/>
            <w:tcBorders>
              <w:top w:val="single" w:sz="12" w:space="0" w:color="auto"/>
              <w:left w:val="nil"/>
              <w:bottom w:val="single" w:sz="4" w:space="0" w:color="auto"/>
              <w:right w:val="nil"/>
            </w:tcBorders>
            <w:shd w:val="clear" w:color="auto" w:fill="auto"/>
            <w:noWrap/>
            <w:vAlign w:val="center"/>
            <w:hideMark/>
          </w:tcPr>
          <w:p w:rsidR="00106504" w:rsidRPr="00106504" w:rsidRDefault="00106504" w:rsidP="00106504">
            <w:pPr>
              <w:suppressAutoHyphens w:val="0"/>
              <w:spacing w:before="0" w:after="0" w:line="240" w:lineRule="auto"/>
              <w:rPr>
                <w:rFonts w:eastAsia="Times New Roman" w:cstheme="minorHAnsi"/>
                <w:color w:val="auto"/>
                <w:sz w:val="18"/>
                <w:szCs w:val="18"/>
                <w:lang w:val="en-AU" w:eastAsia="en-AU"/>
              </w:rPr>
            </w:pPr>
          </w:p>
        </w:tc>
        <w:tc>
          <w:tcPr>
            <w:tcW w:w="3545" w:type="dxa"/>
            <w:tcBorders>
              <w:top w:val="single" w:sz="12" w:space="0" w:color="auto"/>
              <w:left w:val="nil"/>
              <w:bottom w:val="single" w:sz="4" w:space="0" w:color="auto"/>
              <w:right w:val="nil"/>
            </w:tcBorders>
            <w:shd w:val="clear" w:color="auto" w:fill="auto"/>
            <w:noWrap/>
            <w:vAlign w:val="center"/>
            <w:hideMark/>
          </w:tcPr>
          <w:p w:rsidR="00106504" w:rsidRPr="00106504" w:rsidRDefault="00106504" w:rsidP="00106504">
            <w:pPr>
              <w:suppressAutoHyphens w:val="0"/>
              <w:spacing w:before="0" w:after="0" w:line="240" w:lineRule="auto"/>
              <w:jc w:val="center"/>
              <w:rPr>
                <w:rFonts w:eastAsia="Times New Roman" w:cstheme="minorHAnsi"/>
                <w:b/>
                <w:bCs/>
                <w:color w:val="000000"/>
                <w:sz w:val="18"/>
                <w:szCs w:val="18"/>
                <w:lang w:val="en-AU" w:eastAsia="en-AU"/>
              </w:rPr>
            </w:pPr>
            <w:r w:rsidRPr="00106504">
              <w:rPr>
                <w:rFonts w:eastAsia="Times New Roman" w:cstheme="minorHAnsi"/>
                <w:b/>
                <w:bCs/>
                <w:color w:val="000000"/>
                <w:sz w:val="18"/>
                <w:szCs w:val="18"/>
                <w:lang w:val="en-AU" w:eastAsia="en-AU"/>
              </w:rPr>
              <w:t>Name</w:t>
            </w:r>
          </w:p>
        </w:tc>
        <w:tc>
          <w:tcPr>
            <w:tcW w:w="1466" w:type="dxa"/>
            <w:tcBorders>
              <w:top w:val="single" w:sz="12" w:space="0" w:color="auto"/>
              <w:left w:val="nil"/>
              <w:bottom w:val="single" w:sz="4" w:space="0" w:color="auto"/>
              <w:right w:val="nil"/>
            </w:tcBorders>
            <w:shd w:val="clear" w:color="auto" w:fill="auto"/>
            <w:noWrap/>
            <w:textDirection w:val="btLr"/>
            <w:vAlign w:val="center"/>
            <w:hideMark/>
          </w:tcPr>
          <w:p w:rsidR="00106504" w:rsidRPr="00106504" w:rsidRDefault="00106504" w:rsidP="00106504">
            <w:pPr>
              <w:suppressAutoHyphens w:val="0"/>
              <w:spacing w:before="0" w:after="0" w:line="240" w:lineRule="auto"/>
              <w:jc w:val="center"/>
              <w:rPr>
                <w:rFonts w:eastAsia="Times New Roman" w:cstheme="minorHAnsi"/>
                <w:b/>
                <w:bCs/>
                <w:color w:val="000000"/>
                <w:sz w:val="18"/>
                <w:szCs w:val="18"/>
                <w:lang w:val="en-AU" w:eastAsia="en-AU"/>
              </w:rPr>
            </w:pPr>
            <w:r w:rsidRPr="00106504">
              <w:rPr>
                <w:rFonts w:eastAsia="Times New Roman" w:cstheme="minorHAnsi"/>
                <w:b/>
                <w:bCs/>
                <w:color w:val="000000"/>
                <w:sz w:val="18"/>
                <w:szCs w:val="18"/>
                <w:lang w:val="en-AU" w:eastAsia="en-AU"/>
              </w:rPr>
              <w:t>Country/Region</w:t>
            </w:r>
          </w:p>
        </w:tc>
        <w:tc>
          <w:tcPr>
            <w:tcW w:w="1352" w:type="dxa"/>
            <w:tcBorders>
              <w:top w:val="single" w:sz="12" w:space="0" w:color="auto"/>
              <w:left w:val="nil"/>
              <w:bottom w:val="single" w:sz="4" w:space="0" w:color="auto"/>
              <w:right w:val="nil"/>
            </w:tcBorders>
            <w:shd w:val="clear" w:color="auto" w:fill="auto"/>
            <w:noWrap/>
            <w:textDirection w:val="btLr"/>
            <w:vAlign w:val="center"/>
            <w:hideMark/>
          </w:tcPr>
          <w:p w:rsidR="00106504" w:rsidRPr="00106504" w:rsidRDefault="00106504" w:rsidP="00106504">
            <w:pPr>
              <w:suppressAutoHyphens w:val="0"/>
              <w:spacing w:before="0" w:after="0" w:line="240" w:lineRule="auto"/>
              <w:jc w:val="center"/>
              <w:rPr>
                <w:rFonts w:eastAsia="Times New Roman" w:cstheme="minorHAnsi"/>
                <w:b/>
                <w:bCs/>
                <w:color w:val="000000"/>
                <w:sz w:val="18"/>
                <w:szCs w:val="18"/>
                <w:lang w:val="en-AU" w:eastAsia="en-AU"/>
              </w:rPr>
            </w:pPr>
            <w:r w:rsidRPr="00106504">
              <w:rPr>
                <w:rFonts w:eastAsia="Times New Roman" w:cstheme="minorHAnsi"/>
                <w:b/>
                <w:bCs/>
                <w:color w:val="000000"/>
                <w:sz w:val="18"/>
                <w:szCs w:val="18"/>
                <w:lang w:val="en-AU" w:eastAsia="en-AU"/>
              </w:rPr>
              <w:t>Allocation $</w:t>
            </w:r>
          </w:p>
        </w:tc>
        <w:tc>
          <w:tcPr>
            <w:tcW w:w="665" w:type="dxa"/>
            <w:tcBorders>
              <w:top w:val="single" w:sz="12" w:space="0" w:color="auto"/>
              <w:left w:val="nil"/>
              <w:bottom w:val="single" w:sz="4" w:space="0" w:color="auto"/>
              <w:right w:val="nil"/>
            </w:tcBorders>
            <w:shd w:val="clear" w:color="auto" w:fill="auto"/>
            <w:noWrap/>
            <w:textDirection w:val="btLr"/>
            <w:vAlign w:val="center"/>
            <w:hideMark/>
          </w:tcPr>
          <w:p w:rsidR="00106504" w:rsidRPr="00106504" w:rsidRDefault="00106504" w:rsidP="00106504">
            <w:pPr>
              <w:suppressAutoHyphens w:val="0"/>
              <w:spacing w:before="0" w:after="0" w:line="240" w:lineRule="auto"/>
              <w:jc w:val="center"/>
              <w:rPr>
                <w:rFonts w:eastAsia="Times New Roman" w:cstheme="minorHAnsi"/>
                <w:b/>
                <w:bCs/>
                <w:color w:val="000000"/>
                <w:sz w:val="18"/>
                <w:szCs w:val="18"/>
                <w:lang w:val="en-AU" w:eastAsia="en-AU"/>
              </w:rPr>
            </w:pPr>
            <w:r w:rsidRPr="00106504">
              <w:rPr>
                <w:rFonts w:eastAsia="Times New Roman" w:cstheme="minorHAnsi"/>
                <w:b/>
                <w:bCs/>
                <w:color w:val="000000"/>
                <w:sz w:val="18"/>
                <w:szCs w:val="18"/>
                <w:lang w:val="en-AU" w:eastAsia="en-AU"/>
              </w:rPr>
              <w:t>Effectiveness</w:t>
            </w:r>
          </w:p>
        </w:tc>
        <w:tc>
          <w:tcPr>
            <w:tcW w:w="665" w:type="dxa"/>
            <w:tcBorders>
              <w:top w:val="single" w:sz="12" w:space="0" w:color="auto"/>
              <w:left w:val="nil"/>
              <w:bottom w:val="single" w:sz="4" w:space="0" w:color="auto"/>
              <w:right w:val="nil"/>
            </w:tcBorders>
            <w:shd w:val="clear" w:color="auto" w:fill="auto"/>
            <w:noWrap/>
            <w:textDirection w:val="btLr"/>
            <w:vAlign w:val="center"/>
            <w:hideMark/>
          </w:tcPr>
          <w:p w:rsidR="00106504" w:rsidRPr="00106504" w:rsidRDefault="00106504" w:rsidP="00106504">
            <w:pPr>
              <w:suppressAutoHyphens w:val="0"/>
              <w:spacing w:before="0" w:after="0" w:line="240" w:lineRule="auto"/>
              <w:jc w:val="center"/>
              <w:rPr>
                <w:rFonts w:eastAsia="Times New Roman" w:cstheme="minorHAnsi"/>
                <w:b/>
                <w:bCs/>
                <w:color w:val="000000"/>
                <w:sz w:val="18"/>
                <w:szCs w:val="18"/>
                <w:lang w:val="en-AU" w:eastAsia="en-AU"/>
              </w:rPr>
            </w:pPr>
            <w:r w:rsidRPr="00106504">
              <w:rPr>
                <w:rFonts w:eastAsia="Times New Roman" w:cstheme="minorHAnsi"/>
                <w:b/>
                <w:bCs/>
                <w:color w:val="000000"/>
                <w:sz w:val="18"/>
                <w:szCs w:val="18"/>
                <w:lang w:val="en-AU" w:eastAsia="en-AU"/>
              </w:rPr>
              <w:t>Efficiency</w:t>
            </w:r>
          </w:p>
        </w:tc>
        <w:tc>
          <w:tcPr>
            <w:tcW w:w="666" w:type="dxa"/>
            <w:tcBorders>
              <w:top w:val="single" w:sz="12" w:space="0" w:color="auto"/>
              <w:left w:val="nil"/>
              <w:bottom w:val="single" w:sz="4" w:space="0" w:color="auto"/>
              <w:right w:val="nil"/>
            </w:tcBorders>
            <w:shd w:val="clear" w:color="auto" w:fill="auto"/>
            <w:noWrap/>
            <w:textDirection w:val="btLr"/>
            <w:vAlign w:val="center"/>
            <w:hideMark/>
          </w:tcPr>
          <w:p w:rsidR="00106504" w:rsidRPr="00106504" w:rsidRDefault="00106504" w:rsidP="00106504">
            <w:pPr>
              <w:suppressAutoHyphens w:val="0"/>
              <w:spacing w:before="0" w:after="0" w:line="240" w:lineRule="auto"/>
              <w:jc w:val="center"/>
              <w:rPr>
                <w:rFonts w:eastAsia="Times New Roman" w:cstheme="minorHAnsi"/>
                <w:b/>
                <w:bCs/>
                <w:color w:val="000000"/>
                <w:sz w:val="18"/>
                <w:szCs w:val="18"/>
                <w:lang w:val="en-AU" w:eastAsia="en-AU"/>
              </w:rPr>
            </w:pPr>
            <w:r w:rsidRPr="00106504">
              <w:rPr>
                <w:rFonts w:eastAsia="Times New Roman" w:cstheme="minorHAnsi"/>
                <w:b/>
                <w:bCs/>
                <w:color w:val="000000"/>
                <w:sz w:val="18"/>
                <w:szCs w:val="18"/>
                <w:lang w:val="en-AU" w:eastAsia="en-AU"/>
              </w:rPr>
              <w:t>Gender Equality</w:t>
            </w:r>
          </w:p>
        </w:tc>
      </w:tr>
      <w:tr w:rsidR="00106504" w:rsidRPr="00106504" w:rsidTr="00DC68DD">
        <w:trPr>
          <w:trHeight w:val="300"/>
        </w:trPr>
        <w:tc>
          <w:tcPr>
            <w:tcW w:w="801" w:type="dxa"/>
            <w:tcBorders>
              <w:top w:val="single" w:sz="4" w:space="0" w:color="auto"/>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INM023</w:t>
            </w:r>
          </w:p>
        </w:tc>
        <w:tc>
          <w:tcPr>
            <w:tcW w:w="3545" w:type="dxa"/>
            <w:tcBorders>
              <w:top w:val="single" w:sz="4" w:space="0" w:color="auto"/>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Australia Awards Papua New Guinea</w:t>
            </w:r>
          </w:p>
        </w:tc>
        <w:tc>
          <w:tcPr>
            <w:tcW w:w="1466" w:type="dxa"/>
            <w:tcBorders>
              <w:top w:val="single" w:sz="4" w:space="0" w:color="auto"/>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PNG</w:t>
            </w:r>
          </w:p>
        </w:tc>
        <w:tc>
          <w:tcPr>
            <w:tcW w:w="1352" w:type="dxa"/>
            <w:tcBorders>
              <w:top w:val="single" w:sz="4" w:space="0" w:color="auto"/>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 xml:space="preserve">185,000,000.00 </w:t>
            </w:r>
          </w:p>
        </w:tc>
        <w:tc>
          <w:tcPr>
            <w:tcW w:w="665" w:type="dxa"/>
            <w:tcBorders>
              <w:top w:val="single" w:sz="4" w:space="0" w:color="auto"/>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c>
          <w:tcPr>
            <w:tcW w:w="665" w:type="dxa"/>
            <w:tcBorders>
              <w:top w:val="single" w:sz="4" w:space="0" w:color="auto"/>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c>
          <w:tcPr>
            <w:tcW w:w="666" w:type="dxa"/>
            <w:tcBorders>
              <w:top w:val="single" w:sz="4" w:space="0" w:color="auto"/>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r>
      <w:tr w:rsidR="00106504" w:rsidRPr="00106504" w:rsidTr="00DC68DD">
        <w:trPr>
          <w:trHeight w:val="300"/>
        </w:trPr>
        <w:tc>
          <w:tcPr>
            <w:tcW w:w="801"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auto"/>
                <w:sz w:val="18"/>
                <w:szCs w:val="18"/>
                <w:lang w:val="en-AU" w:eastAsia="en-AU"/>
              </w:rPr>
            </w:pPr>
            <w:r w:rsidRPr="00106504">
              <w:rPr>
                <w:rFonts w:eastAsia="Times New Roman" w:cstheme="minorHAnsi"/>
                <w:color w:val="auto"/>
                <w:sz w:val="18"/>
                <w:szCs w:val="18"/>
                <w:lang w:val="en-AU" w:eastAsia="en-AU"/>
              </w:rPr>
              <w:t>INL131</w:t>
            </w:r>
          </w:p>
        </w:tc>
        <w:tc>
          <w:tcPr>
            <w:tcW w:w="354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Australia Awards in Indonesia</w:t>
            </w:r>
          </w:p>
        </w:tc>
        <w:tc>
          <w:tcPr>
            <w:tcW w:w="14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Indonesia</w:t>
            </w:r>
          </w:p>
        </w:tc>
        <w:tc>
          <w:tcPr>
            <w:tcW w:w="1352"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 xml:space="preserve">166,021,548.00 </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c>
          <w:tcPr>
            <w:tcW w:w="6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4</w:t>
            </w:r>
          </w:p>
        </w:tc>
      </w:tr>
      <w:tr w:rsidR="00106504" w:rsidRPr="00106504" w:rsidTr="00DC68DD">
        <w:trPr>
          <w:trHeight w:val="300"/>
        </w:trPr>
        <w:tc>
          <w:tcPr>
            <w:tcW w:w="801"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INL420</w:t>
            </w:r>
          </w:p>
        </w:tc>
        <w:tc>
          <w:tcPr>
            <w:tcW w:w="354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Australia Awards Africa 2015-2020</w:t>
            </w:r>
          </w:p>
        </w:tc>
        <w:tc>
          <w:tcPr>
            <w:tcW w:w="14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Africa</w:t>
            </w:r>
          </w:p>
        </w:tc>
        <w:tc>
          <w:tcPr>
            <w:tcW w:w="1352"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 xml:space="preserve">67,685,812.03 </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4</w:t>
            </w:r>
          </w:p>
        </w:tc>
        <w:tc>
          <w:tcPr>
            <w:tcW w:w="6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r>
      <w:tr w:rsidR="00106504" w:rsidRPr="00106504" w:rsidTr="00DC68DD">
        <w:trPr>
          <w:trHeight w:val="300"/>
        </w:trPr>
        <w:tc>
          <w:tcPr>
            <w:tcW w:w="801"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INL588</w:t>
            </w:r>
          </w:p>
        </w:tc>
        <w:tc>
          <w:tcPr>
            <w:tcW w:w="354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Australia Awards in South and West Asia</w:t>
            </w:r>
          </w:p>
        </w:tc>
        <w:tc>
          <w:tcPr>
            <w:tcW w:w="14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South Asia</w:t>
            </w:r>
          </w:p>
        </w:tc>
        <w:tc>
          <w:tcPr>
            <w:tcW w:w="1352"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 xml:space="preserve">45,793,351.94 </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6</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c>
          <w:tcPr>
            <w:tcW w:w="6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r>
      <w:tr w:rsidR="00106504" w:rsidRPr="00106504" w:rsidTr="00DC68DD">
        <w:trPr>
          <w:trHeight w:val="300"/>
        </w:trPr>
        <w:tc>
          <w:tcPr>
            <w:tcW w:w="801"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INL487</w:t>
            </w:r>
          </w:p>
        </w:tc>
        <w:tc>
          <w:tcPr>
            <w:tcW w:w="354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SO1 Human Resource Development Facility</w:t>
            </w:r>
          </w:p>
        </w:tc>
        <w:tc>
          <w:tcPr>
            <w:tcW w:w="14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Vietnam</w:t>
            </w:r>
          </w:p>
        </w:tc>
        <w:tc>
          <w:tcPr>
            <w:tcW w:w="1352"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 xml:space="preserve">40,000,000.00 </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4</w:t>
            </w:r>
          </w:p>
        </w:tc>
        <w:tc>
          <w:tcPr>
            <w:tcW w:w="6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r>
      <w:tr w:rsidR="00106504" w:rsidRPr="00106504" w:rsidTr="00DC68DD">
        <w:trPr>
          <w:trHeight w:val="300"/>
        </w:trPr>
        <w:tc>
          <w:tcPr>
            <w:tcW w:w="801"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INK562</w:t>
            </w:r>
          </w:p>
        </w:tc>
        <w:tc>
          <w:tcPr>
            <w:tcW w:w="354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Laos Australia Institute</w:t>
            </w:r>
          </w:p>
        </w:tc>
        <w:tc>
          <w:tcPr>
            <w:tcW w:w="14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Laos</w:t>
            </w:r>
          </w:p>
        </w:tc>
        <w:tc>
          <w:tcPr>
            <w:tcW w:w="1352"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 xml:space="preserve">30,069,827.05 </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4</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4</w:t>
            </w:r>
          </w:p>
        </w:tc>
        <w:tc>
          <w:tcPr>
            <w:tcW w:w="6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r>
      <w:tr w:rsidR="00106504" w:rsidRPr="00106504" w:rsidTr="00DC68DD">
        <w:trPr>
          <w:trHeight w:val="300"/>
        </w:trPr>
        <w:tc>
          <w:tcPr>
            <w:tcW w:w="801"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INM528</w:t>
            </w:r>
          </w:p>
        </w:tc>
        <w:tc>
          <w:tcPr>
            <w:tcW w:w="354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Australia Awards Scholarships Cambodia</w:t>
            </w:r>
          </w:p>
        </w:tc>
        <w:tc>
          <w:tcPr>
            <w:tcW w:w="14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Cambodia</w:t>
            </w:r>
          </w:p>
        </w:tc>
        <w:tc>
          <w:tcPr>
            <w:tcW w:w="1352"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 xml:space="preserve">18,456,319.03 </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c>
          <w:tcPr>
            <w:tcW w:w="6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4</w:t>
            </w:r>
          </w:p>
        </w:tc>
      </w:tr>
      <w:tr w:rsidR="00106504" w:rsidRPr="00106504" w:rsidTr="00DC68DD">
        <w:trPr>
          <w:trHeight w:val="300"/>
        </w:trPr>
        <w:tc>
          <w:tcPr>
            <w:tcW w:w="801"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INM162</w:t>
            </w:r>
          </w:p>
        </w:tc>
        <w:tc>
          <w:tcPr>
            <w:tcW w:w="354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Australia Awards Fellowships Round 17</w:t>
            </w:r>
          </w:p>
        </w:tc>
        <w:tc>
          <w:tcPr>
            <w:tcW w:w="14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Global</w:t>
            </w:r>
          </w:p>
        </w:tc>
        <w:tc>
          <w:tcPr>
            <w:tcW w:w="1352"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 xml:space="preserve">17,528,857.70 </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4</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3</w:t>
            </w:r>
          </w:p>
        </w:tc>
        <w:tc>
          <w:tcPr>
            <w:tcW w:w="6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3</w:t>
            </w:r>
          </w:p>
        </w:tc>
      </w:tr>
      <w:tr w:rsidR="00106504" w:rsidRPr="00106504" w:rsidTr="00DC68DD">
        <w:trPr>
          <w:trHeight w:val="300"/>
        </w:trPr>
        <w:tc>
          <w:tcPr>
            <w:tcW w:w="801"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INL092</w:t>
            </w:r>
          </w:p>
        </w:tc>
        <w:tc>
          <w:tcPr>
            <w:tcW w:w="354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Workforce Development Program</w:t>
            </w:r>
          </w:p>
        </w:tc>
        <w:tc>
          <w:tcPr>
            <w:tcW w:w="14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Timor-Leste</w:t>
            </w:r>
          </w:p>
        </w:tc>
        <w:tc>
          <w:tcPr>
            <w:tcW w:w="1352"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 xml:space="preserve">17,073,878.99 </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4</w:t>
            </w:r>
          </w:p>
        </w:tc>
        <w:tc>
          <w:tcPr>
            <w:tcW w:w="6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r>
      <w:tr w:rsidR="00106504" w:rsidRPr="00106504" w:rsidTr="00DC68DD">
        <w:trPr>
          <w:trHeight w:val="300"/>
        </w:trPr>
        <w:tc>
          <w:tcPr>
            <w:tcW w:w="801"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INM313</w:t>
            </w:r>
          </w:p>
        </w:tc>
        <w:tc>
          <w:tcPr>
            <w:tcW w:w="354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Philippine Australia Scholarships Alumni Program</w:t>
            </w:r>
          </w:p>
        </w:tc>
        <w:tc>
          <w:tcPr>
            <w:tcW w:w="14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Philippines</w:t>
            </w:r>
          </w:p>
        </w:tc>
        <w:tc>
          <w:tcPr>
            <w:tcW w:w="1352"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 xml:space="preserve">15,550,000.00 </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c>
          <w:tcPr>
            <w:tcW w:w="6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r>
      <w:tr w:rsidR="00106504" w:rsidRPr="00106504" w:rsidTr="00DC68DD">
        <w:trPr>
          <w:trHeight w:val="300"/>
        </w:trPr>
        <w:tc>
          <w:tcPr>
            <w:tcW w:w="801"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INH654</w:t>
            </w:r>
          </w:p>
        </w:tc>
        <w:tc>
          <w:tcPr>
            <w:tcW w:w="354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Australia Awards - Vanuatu In-Country Costs</w:t>
            </w:r>
          </w:p>
        </w:tc>
        <w:tc>
          <w:tcPr>
            <w:tcW w:w="14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Vanuatu</w:t>
            </w:r>
          </w:p>
        </w:tc>
        <w:tc>
          <w:tcPr>
            <w:tcW w:w="1352"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 xml:space="preserve">7,375,730.95 </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4</w:t>
            </w:r>
          </w:p>
        </w:tc>
        <w:tc>
          <w:tcPr>
            <w:tcW w:w="6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4</w:t>
            </w:r>
          </w:p>
        </w:tc>
      </w:tr>
      <w:tr w:rsidR="00106504" w:rsidRPr="00106504" w:rsidTr="00DC68DD">
        <w:trPr>
          <w:trHeight w:val="300"/>
        </w:trPr>
        <w:tc>
          <w:tcPr>
            <w:tcW w:w="801"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INM467</w:t>
            </w:r>
          </w:p>
        </w:tc>
        <w:tc>
          <w:tcPr>
            <w:tcW w:w="354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Australia Award in Mongolia</w:t>
            </w:r>
          </w:p>
        </w:tc>
        <w:tc>
          <w:tcPr>
            <w:tcW w:w="14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Mongolia</w:t>
            </w:r>
          </w:p>
        </w:tc>
        <w:tc>
          <w:tcPr>
            <w:tcW w:w="1352"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 xml:space="preserve">6,650,000.00 </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4</w:t>
            </w:r>
          </w:p>
        </w:tc>
        <w:tc>
          <w:tcPr>
            <w:tcW w:w="665"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4</w:t>
            </w:r>
          </w:p>
        </w:tc>
        <w:tc>
          <w:tcPr>
            <w:tcW w:w="666" w:type="dxa"/>
            <w:tcBorders>
              <w:top w:val="nil"/>
              <w:left w:val="nil"/>
              <w:bottom w:val="nil"/>
              <w:right w:val="nil"/>
            </w:tcBorders>
            <w:shd w:val="clear" w:color="auto" w:fill="auto"/>
            <w:noWrap/>
            <w:vAlign w:val="bottom"/>
            <w:hideMark/>
          </w:tcPr>
          <w:p w:rsidR="00106504" w:rsidRPr="00106504" w:rsidRDefault="00106504" w:rsidP="00106504">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r>
      <w:tr w:rsidR="00DC68DD" w:rsidRPr="00106504" w:rsidTr="00DC68DD">
        <w:trPr>
          <w:trHeight w:val="300"/>
        </w:trPr>
        <w:tc>
          <w:tcPr>
            <w:tcW w:w="801" w:type="dxa"/>
            <w:tcBorders>
              <w:top w:val="nil"/>
              <w:left w:val="nil"/>
              <w:bottom w:val="nil"/>
              <w:right w:val="nil"/>
            </w:tcBorders>
            <w:shd w:val="clear" w:color="auto" w:fill="auto"/>
            <w:noWrap/>
            <w:vAlign w:val="bottom"/>
          </w:tcPr>
          <w:p w:rsidR="00DC68DD" w:rsidRPr="00106504" w:rsidRDefault="00DC68DD" w:rsidP="00DC68DD">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INL129</w:t>
            </w:r>
          </w:p>
        </w:tc>
        <w:tc>
          <w:tcPr>
            <w:tcW w:w="3545" w:type="dxa"/>
            <w:tcBorders>
              <w:top w:val="nil"/>
              <w:left w:val="nil"/>
              <w:bottom w:val="nil"/>
              <w:right w:val="nil"/>
            </w:tcBorders>
            <w:shd w:val="clear" w:color="auto" w:fill="auto"/>
            <w:noWrap/>
            <w:vAlign w:val="bottom"/>
          </w:tcPr>
          <w:p w:rsidR="00DC68DD" w:rsidRPr="00106504" w:rsidRDefault="00DC68DD" w:rsidP="00DC68DD">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Education Sector Program 2</w:t>
            </w:r>
          </w:p>
        </w:tc>
        <w:tc>
          <w:tcPr>
            <w:tcW w:w="1466" w:type="dxa"/>
            <w:tcBorders>
              <w:top w:val="nil"/>
              <w:left w:val="nil"/>
              <w:bottom w:val="nil"/>
              <w:right w:val="nil"/>
            </w:tcBorders>
            <w:shd w:val="clear" w:color="auto" w:fill="auto"/>
            <w:noWrap/>
            <w:vAlign w:val="bottom"/>
          </w:tcPr>
          <w:p w:rsidR="00DC68DD" w:rsidRPr="00106504" w:rsidRDefault="00DC68DD" w:rsidP="00DC68DD">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Solomon Islands</w:t>
            </w:r>
          </w:p>
        </w:tc>
        <w:tc>
          <w:tcPr>
            <w:tcW w:w="1352" w:type="dxa"/>
            <w:tcBorders>
              <w:top w:val="nil"/>
              <w:left w:val="nil"/>
              <w:bottom w:val="nil"/>
              <w:right w:val="nil"/>
            </w:tcBorders>
            <w:shd w:val="clear" w:color="auto" w:fill="auto"/>
            <w:noWrap/>
            <w:vAlign w:val="bottom"/>
          </w:tcPr>
          <w:p w:rsidR="00DC68DD" w:rsidRPr="00106504" w:rsidRDefault="00DC68DD" w:rsidP="00DC68DD">
            <w:pPr>
              <w:suppressAutoHyphens w:val="0"/>
              <w:spacing w:before="0" w:after="0" w:line="240" w:lineRule="auto"/>
              <w:jc w:val="right"/>
              <w:rPr>
                <w:rFonts w:eastAsia="Times New Roman" w:cstheme="minorHAnsi"/>
                <w:color w:val="000000"/>
                <w:sz w:val="18"/>
                <w:szCs w:val="18"/>
                <w:lang w:val="en-AU" w:eastAsia="en-AU"/>
              </w:rPr>
            </w:pPr>
            <w:r>
              <w:rPr>
                <w:rFonts w:eastAsia="Times New Roman" w:cstheme="minorHAnsi"/>
                <w:color w:val="000000"/>
                <w:sz w:val="18"/>
                <w:szCs w:val="18"/>
                <w:lang w:val="en-AU" w:eastAsia="en-AU"/>
              </w:rPr>
              <w:t>4,200,000</w:t>
            </w:r>
          </w:p>
        </w:tc>
        <w:tc>
          <w:tcPr>
            <w:tcW w:w="665" w:type="dxa"/>
            <w:tcBorders>
              <w:top w:val="nil"/>
              <w:left w:val="nil"/>
              <w:bottom w:val="nil"/>
              <w:right w:val="nil"/>
            </w:tcBorders>
            <w:shd w:val="clear" w:color="auto" w:fill="auto"/>
            <w:noWrap/>
            <w:vAlign w:val="bottom"/>
          </w:tcPr>
          <w:p w:rsidR="00DC68DD" w:rsidRPr="00106504" w:rsidRDefault="00DC68DD" w:rsidP="00DC68DD">
            <w:pPr>
              <w:suppressAutoHyphens w:val="0"/>
              <w:spacing w:before="0" w:after="0" w:line="240" w:lineRule="auto"/>
              <w:jc w:val="right"/>
              <w:rPr>
                <w:rFonts w:eastAsia="Times New Roman" w:cstheme="minorHAnsi"/>
                <w:color w:val="000000"/>
                <w:sz w:val="18"/>
                <w:szCs w:val="18"/>
                <w:lang w:val="en-AU" w:eastAsia="en-AU"/>
              </w:rPr>
            </w:pPr>
            <w:r>
              <w:rPr>
                <w:rFonts w:eastAsia="Times New Roman" w:cstheme="minorHAnsi"/>
                <w:color w:val="000000"/>
                <w:sz w:val="18"/>
                <w:szCs w:val="18"/>
                <w:lang w:val="en-AU" w:eastAsia="en-AU"/>
              </w:rPr>
              <w:t>4</w:t>
            </w:r>
          </w:p>
        </w:tc>
        <w:tc>
          <w:tcPr>
            <w:tcW w:w="665" w:type="dxa"/>
            <w:tcBorders>
              <w:top w:val="nil"/>
              <w:left w:val="nil"/>
              <w:bottom w:val="nil"/>
              <w:right w:val="nil"/>
            </w:tcBorders>
            <w:shd w:val="clear" w:color="auto" w:fill="auto"/>
            <w:noWrap/>
            <w:vAlign w:val="bottom"/>
          </w:tcPr>
          <w:p w:rsidR="00DC68DD" w:rsidRPr="00106504" w:rsidRDefault="00DC68DD" w:rsidP="00DC68DD">
            <w:pPr>
              <w:suppressAutoHyphens w:val="0"/>
              <w:spacing w:before="0" w:after="0" w:line="240" w:lineRule="auto"/>
              <w:jc w:val="right"/>
              <w:rPr>
                <w:rFonts w:eastAsia="Times New Roman" w:cstheme="minorHAnsi"/>
                <w:color w:val="000000"/>
                <w:sz w:val="18"/>
                <w:szCs w:val="18"/>
                <w:lang w:val="en-AU" w:eastAsia="en-AU"/>
              </w:rPr>
            </w:pPr>
            <w:r>
              <w:rPr>
                <w:rFonts w:eastAsia="Times New Roman" w:cstheme="minorHAnsi"/>
                <w:color w:val="000000"/>
                <w:sz w:val="18"/>
                <w:szCs w:val="18"/>
                <w:lang w:val="en-AU" w:eastAsia="en-AU"/>
              </w:rPr>
              <w:t>5</w:t>
            </w:r>
          </w:p>
        </w:tc>
        <w:tc>
          <w:tcPr>
            <w:tcW w:w="666" w:type="dxa"/>
            <w:tcBorders>
              <w:top w:val="nil"/>
              <w:left w:val="nil"/>
              <w:bottom w:val="nil"/>
              <w:right w:val="nil"/>
            </w:tcBorders>
            <w:shd w:val="clear" w:color="auto" w:fill="auto"/>
            <w:noWrap/>
            <w:vAlign w:val="bottom"/>
          </w:tcPr>
          <w:p w:rsidR="00DC68DD" w:rsidRPr="00106504" w:rsidRDefault="00DC68DD" w:rsidP="00DC68DD">
            <w:pPr>
              <w:suppressAutoHyphens w:val="0"/>
              <w:spacing w:before="0" w:after="0" w:line="240" w:lineRule="auto"/>
              <w:jc w:val="right"/>
              <w:rPr>
                <w:rFonts w:eastAsia="Times New Roman" w:cstheme="minorHAnsi"/>
                <w:color w:val="000000"/>
                <w:sz w:val="18"/>
                <w:szCs w:val="18"/>
                <w:lang w:val="en-AU" w:eastAsia="en-AU"/>
              </w:rPr>
            </w:pPr>
            <w:r>
              <w:rPr>
                <w:rFonts w:eastAsia="Times New Roman" w:cstheme="minorHAnsi"/>
                <w:color w:val="000000"/>
                <w:sz w:val="18"/>
                <w:szCs w:val="18"/>
                <w:lang w:val="en-AU" w:eastAsia="en-AU"/>
              </w:rPr>
              <w:t>4</w:t>
            </w:r>
          </w:p>
        </w:tc>
      </w:tr>
      <w:tr w:rsidR="00DC68DD" w:rsidRPr="00106504" w:rsidTr="00DC68DD">
        <w:trPr>
          <w:trHeight w:val="300"/>
        </w:trPr>
        <w:tc>
          <w:tcPr>
            <w:tcW w:w="801" w:type="dxa"/>
            <w:tcBorders>
              <w:top w:val="nil"/>
              <w:left w:val="nil"/>
              <w:bottom w:val="nil"/>
              <w:right w:val="nil"/>
            </w:tcBorders>
            <w:shd w:val="clear" w:color="auto" w:fill="auto"/>
            <w:noWrap/>
            <w:vAlign w:val="bottom"/>
            <w:hideMark/>
          </w:tcPr>
          <w:p w:rsidR="00DC68DD" w:rsidRPr="00106504" w:rsidRDefault="00DC68DD" w:rsidP="00DC68DD">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INL832</w:t>
            </w:r>
          </w:p>
        </w:tc>
        <w:tc>
          <w:tcPr>
            <w:tcW w:w="3545" w:type="dxa"/>
            <w:tcBorders>
              <w:top w:val="nil"/>
              <w:left w:val="nil"/>
              <w:bottom w:val="nil"/>
              <w:right w:val="nil"/>
            </w:tcBorders>
            <w:shd w:val="clear" w:color="auto" w:fill="auto"/>
            <w:noWrap/>
            <w:vAlign w:val="bottom"/>
            <w:hideMark/>
          </w:tcPr>
          <w:p w:rsidR="00DC68DD" w:rsidRPr="00106504" w:rsidRDefault="00DC68DD" w:rsidP="00DC68DD">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Global Tracer Facility</w:t>
            </w:r>
          </w:p>
        </w:tc>
        <w:tc>
          <w:tcPr>
            <w:tcW w:w="1466" w:type="dxa"/>
            <w:tcBorders>
              <w:top w:val="nil"/>
              <w:left w:val="nil"/>
              <w:bottom w:val="nil"/>
              <w:right w:val="nil"/>
            </w:tcBorders>
            <w:shd w:val="clear" w:color="auto" w:fill="auto"/>
            <w:noWrap/>
            <w:vAlign w:val="bottom"/>
            <w:hideMark/>
          </w:tcPr>
          <w:p w:rsidR="00DC68DD" w:rsidRPr="00106504" w:rsidRDefault="00DC68DD" w:rsidP="00DC68DD">
            <w:pPr>
              <w:suppressAutoHyphens w:val="0"/>
              <w:spacing w:before="0" w:after="0" w:line="240" w:lineRule="auto"/>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Global</w:t>
            </w:r>
          </w:p>
        </w:tc>
        <w:tc>
          <w:tcPr>
            <w:tcW w:w="1352" w:type="dxa"/>
            <w:tcBorders>
              <w:top w:val="nil"/>
              <w:left w:val="nil"/>
              <w:bottom w:val="nil"/>
              <w:right w:val="nil"/>
            </w:tcBorders>
            <w:shd w:val="clear" w:color="auto" w:fill="auto"/>
            <w:noWrap/>
            <w:vAlign w:val="bottom"/>
            <w:hideMark/>
          </w:tcPr>
          <w:p w:rsidR="00DC68DD" w:rsidRPr="00106504" w:rsidRDefault="00DC68DD" w:rsidP="00DC68DD">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 xml:space="preserve">3,809,720.06 </w:t>
            </w:r>
          </w:p>
        </w:tc>
        <w:tc>
          <w:tcPr>
            <w:tcW w:w="665" w:type="dxa"/>
            <w:tcBorders>
              <w:top w:val="nil"/>
              <w:left w:val="nil"/>
              <w:bottom w:val="nil"/>
              <w:right w:val="nil"/>
            </w:tcBorders>
            <w:shd w:val="clear" w:color="auto" w:fill="auto"/>
            <w:noWrap/>
            <w:vAlign w:val="bottom"/>
            <w:hideMark/>
          </w:tcPr>
          <w:p w:rsidR="00DC68DD" w:rsidRPr="00106504" w:rsidRDefault="00DC68DD" w:rsidP="00DC68DD">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c>
          <w:tcPr>
            <w:tcW w:w="665" w:type="dxa"/>
            <w:tcBorders>
              <w:top w:val="nil"/>
              <w:left w:val="nil"/>
              <w:bottom w:val="nil"/>
              <w:right w:val="nil"/>
            </w:tcBorders>
            <w:shd w:val="clear" w:color="auto" w:fill="auto"/>
            <w:noWrap/>
            <w:vAlign w:val="bottom"/>
            <w:hideMark/>
          </w:tcPr>
          <w:p w:rsidR="00DC68DD" w:rsidRPr="00106504" w:rsidRDefault="00DC68DD" w:rsidP="00DC68DD">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6</w:t>
            </w:r>
          </w:p>
        </w:tc>
        <w:tc>
          <w:tcPr>
            <w:tcW w:w="666" w:type="dxa"/>
            <w:tcBorders>
              <w:top w:val="nil"/>
              <w:left w:val="nil"/>
              <w:bottom w:val="nil"/>
              <w:right w:val="nil"/>
            </w:tcBorders>
            <w:shd w:val="clear" w:color="auto" w:fill="auto"/>
            <w:noWrap/>
            <w:vAlign w:val="bottom"/>
            <w:hideMark/>
          </w:tcPr>
          <w:p w:rsidR="00DC68DD" w:rsidRPr="00106504" w:rsidRDefault="00DC68DD" w:rsidP="00DC68DD">
            <w:pPr>
              <w:suppressAutoHyphens w:val="0"/>
              <w:spacing w:before="0" w:after="0" w:line="240" w:lineRule="auto"/>
              <w:jc w:val="right"/>
              <w:rPr>
                <w:rFonts w:eastAsia="Times New Roman" w:cstheme="minorHAnsi"/>
                <w:color w:val="000000"/>
                <w:sz w:val="18"/>
                <w:szCs w:val="18"/>
                <w:lang w:val="en-AU" w:eastAsia="en-AU"/>
              </w:rPr>
            </w:pPr>
            <w:r w:rsidRPr="00106504">
              <w:rPr>
                <w:rFonts w:eastAsia="Times New Roman" w:cstheme="minorHAnsi"/>
                <w:color w:val="000000"/>
                <w:sz w:val="18"/>
                <w:szCs w:val="18"/>
                <w:lang w:val="en-AU" w:eastAsia="en-AU"/>
              </w:rPr>
              <w:t>5</w:t>
            </w:r>
          </w:p>
        </w:tc>
      </w:tr>
    </w:tbl>
    <w:p w:rsidR="00106504" w:rsidRDefault="00106504" w:rsidP="00400B0F">
      <w:pPr>
        <w:rPr>
          <w:iCs/>
        </w:rPr>
      </w:pPr>
    </w:p>
    <w:p w:rsidR="00CA7DD8" w:rsidRDefault="00CA7DD8" w:rsidP="00784031"/>
    <w:p w:rsidR="00F755F4" w:rsidRDefault="00F755F4">
      <w:pPr>
        <w:suppressAutoHyphens w:val="0"/>
        <w:spacing w:before="0" w:after="120" w:line="440" w:lineRule="atLeast"/>
        <w:sectPr w:rsidR="00F755F4" w:rsidSect="00CA7DD8">
          <w:headerReference w:type="default" r:id="rId39"/>
          <w:pgSz w:w="11906" w:h="16838" w:code="9"/>
          <w:pgMar w:top="1527" w:right="1134" w:bottom="851" w:left="1134" w:header="1418" w:footer="267" w:gutter="0"/>
          <w:cols w:space="397"/>
          <w:docGrid w:linePitch="360"/>
        </w:sectPr>
      </w:pPr>
    </w:p>
    <w:p w:rsidR="00F755F4" w:rsidRDefault="00F755F4" w:rsidP="00D367B6">
      <w:pPr>
        <w:keepNext/>
        <w:tabs>
          <w:tab w:val="left" w:pos="1560"/>
        </w:tabs>
        <w:spacing w:before="360" w:after="120" w:line="300" w:lineRule="exact"/>
        <w:outlineLvl w:val="1"/>
        <w:rPr>
          <w:rFonts w:cstheme="majorHAnsi"/>
          <w:iCs/>
          <w:spacing w:val="-10"/>
          <w:kern w:val="28"/>
          <w:szCs w:val="24"/>
        </w:rPr>
      </w:pPr>
      <w:bookmarkStart w:id="7" w:name="_Toc494981884"/>
      <w:r>
        <w:rPr>
          <w:rFonts w:asciiTheme="majorHAnsi" w:eastAsiaTheme="majorEastAsia" w:hAnsiTheme="majorHAnsi" w:cstheme="majorHAnsi"/>
          <w:bCs/>
          <w:iCs/>
          <w:caps/>
          <w:spacing w:val="-10"/>
          <w:kern w:val="28"/>
          <w:sz w:val="38"/>
          <w:szCs w:val="24"/>
        </w:rPr>
        <w:t xml:space="preserve">ANNEX D – </w:t>
      </w:r>
      <w:r w:rsidRPr="00D367B6">
        <w:rPr>
          <w:rFonts w:asciiTheme="majorHAnsi" w:eastAsiaTheme="majorEastAsia" w:hAnsiTheme="majorHAnsi" w:cstheme="majorHAnsi"/>
          <w:bCs/>
          <w:iCs/>
          <w:caps/>
          <w:spacing w:val="-10"/>
          <w:kern w:val="28"/>
          <w:sz w:val="38"/>
          <w:szCs w:val="24"/>
        </w:rPr>
        <w:t>M</w:t>
      </w:r>
      <w:r>
        <w:rPr>
          <w:rFonts w:asciiTheme="majorHAnsi" w:eastAsiaTheme="majorEastAsia" w:hAnsiTheme="majorHAnsi" w:cstheme="majorHAnsi"/>
          <w:bCs/>
          <w:iCs/>
          <w:caps/>
          <w:spacing w:val="-10"/>
          <w:kern w:val="28"/>
          <w:sz w:val="38"/>
          <w:szCs w:val="24"/>
        </w:rPr>
        <w:t xml:space="preserve">ONITORING AND EVALUATION </w:t>
      </w:r>
      <w:r w:rsidRPr="00D367B6">
        <w:rPr>
          <w:rFonts w:asciiTheme="majorHAnsi" w:eastAsiaTheme="majorEastAsia" w:hAnsiTheme="majorHAnsi" w:cstheme="majorHAnsi"/>
          <w:bCs/>
          <w:iCs/>
          <w:caps/>
          <w:spacing w:val="-10"/>
          <w:kern w:val="28"/>
          <w:sz w:val="38"/>
          <w:szCs w:val="24"/>
        </w:rPr>
        <w:t>Framework</w:t>
      </w:r>
      <w:bookmarkEnd w:id="7"/>
      <w:r w:rsidRPr="00D367B6">
        <w:rPr>
          <w:rFonts w:asciiTheme="majorHAnsi" w:eastAsiaTheme="majorEastAsia" w:hAnsiTheme="majorHAnsi" w:cstheme="majorHAnsi"/>
          <w:bCs/>
          <w:iCs/>
          <w:caps/>
          <w:spacing w:val="-10"/>
          <w:kern w:val="28"/>
          <w:sz w:val="38"/>
          <w:szCs w:val="24"/>
        </w:rPr>
        <w:t xml:space="preserve"> </w:t>
      </w:r>
    </w:p>
    <w:tbl>
      <w:tblPr>
        <w:tblStyle w:val="TableGrid"/>
        <w:tblW w:w="141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3549"/>
        <w:gridCol w:w="3252"/>
        <w:gridCol w:w="2796"/>
        <w:gridCol w:w="4579"/>
      </w:tblGrid>
      <w:tr w:rsidR="00F755F4" w:rsidRPr="00BC75CA" w:rsidTr="00D367B6">
        <w:trPr>
          <w:cantSplit/>
          <w:tblHeader/>
        </w:trPr>
        <w:tc>
          <w:tcPr>
            <w:tcW w:w="3549" w:type="dxa"/>
            <w:shd w:val="clear" w:color="auto" w:fill="B2D394" w:themeFill="accent6" w:themeFillTint="99"/>
          </w:tcPr>
          <w:p w:rsidR="00F755F4" w:rsidRPr="00BC75CA" w:rsidRDefault="00F755F4" w:rsidP="00ED51DC">
            <w:pPr>
              <w:pStyle w:val="TableText"/>
              <w:jc w:val="center"/>
              <w:rPr>
                <w:b/>
              </w:rPr>
            </w:pPr>
            <w:r>
              <w:rPr>
                <w:b/>
              </w:rPr>
              <w:t>Long-term Outcomes</w:t>
            </w:r>
          </w:p>
        </w:tc>
        <w:tc>
          <w:tcPr>
            <w:tcW w:w="3252" w:type="dxa"/>
            <w:shd w:val="clear" w:color="auto" w:fill="B2D394" w:themeFill="accent6" w:themeFillTint="99"/>
          </w:tcPr>
          <w:p w:rsidR="00F755F4" w:rsidRPr="00BC75CA" w:rsidRDefault="00F755F4" w:rsidP="00ED51DC">
            <w:pPr>
              <w:pStyle w:val="TableText"/>
              <w:jc w:val="center"/>
              <w:rPr>
                <w:b/>
              </w:rPr>
            </w:pPr>
            <w:r w:rsidRPr="00BC75CA">
              <w:rPr>
                <w:b/>
              </w:rPr>
              <w:t>Data Source</w:t>
            </w:r>
          </w:p>
        </w:tc>
        <w:tc>
          <w:tcPr>
            <w:tcW w:w="2796" w:type="dxa"/>
            <w:shd w:val="clear" w:color="auto" w:fill="B2D394" w:themeFill="accent6" w:themeFillTint="99"/>
          </w:tcPr>
          <w:p w:rsidR="00F755F4" w:rsidRPr="00BC75CA" w:rsidRDefault="00F755F4" w:rsidP="00ED51DC">
            <w:pPr>
              <w:pStyle w:val="TableText"/>
              <w:jc w:val="center"/>
              <w:rPr>
                <w:b/>
              </w:rPr>
            </w:pPr>
            <w:r w:rsidRPr="00BC75CA">
              <w:rPr>
                <w:b/>
              </w:rPr>
              <w:t>Responsibility</w:t>
            </w:r>
          </w:p>
        </w:tc>
        <w:tc>
          <w:tcPr>
            <w:tcW w:w="4579" w:type="dxa"/>
            <w:shd w:val="clear" w:color="auto" w:fill="B2D394" w:themeFill="accent6" w:themeFillTint="99"/>
          </w:tcPr>
          <w:p w:rsidR="00F755F4" w:rsidRPr="00BC75CA" w:rsidRDefault="00F755F4" w:rsidP="00ED51DC">
            <w:pPr>
              <w:pStyle w:val="TableText"/>
              <w:jc w:val="center"/>
              <w:rPr>
                <w:b/>
              </w:rPr>
            </w:pPr>
            <w:r w:rsidRPr="00BC75CA">
              <w:rPr>
                <w:b/>
              </w:rPr>
              <w:t>M&amp;E Use</w:t>
            </w:r>
          </w:p>
        </w:tc>
      </w:tr>
      <w:tr w:rsidR="00F755F4" w:rsidRPr="00BC75CA" w:rsidTr="00D367B6">
        <w:trPr>
          <w:cantSplit/>
        </w:trPr>
        <w:tc>
          <w:tcPr>
            <w:tcW w:w="3549" w:type="dxa"/>
            <w:vMerge w:val="restart"/>
          </w:tcPr>
          <w:p w:rsidR="00F755F4" w:rsidRPr="00BC75CA" w:rsidRDefault="00F755F4" w:rsidP="00ED51DC">
            <w:pPr>
              <w:pStyle w:val="TableText"/>
            </w:pPr>
            <w:r>
              <w:t xml:space="preserve">1. </w:t>
            </w:r>
            <w:r w:rsidRPr="00BC75CA">
              <w:t xml:space="preserve">Alumni are using their skills, knowledge and networks to contribute to </w:t>
            </w:r>
            <w:r>
              <w:t xml:space="preserve">sustainable </w:t>
            </w:r>
            <w:r w:rsidRPr="00BC75CA">
              <w:t xml:space="preserve">development </w:t>
            </w:r>
          </w:p>
        </w:tc>
        <w:tc>
          <w:tcPr>
            <w:tcW w:w="3252" w:type="dxa"/>
          </w:tcPr>
          <w:p w:rsidR="00F755F4" w:rsidRDefault="00F755F4" w:rsidP="00ED51DC">
            <w:pPr>
              <w:pStyle w:val="TableText"/>
            </w:pPr>
            <w:r w:rsidRPr="00BC75CA">
              <w:t xml:space="preserve">Tracer Studies </w:t>
            </w:r>
          </w:p>
          <w:p w:rsidR="00F755F4" w:rsidRDefault="00F755F4" w:rsidP="00ED51DC">
            <w:pPr>
              <w:pStyle w:val="TableText"/>
            </w:pPr>
            <w:r>
              <w:t xml:space="preserve">Case Studies </w:t>
            </w:r>
          </w:p>
          <w:p w:rsidR="00F755F4" w:rsidRPr="00BC75CA" w:rsidRDefault="00F755F4" w:rsidP="00ED51DC">
            <w:pPr>
              <w:pStyle w:val="TableText"/>
            </w:pPr>
            <w:r w:rsidRPr="00BC75CA">
              <w:t>Fellowship Evaluation/Tracer Study</w:t>
            </w:r>
          </w:p>
        </w:tc>
        <w:tc>
          <w:tcPr>
            <w:tcW w:w="2796" w:type="dxa"/>
          </w:tcPr>
          <w:p w:rsidR="00F755F4" w:rsidRPr="00BC75CA" w:rsidRDefault="00F755F4" w:rsidP="00ED51DC">
            <w:pPr>
              <w:pStyle w:val="TableText"/>
            </w:pPr>
            <w:r>
              <w:t xml:space="preserve">Global Tracer Facility </w:t>
            </w:r>
          </w:p>
        </w:tc>
        <w:tc>
          <w:tcPr>
            <w:tcW w:w="4579" w:type="dxa"/>
            <w:vMerge w:val="restart"/>
            <w:tcBorders>
              <w:bottom w:val="single" w:sz="4" w:space="0" w:color="auto"/>
            </w:tcBorders>
          </w:tcPr>
          <w:p w:rsidR="00F755F4" w:rsidRPr="00BC75CA" w:rsidRDefault="00F755F4" w:rsidP="00ED51DC">
            <w:pPr>
              <w:pStyle w:val="TableText"/>
            </w:pPr>
            <w:r w:rsidRPr="00BC75CA">
              <w:t xml:space="preserve">DFAT report outcomes of Australia Awards at global and country levels </w:t>
            </w:r>
            <w:r>
              <w:t>as well as by sector</w:t>
            </w:r>
          </w:p>
          <w:p w:rsidR="00F755F4" w:rsidRPr="00BC75CA" w:rsidRDefault="00F755F4" w:rsidP="00ED51DC">
            <w:pPr>
              <w:pStyle w:val="TableText"/>
            </w:pPr>
            <w:r w:rsidRPr="00BC75CA">
              <w:t xml:space="preserve">Well-informed management decisions at global and country levels </w:t>
            </w:r>
          </w:p>
          <w:p w:rsidR="00F755F4" w:rsidRPr="00BC75CA" w:rsidRDefault="00F755F4" w:rsidP="00ED51DC">
            <w:pPr>
              <w:pStyle w:val="TableText"/>
            </w:pPr>
            <w:r w:rsidRPr="00BC75CA">
              <w:t xml:space="preserve">DFAT and contractors build understanding of what enables and constrains achievement of outcomes </w:t>
            </w:r>
          </w:p>
          <w:p w:rsidR="00F755F4" w:rsidRDefault="00F755F4" w:rsidP="00ED51DC">
            <w:pPr>
              <w:pStyle w:val="TableText"/>
            </w:pPr>
            <w:r w:rsidRPr="00BC75CA">
              <w:t>Public communication about Australia Awards</w:t>
            </w:r>
          </w:p>
          <w:p w:rsidR="00F755F4" w:rsidRPr="00BC75CA" w:rsidRDefault="00F755F4" w:rsidP="00ED51DC">
            <w:pPr>
              <w:pStyle w:val="TableText"/>
            </w:pPr>
            <w:r>
              <w:t>Corporate/aid program reporting requirements e.g. AQCs and APPRs</w:t>
            </w:r>
          </w:p>
        </w:tc>
      </w:tr>
      <w:tr w:rsidR="00F755F4" w:rsidRPr="00BC75CA" w:rsidTr="00D367B6">
        <w:trPr>
          <w:cantSplit/>
        </w:trPr>
        <w:tc>
          <w:tcPr>
            <w:tcW w:w="3549" w:type="dxa"/>
            <w:vMerge/>
          </w:tcPr>
          <w:p w:rsidR="00F755F4" w:rsidRPr="00BC75CA" w:rsidRDefault="00F755F4" w:rsidP="00ED51DC">
            <w:pPr>
              <w:pStyle w:val="TableText"/>
            </w:pPr>
          </w:p>
        </w:tc>
        <w:tc>
          <w:tcPr>
            <w:tcW w:w="3252" w:type="dxa"/>
          </w:tcPr>
          <w:p w:rsidR="00F755F4" w:rsidRPr="00BC75CA" w:rsidRDefault="00F755F4" w:rsidP="00ED51DC">
            <w:pPr>
              <w:pStyle w:val="TableText"/>
            </w:pPr>
            <w:r w:rsidRPr="00BC75CA">
              <w:t xml:space="preserve">Case Studies, Alumni Impact Assessments, other Outcomes </w:t>
            </w:r>
            <w:r>
              <w:t>Evaluations</w:t>
            </w:r>
          </w:p>
        </w:tc>
        <w:tc>
          <w:tcPr>
            <w:tcW w:w="2796" w:type="dxa"/>
          </w:tcPr>
          <w:p w:rsidR="00F755F4" w:rsidRPr="00BC75CA" w:rsidRDefault="00F755F4" w:rsidP="00ED51DC">
            <w:pPr>
              <w:pStyle w:val="TableText"/>
            </w:pPr>
            <w:r>
              <w:t>Posts and/or Managing Contractors</w:t>
            </w:r>
          </w:p>
        </w:tc>
        <w:tc>
          <w:tcPr>
            <w:tcW w:w="4579" w:type="dxa"/>
            <w:vMerge/>
            <w:tcBorders>
              <w:bottom w:val="single" w:sz="4" w:space="0" w:color="auto"/>
            </w:tcBorders>
          </w:tcPr>
          <w:p w:rsidR="00F755F4" w:rsidRPr="00BC75CA" w:rsidRDefault="00F755F4" w:rsidP="00ED51DC">
            <w:pPr>
              <w:pStyle w:val="TableText"/>
            </w:pPr>
          </w:p>
        </w:tc>
      </w:tr>
      <w:tr w:rsidR="00F755F4" w:rsidRPr="00BC75CA" w:rsidTr="00D367B6">
        <w:trPr>
          <w:cantSplit/>
          <w:trHeight w:val="360"/>
        </w:trPr>
        <w:tc>
          <w:tcPr>
            <w:tcW w:w="3549" w:type="dxa"/>
            <w:vMerge/>
          </w:tcPr>
          <w:p w:rsidR="00F755F4" w:rsidRPr="00BC75CA" w:rsidRDefault="00F755F4" w:rsidP="00ED51DC">
            <w:pPr>
              <w:pStyle w:val="TableText"/>
            </w:pPr>
          </w:p>
        </w:tc>
        <w:tc>
          <w:tcPr>
            <w:tcW w:w="3252" w:type="dxa"/>
          </w:tcPr>
          <w:p w:rsidR="00F755F4" w:rsidRPr="00BC75CA" w:rsidRDefault="00F755F4" w:rsidP="00ED51DC">
            <w:pPr>
              <w:pStyle w:val="TableText"/>
            </w:pPr>
            <w:r w:rsidRPr="00BC75CA">
              <w:t>Media Monitoring</w:t>
            </w:r>
          </w:p>
        </w:tc>
        <w:tc>
          <w:tcPr>
            <w:tcW w:w="2796" w:type="dxa"/>
          </w:tcPr>
          <w:p w:rsidR="00F755F4" w:rsidRPr="00BC75CA" w:rsidRDefault="00F755F4" w:rsidP="00ED51DC">
            <w:pPr>
              <w:pStyle w:val="TableText"/>
            </w:pPr>
            <w:r w:rsidRPr="00BC75CA">
              <w:t>Posts</w:t>
            </w:r>
          </w:p>
        </w:tc>
        <w:tc>
          <w:tcPr>
            <w:tcW w:w="4579" w:type="dxa"/>
            <w:vMerge/>
            <w:tcBorders>
              <w:bottom w:val="single" w:sz="4" w:space="0" w:color="auto"/>
            </w:tcBorders>
          </w:tcPr>
          <w:p w:rsidR="00F755F4" w:rsidRPr="00BC75CA" w:rsidRDefault="00F755F4" w:rsidP="00ED51DC">
            <w:pPr>
              <w:pStyle w:val="TableText"/>
            </w:pPr>
          </w:p>
        </w:tc>
      </w:tr>
      <w:tr w:rsidR="00F755F4" w:rsidRPr="00BC75CA" w:rsidTr="00D367B6">
        <w:trPr>
          <w:cantSplit/>
        </w:trPr>
        <w:tc>
          <w:tcPr>
            <w:tcW w:w="3549" w:type="dxa"/>
            <w:vMerge w:val="restart"/>
          </w:tcPr>
          <w:p w:rsidR="00F755F4" w:rsidRPr="00BC75CA" w:rsidRDefault="00F755F4" w:rsidP="00ED51DC">
            <w:pPr>
              <w:pStyle w:val="TableText"/>
            </w:pPr>
            <w:r>
              <w:t xml:space="preserve">2. </w:t>
            </w:r>
            <w:r w:rsidRPr="00BC75CA">
              <w:t>Alumni are contributing to cooperation between Australia and partner countries</w:t>
            </w:r>
          </w:p>
        </w:tc>
        <w:tc>
          <w:tcPr>
            <w:tcW w:w="3252" w:type="dxa"/>
          </w:tcPr>
          <w:p w:rsidR="00F755F4" w:rsidRDefault="00F755F4" w:rsidP="00ED51DC">
            <w:pPr>
              <w:pStyle w:val="TableText"/>
            </w:pPr>
            <w:r w:rsidRPr="00BC75CA">
              <w:t>Tracer Studies</w:t>
            </w:r>
            <w:r>
              <w:t xml:space="preserve"> </w:t>
            </w:r>
          </w:p>
          <w:p w:rsidR="00F755F4" w:rsidRPr="00BC75CA" w:rsidRDefault="00F755F4" w:rsidP="00ED51DC">
            <w:pPr>
              <w:pStyle w:val="TableText"/>
            </w:pPr>
            <w:r>
              <w:t xml:space="preserve">Case Studies </w:t>
            </w:r>
          </w:p>
          <w:p w:rsidR="00F755F4" w:rsidRPr="00BC75CA" w:rsidRDefault="00F755F4" w:rsidP="00ED51DC">
            <w:pPr>
              <w:pStyle w:val="TableText"/>
            </w:pPr>
            <w:r w:rsidRPr="00BC75CA">
              <w:t xml:space="preserve">Fellowship Evaluation/Tracer Study </w:t>
            </w:r>
          </w:p>
        </w:tc>
        <w:tc>
          <w:tcPr>
            <w:tcW w:w="2796" w:type="dxa"/>
          </w:tcPr>
          <w:p w:rsidR="00F755F4" w:rsidRPr="00BC75CA" w:rsidRDefault="00F755F4" w:rsidP="00ED51DC">
            <w:pPr>
              <w:pStyle w:val="TableText"/>
            </w:pPr>
            <w:r>
              <w:t xml:space="preserve">Global </w:t>
            </w:r>
            <w:r w:rsidRPr="00BC75CA">
              <w:t xml:space="preserve">Tracer Facility </w:t>
            </w:r>
          </w:p>
        </w:tc>
        <w:tc>
          <w:tcPr>
            <w:tcW w:w="4579" w:type="dxa"/>
            <w:vMerge/>
            <w:tcBorders>
              <w:bottom w:val="single" w:sz="4" w:space="0" w:color="auto"/>
            </w:tcBorders>
          </w:tcPr>
          <w:p w:rsidR="00F755F4" w:rsidRPr="00BC75CA" w:rsidRDefault="00F755F4" w:rsidP="00ED51DC">
            <w:pPr>
              <w:pStyle w:val="TableText"/>
            </w:pPr>
          </w:p>
        </w:tc>
      </w:tr>
      <w:tr w:rsidR="00F755F4" w:rsidRPr="00BC75CA" w:rsidTr="00D367B6">
        <w:trPr>
          <w:cantSplit/>
        </w:trPr>
        <w:tc>
          <w:tcPr>
            <w:tcW w:w="3549" w:type="dxa"/>
            <w:vMerge/>
          </w:tcPr>
          <w:p w:rsidR="00F755F4" w:rsidRPr="00BC75CA" w:rsidRDefault="00F755F4" w:rsidP="00ED51DC">
            <w:pPr>
              <w:pStyle w:val="TableText"/>
            </w:pPr>
          </w:p>
        </w:tc>
        <w:tc>
          <w:tcPr>
            <w:tcW w:w="3252" w:type="dxa"/>
          </w:tcPr>
          <w:p w:rsidR="00F755F4" w:rsidRPr="00BC75CA" w:rsidRDefault="00F755F4" w:rsidP="00ED51DC">
            <w:pPr>
              <w:pStyle w:val="TableText"/>
            </w:pPr>
            <w:r w:rsidRPr="00BC75CA">
              <w:t xml:space="preserve">Alumni Impact Assessments, other Outcomes </w:t>
            </w:r>
            <w:r>
              <w:t>Evaluations</w:t>
            </w:r>
          </w:p>
        </w:tc>
        <w:tc>
          <w:tcPr>
            <w:tcW w:w="2796" w:type="dxa"/>
          </w:tcPr>
          <w:p w:rsidR="00F755F4" w:rsidRPr="00BC75CA" w:rsidRDefault="00F755F4" w:rsidP="00ED51DC">
            <w:pPr>
              <w:pStyle w:val="TableText"/>
            </w:pPr>
            <w:r>
              <w:t>Posts</w:t>
            </w:r>
            <w:r w:rsidRPr="00BC75CA">
              <w:t xml:space="preserve"> </w:t>
            </w:r>
            <w:r>
              <w:t>and/or Managing Contractors</w:t>
            </w:r>
          </w:p>
        </w:tc>
        <w:tc>
          <w:tcPr>
            <w:tcW w:w="4579" w:type="dxa"/>
            <w:vMerge/>
            <w:tcBorders>
              <w:bottom w:val="single" w:sz="4" w:space="0" w:color="auto"/>
            </w:tcBorders>
          </w:tcPr>
          <w:p w:rsidR="00F755F4" w:rsidRPr="00BC75CA" w:rsidRDefault="00F755F4" w:rsidP="00ED51DC">
            <w:pPr>
              <w:pStyle w:val="TableText"/>
            </w:pPr>
          </w:p>
        </w:tc>
      </w:tr>
      <w:tr w:rsidR="00F755F4" w:rsidRPr="00BC75CA" w:rsidTr="00D367B6">
        <w:trPr>
          <w:cantSplit/>
        </w:trPr>
        <w:tc>
          <w:tcPr>
            <w:tcW w:w="3549" w:type="dxa"/>
            <w:vMerge/>
          </w:tcPr>
          <w:p w:rsidR="00F755F4" w:rsidRPr="00BC75CA" w:rsidRDefault="00F755F4" w:rsidP="00ED51DC">
            <w:pPr>
              <w:pStyle w:val="TableText"/>
            </w:pPr>
          </w:p>
        </w:tc>
        <w:tc>
          <w:tcPr>
            <w:tcW w:w="3252" w:type="dxa"/>
          </w:tcPr>
          <w:p w:rsidR="00F755F4" w:rsidRPr="00BC75CA" w:rsidRDefault="00F755F4" w:rsidP="00ED51DC">
            <w:pPr>
              <w:pStyle w:val="TableText"/>
            </w:pPr>
            <w:r w:rsidRPr="00BC75CA">
              <w:t>Media Monitoring</w:t>
            </w:r>
          </w:p>
        </w:tc>
        <w:tc>
          <w:tcPr>
            <w:tcW w:w="2796" w:type="dxa"/>
          </w:tcPr>
          <w:p w:rsidR="00F755F4" w:rsidRPr="00BC75CA" w:rsidRDefault="00F755F4" w:rsidP="00ED51DC">
            <w:pPr>
              <w:pStyle w:val="TableText"/>
            </w:pPr>
            <w:r w:rsidRPr="00BC75CA">
              <w:t>Posts</w:t>
            </w:r>
            <w:r>
              <w:t>, AWB</w:t>
            </w:r>
            <w:r w:rsidRPr="00BC75CA">
              <w:t xml:space="preserve"> </w:t>
            </w:r>
          </w:p>
        </w:tc>
        <w:tc>
          <w:tcPr>
            <w:tcW w:w="4579" w:type="dxa"/>
            <w:vMerge/>
            <w:tcBorders>
              <w:bottom w:val="single" w:sz="4" w:space="0" w:color="auto"/>
            </w:tcBorders>
          </w:tcPr>
          <w:p w:rsidR="00F755F4" w:rsidRPr="00BC75CA" w:rsidRDefault="00F755F4" w:rsidP="00ED51DC">
            <w:pPr>
              <w:pStyle w:val="TableText"/>
            </w:pPr>
          </w:p>
        </w:tc>
      </w:tr>
      <w:tr w:rsidR="00F755F4" w:rsidRPr="00BC75CA" w:rsidTr="00D367B6">
        <w:trPr>
          <w:cantSplit/>
        </w:trPr>
        <w:tc>
          <w:tcPr>
            <w:tcW w:w="3549" w:type="dxa"/>
            <w:vMerge/>
          </w:tcPr>
          <w:p w:rsidR="00F755F4" w:rsidRPr="00BC75CA" w:rsidRDefault="00F755F4" w:rsidP="00ED51DC">
            <w:pPr>
              <w:pStyle w:val="TableText"/>
            </w:pPr>
          </w:p>
        </w:tc>
        <w:tc>
          <w:tcPr>
            <w:tcW w:w="3252" w:type="dxa"/>
          </w:tcPr>
          <w:p w:rsidR="00F755F4" w:rsidRPr="00BC75CA" w:rsidRDefault="00F755F4" w:rsidP="00ED51DC">
            <w:pPr>
              <w:pStyle w:val="TableText"/>
            </w:pPr>
            <w:r w:rsidRPr="00BC75CA">
              <w:t xml:space="preserve">Post Staff Survey </w:t>
            </w:r>
          </w:p>
        </w:tc>
        <w:tc>
          <w:tcPr>
            <w:tcW w:w="2796" w:type="dxa"/>
          </w:tcPr>
          <w:p w:rsidR="00F755F4" w:rsidRPr="00BC75CA" w:rsidRDefault="00F755F4" w:rsidP="00ED51DC">
            <w:pPr>
              <w:pStyle w:val="TableText"/>
            </w:pPr>
            <w:r>
              <w:t>AWB</w:t>
            </w:r>
          </w:p>
        </w:tc>
        <w:tc>
          <w:tcPr>
            <w:tcW w:w="4579" w:type="dxa"/>
            <w:vMerge/>
            <w:tcBorders>
              <w:bottom w:val="single" w:sz="4" w:space="0" w:color="auto"/>
            </w:tcBorders>
          </w:tcPr>
          <w:p w:rsidR="00F755F4" w:rsidRPr="00BC75CA" w:rsidRDefault="00F755F4" w:rsidP="00ED51DC">
            <w:pPr>
              <w:pStyle w:val="TableText"/>
            </w:pPr>
          </w:p>
        </w:tc>
      </w:tr>
      <w:tr w:rsidR="00F755F4" w:rsidRPr="00BC75CA" w:rsidTr="00D367B6">
        <w:trPr>
          <w:cantSplit/>
        </w:trPr>
        <w:tc>
          <w:tcPr>
            <w:tcW w:w="3549" w:type="dxa"/>
            <w:vMerge w:val="restart"/>
          </w:tcPr>
          <w:p w:rsidR="00F755F4" w:rsidRPr="00BC75CA" w:rsidRDefault="00F755F4" w:rsidP="00ED51DC">
            <w:pPr>
              <w:pStyle w:val="TableText"/>
            </w:pPr>
            <w:r>
              <w:t>3. Effective, mutually advantageous partnerships between institutions and businesses in Australia and partner countries</w:t>
            </w:r>
            <w:r w:rsidRPr="00BC75CA">
              <w:t xml:space="preserve"> </w:t>
            </w:r>
          </w:p>
        </w:tc>
        <w:tc>
          <w:tcPr>
            <w:tcW w:w="3252" w:type="dxa"/>
          </w:tcPr>
          <w:p w:rsidR="00F755F4" w:rsidRDefault="00F755F4" w:rsidP="00ED51DC">
            <w:pPr>
              <w:pStyle w:val="TableText"/>
            </w:pPr>
            <w:r w:rsidRPr="00BC75CA">
              <w:t>Tracer Studies</w:t>
            </w:r>
            <w:r>
              <w:t xml:space="preserve"> </w:t>
            </w:r>
          </w:p>
          <w:p w:rsidR="00F755F4" w:rsidRPr="00BC75CA" w:rsidRDefault="00F755F4" w:rsidP="00ED51DC">
            <w:pPr>
              <w:pStyle w:val="TableText"/>
            </w:pPr>
            <w:r>
              <w:t xml:space="preserve">Case Studies </w:t>
            </w:r>
          </w:p>
        </w:tc>
        <w:tc>
          <w:tcPr>
            <w:tcW w:w="2796" w:type="dxa"/>
          </w:tcPr>
          <w:p w:rsidR="00F755F4" w:rsidRPr="00BC75CA" w:rsidRDefault="00F755F4" w:rsidP="00ED51DC">
            <w:pPr>
              <w:pStyle w:val="TableText"/>
            </w:pPr>
            <w:r>
              <w:t>Global Tracer Facility</w:t>
            </w:r>
          </w:p>
        </w:tc>
        <w:tc>
          <w:tcPr>
            <w:tcW w:w="4579" w:type="dxa"/>
            <w:vMerge/>
            <w:tcBorders>
              <w:bottom w:val="single" w:sz="4" w:space="0" w:color="auto"/>
            </w:tcBorders>
          </w:tcPr>
          <w:p w:rsidR="00F755F4" w:rsidRPr="00BC75CA" w:rsidRDefault="00F755F4" w:rsidP="00ED51DC">
            <w:pPr>
              <w:pStyle w:val="TableText"/>
            </w:pPr>
          </w:p>
        </w:tc>
      </w:tr>
      <w:tr w:rsidR="00F755F4" w:rsidRPr="00BC75CA" w:rsidTr="00D367B6">
        <w:trPr>
          <w:cantSplit/>
        </w:trPr>
        <w:tc>
          <w:tcPr>
            <w:tcW w:w="3549" w:type="dxa"/>
            <w:vMerge/>
          </w:tcPr>
          <w:p w:rsidR="00F755F4" w:rsidRPr="00BC75CA" w:rsidRDefault="00F755F4" w:rsidP="00ED51DC">
            <w:pPr>
              <w:pStyle w:val="TableText"/>
            </w:pPr>
          </w:p>
        </w:tc>
        <w:tc>
          <w:tcPr>
            <w:tcW w:w="3252" w:type="dxa"/>
          </w:tcPr>
          <w:p w:rsidR="00F755F4" w:rsidRPr="00BC75CA" w:rsidRDefault="00F755F4" w:rsidP="00ED51DC">
            <w:pPr>
              <w:pStyle w:val="TableText"/>
            </w:pPr>
            <w:r w:rsidRPr="00BC75CA">
              <w:t xml:space="preserve">Alumni Impact Assessments, other Outcomes </w:t>
            </w:r>
            <w:r>
              <w:t>Evaluations</w:t>
            </w:r>
          </w:p>
        </w:tc>
        <w:tc>
          <w:tcPr>
            <w:tcW w:w="2796" w:type="dxa"/>
          </w:tcPr>
          <w:p w:rsidR="00F755F4" w:rsidRPr="00BC75CA" w:rsidRDefault="00F755F4" w:rsidP="00ED51DC">
            <w:pPr>
              <w:pStyle w:val="TableText"/>
            </w:pPr>
            <w:r>
              <w:t>Posts</w:t>
            </w:r>
            <w:r w:rsidRPr="00BC75CA">
              <w:t xml:space="preserve"> </w:t>
            </w:r>
            <w:r>
              <w:t>and/or Managing Contractors</w:t>
            </w:r>
          </w:p>
        </w:tc>
        <w:tc>
          <w:tcPr>
            <w:tcW w:w="4579" w:type="dxa"/>
            <w:vMerge/>
            <w:tcBorders>
              <w:bottom w:val="single" w:sz="4" w:space="0" w:color="auto"/>
            </w:tcBorders>
          </w:tcPr>
          <w:p w:rsidR="00F755F4" w:rsidRPr="00BC75CA" w:rsidRDefault="00F755F4" w:rsidP="00ED51DC">
            <w:pPr>
              <w:pStyle w:val="TableText"/>
            </w:pPr>
          </w:p>
        </w:tc>
      </w:tr>
      <w:tr w:rsidR="00F755F4" w:rsidRPr="00BC75CA" w:rsidTr="00D367B6">
        <w:trPr>
          <w:cantSplit/>
        </w:trPr>
        <w:tc>
          <w:tcPr>
            <w:tcW w:w="3549" w:type="dxa"/>
            <w:vMerge/>
          </w:tcPr>
          <w:p w:rsidR="00F755F4" w:rsidRPr="00BC75CA" w:rsidRDefault="00F755F4" w:rsidP="00ED51DC">
            <w:pPr>
              <w:pStyle w:val="TableText"/>
            </w:pPr>
          </w:p>
        </w:tc>
        <w:tc>
          <w:tcPr>
            <w:tcW w:w="3252" w:type="dxa"/>
          </w:tcPr>
          <w:p w:rsidR="00F755F4" w:rsidRPr="00BC75CA" w:rsidRDefault="00F755F4" w:rsidP="00ED51DC">
            <w:pPr>
              <w:pStyle w:val="TableText"/>
            </w:pPr>
            <w:r w:rsidRPr="00BC75CA">
              <w:t>Post Fellowship Evaluation</w:t>
            </w:r>
          </w:p>
        </w:tc>
        <w:tc>
          <w:tcPr>
            <w:tcW w:w="2796" w:type="dxa"/>
          </w:tcPr>
          <w:p w:rsidR="00F755F4" w:rsidRPr="00BC75CA" w:rsidRDefault="00F755F4" w:rsidP="00ED51DC">
            <w:pPr>
              <w:pStyle w:val="TableText"/>
            </w:pPr>
            <w:r>
              <w:t xml:space="preserve">Global </w:t>
            </w:r>
            <w:r w:rsidRPr="00BC75CA">
              <w:t xml:space="preserve">Tracer Facility </w:t>
            </w:r>
            <w:r>
              <w:t>or AWB</w:t>
            </w:r>
          </w:p>
        </w:tc>
        <w:tc>
          <w:tcPr>
            <w:tcW w:w="4579" w:type="dxa"/>
            <w:vMerge/>
            <w:tcBorders>
              <w:bottom w:val="single" w:sz="4" w:space="0" w:color="auto"/>
            </w:tcBorders>
          </w:tcPr>
          <w:p w:rsidR="00F755F4" w:rsidRPr="00BC75CA" w:rsidRDefault="00F755F4" w:rsidP="00ED51DC">
            <w:pPr>
              <w:pStyle w:val="TableText"/>
            </w:pPr>
          </w:p>
        </w:tc>
      </w:tr>
      <w:tr w:rsidR="00F755F4" w:rsidRPr="00BC75CA" w:rsidTr="00D367B6">
        <w:trPr>
          <w:cantSplit/>
        </w:trPr>
        <w:tc>
          <w:tcPr>
            <w:tcW w:w="3549" w:type="dxa"/>
            <w:vMerge/>
          </w:tcPr>
          <w:p w:rsidR="00F755F4" w:rsidRPr="00BC75CA" w:rsidRDefault="00F755F4" w:rsidP="00ED51DC">
            <w:pPr>
              <w:pStyle w:val="TableText"/>
            </w:pPr>
          </w:p>
        </w:tc>
        <w:tc>
          <w:tcPr>
            <w:tcW w:w="3252" w:type="dxa"/>
          </w:tcPr>
          <w:p w:rsidR="00F755F4" w:rsidRPr="00BC75CA" w:rsidRDefault="00F755F4" w:rsidP="00ED51DC">
            <w:pPr>
              <w:pStyle w:val="TableText"/>
            </w:pPr>
            <w:r w:rsidRPr="00BC75CA">
              <w:t>Post Media Monitoring</w:t>
            </w:r>
          </w:p>
        </w:tc>
        <w:tc>
          <w:tcPr>
            <w:tcW w:w="2796" w:type="dxa"/>
          </w:tcPr>
          <w:p w:rsidR="00F755F4" w:rsidRPr="00BC75CA" w:rsidRDefault="00F755F4" w:rsidP="00ED51DC">
            <w:pPr>
              <w:pStyle w:val="TableText"/>
            </w:pPr>
            <w:r w:rsidRPr="00BC75CA">
              <w:t xml:space="preserve">Posts </w:t>
            </w:r>
          </w:p>
        </w:tc>
        <w:tc>
          <w:tcPr>
            <w:tcW w:w="4579" w:type="dxa"/>
            <w:vMerge/>
            <w:tcBorders>
              <w:bottom w:val="single" w:sz="4" w:space="0" w:color="auto"/>
            </w:tcBorders>
          </w:tcPr>
          <w:p w:rsidR="00F755F4" w:rsidRPr="00BC75CA" w:rsidRDefault="00F755F4" w:rsidP="00ED51DC">
            <w:pPr>
              <w:pStyle w:val="TableText"/>
            </w:pPr>
          </w:p>
        </w:tc>
      </w:tr>
      <w:tr w:rsidR="00F755F4" w:rsidRPr="00BC75CA" w:rsidTr="00D367B6">
        <w:trPr>
          <w:cantSplit/>
        </w:trPr>
        <w:tc>
          <w:tcPr>
            <w:tcW w:w="3549" w:type="dxa"/>
            <w:vMerge/>
          </w:tcPr>
          <w:p w:rsidR="00F755F4" w:rsidRPr="00BC75CA" w:rsidRDefault="00F755F4" w:rsidP="00ED51DC">
            <w:pPr>
              <w:pStyle w:val="TableText"/>
            </w:pPr>
          </w:p>
        </w:tc>
        <w:tc>
          <w:tcPr>
            <w:tcW w:w="3252" w:type="dxa"/>
          </w:tcPr>
          <w:p w:rsidR="00F755F4" w:rsidRPr="00BC75CA" w:rsidRDefault="00F755F4" w:rsidP="00ED51DC">
            <w:pPr>
              <w:pStyle w:val="TableText"/>
            </w:pPr>
            <w:r w:rsidRPr="00BC75CA">
              <w:t xml:space="preserve">Periodic Linkages Evaluation </w:t>
            </w:r>
          </w:p>
        </w:tc>
        <w:tc>
          <w:tcPr>
            <w:tcW w:w="2796" w:type="dxa"/>
          </w:tcPr>
          <w:p w:rsidR="00F755F4" w:rsidRPr="00BC75CA" w:rsidRDefault="00F755F4" w:rsidP="00ED51DC">
            <w:pPr>
              <w:pStyle w:val="TableText"/>
            </w:pPr>
            <w:r>
              <w:t>AWB</w:t>
            </w:r>
          </w:p>
        </w:tc>
        <w:tc>
          <w:tcPr>
            <w:tcW w:w="4579" w:type="dxa"/>
            <w:vMerge/>
            <w:tcBorders>
              <w:bottom w:val="single" w:sz="4" w:space="0" w:color="auto"/>
            </w:tcBorders>
          </w:tcPr>
          <w:p w:rsidR="00F755F4" w:rsidRPr="00BC75CA" w:rsidRDefault="00F755F4" w:rsidP="00ED51DC">
            <w:pPr>
              <w:pStyle w:val="TableText"/>
            </w:pPr>
          </w:p>
        </w:tc>
      </w:tr>
      <w:tr w:rsidR="00F755F4" w:rsidRPr="00BC75CA" w:rsidTr="00D367B6">
        <w:trPr>
          <w:cantSplit/>
        </w:trPr>
        <w:tc>
          <w:tcPr>
            <w:tcW w:w="3549" w:type="dxa"/>
          </w:tcPr>
          <w:p w:rsidR="00F755F4" w:rsidRPr="00BC75CA" w:rsidRDefault="00F755F4" w:rsidP="00ED51DC">
            <w:pPr>
              <w:pStyle w:val="TableText"/>
            </w:pPr>
            <w:r>
              <w:t xml:space="preserve">4. </w:t>
            </w:r>
            <w:r w:rsidRPr="00BC75CA">
              <w:t>Alumni view Australia, Australians and Australian expertise positively</w:t>
            </w:r>
          </w:p>
        </w:tc>
        <w:tc>
          <w:tcPr>
            <w:tcW w:w="3252" w:type="dxa"/>
          </w:tcPr>
          <w:p w:rsidR="00F755F4" w:rsidRDefault="00F755F4" w:rsidP="00ED51DC">
            <w:pPr>
              <w:pStyle w:val="TableText"/>
            </w:pPr>
            <w:r w:rsidRPr="00BC75CA">
              <w:t xml:space="preserve">Tracer Studies </w:t>
            </w:r>
          </w:p>
          <w:p w:rsidR="00F755F4" w:rsidRDefault="00F755F4" w:rsidP="00ED51DC">
            <w:pPr>
              <w:pStyle w:val="TableText"/>
            </w:pPr>
            <w:r>
              <w:t xml:space="preserve">Case Studies </w:t>
            </w:r>
          </w:p>
          <w:p w:rsidR="00F755F4" w:rsidRPr="00BC75CA" w:rsidRDefault="00F755F4" w:rsidP="00ED51DC">
            <w:pPr>
              <w:pStyle w:val="TableText"/>
            </w:pPr>
            <w:r w:rsidRPr="00BC75CA">
              <w:t>Fellowship Evaluation/ Tracer Study</w:t>
            </w:r>
          </w:p>
        </w:tc>
        <w:tc>
          <w:tcPr>
            <w:tcW w:w="2796" w:type="dxa"/>
          </w:tcPr>
          <w:p w:rsidR="00F755F4" w:rsidRPr="00BC75CA" w:rsidRDefault="00F755F4" w:rsidP="00ED51DC">
            <w:pPr>
              <w:pStyle w:val="TableText"/>
            </w:pPr>
            <w:r>
              <w:t xml:space="preserve">Global </w:t>
            </w:r>
            <w:r w:rsidRPr="00BC75CA">
              <w:t xml:space="preserve">Tracer Facility </w:t>
            </w:r>
          </w:p>
        </w:tc>
        <w:tc>
          <w:tcPr>
            <w:tcW w:w="4579" w:type="dxa"/>
            <w:tcBorders>
              <w:top w:val="single" w:sz="4" w:space="0" w:color="auto"/>
            </w:tcBorders>
          </w:tcPr>
          <w:p w:rsidR="00F755F4" w:rsidRPr="00BC75CA" w:rsidRDefault="00F755F4" w:rsidP="00ED51DC">
            <w:pPr>
              <w:pStyle w:val="TableText"/>
            </w:pPr>
          </w:p>
        </w:tc>
      </w:tr>
    </w:tbl>
    <w:p w:rsidR="00F755F4" w:rsidRDefault="00F755F4">
      <w:pPr>
        <w:suppressAutoHyphens w:val="0"/>
        <w:spacing w:before="0" w:after="120" w:line="440" w:lineRule="atLeast"/>
        <w:sectPr w:rsidR="00F755F4" w:rsidSect="00422EB3">
          <w:headerReference w:type="default" r:id="rId40"/>
          <w:pgSz w:w="16838" w:h="11906" w:orient="landscape" w:code="9"/>
          <w:pgMar w:top="1134" w:right="1525" w:bottom="1134" w:left="851" w:header="1418" w:footer="266" w:gutter="0"/>
          <w:cols w:space="397"/>
          <w:docGrid w:linePitch="360"/>
        </w:sectPr>
      </w:pPr>
    </w:p>
    <w:p w:rsidR="00BF5608" w:rsidRPr="00F712B0" w:rsidRDefault="00E1474E" w:rsidP="00F912E8">
      <w:pPr>
        <w:suppressAutoHyphens w:val="0"/>
        <w:spacing w:after="120" w:line="300" w:lineRule="exact"/>
        <w:rPr>
          <w:rFonts w:cstheme="minorHAnsi"/>
        </w:rPr>
      </w:pPr>
      <w:r w:rsidRPr="008821C2">
        <w:rPr>
          <w:rFonts w:asciiTheme="majorHAnsi" w:hAnsiTheme="majorHAnsi" w:cstheme="majorHAnsi"/>
          <w:sz w:val="38"/>
          <w:szCs w:val="38"/>
        </w:rPr>
        <w:t xml:space="preserve">ANNEX </w:t>
      </w:r>
      <w:r>
        <w:rPr>
          <w:rFonts w:asciiTheme="majorHAnsi" w:hAnsiTheme="majorHAnsi" w:cstheme="majorHAnsi"/>
          <w:sz w:val="38"/>
          <w:szCs w:val="38"/>
        </w:rPr>
        <w:t>E</w:t>
      </w:r>
      <w:r w:rsidRPr="008821C2">
        <w:rPr>
          <w:rFonts w:asciiTheme="majorHAnsi" w:hAnsiTheme="majorHAnsi" w:cstheme="majorHAnsi"/>
          <w:sz w:val="38"/>
          <w:szCs w:val="38"/>
        </w:rPr>
        <w:t xml:space="preserve"> </w:t>
      </w:r>
      <w:r>
        <w:rPr>
          <w:rFonts w:asciiTheme="majorHAnsi" w:hAnsiTheme="majorHAnsi" w:cstheme="majorHAnsi"/>
          <w:sz w:val="38"/>
          <w:szCs w:val="38"/>
        </w:rPr>
        <w:t>–</w:t>
      </w:r>
      <w:r w:rsidRPr="008821C2">
        <w:rPr>
          <w:rFonts w:asciiTheme="majorHAnsi" w:hAnsiTheme="majorHAnsi" w:cstheme="majorHAnsi"/>
          <w:sz w:val="38"/>
          <w:szCs w:val="38"/>
        </w:rPr>
        <w:t xml:space="preserve"> </w:t>
      </w:r>
      <w:r>
        <w:rPr>
          <w:rFonts w:asciiTheme="majorHAnsi" w:hAnsiTheme="majorHAnsi" w:cstheme="majorHAnsi"/>
          <w:sz w:val="38"/>
          <w:szCs w:val="38"/>
        </w:rPr>
        <w:t>AUSTRALIA AWARDS SCHOLARSHIPS STUDENTS</w:t>
      </w:r>
    </w:p>
    <w:tbl>
      <w:tblPr>
        <w:tblStyle w:val="TableGrid"/>
        <w:tblW w:w="0" w:type="auto"/>
        <w:tblLook w:val="04A0" w:firstRow="1" w:lastRow="0" w:firstColumn="1" w:lastColumn="0" w:noHBand="0" w:noVBand="1"/>
      </w:tblPr>
      <w:tblGrid>
        <w:gridCol w:w="4836"/>
        <w:gridCol w:w="971"/>
        <w:gridCol w:w="709"/>
        <w:gridCol w:w="765"/>
        <w:gridCol w:w="851"/>
      </w:tblGrid>
      <w:tr w:rsidR="00FB3BC3" w:rsidRPr="003C1158" w:rsidTr="00FB3BC3">
        <w:trPr>
          <w:trHeight w:val="300"/>
        </w:trPr>
        <w:tc>
          <w:tcPr>
            <w:tcW w:w="8132" w:type="dxa"/>
            <w:gridSpan w:val="5"/>
            <w:shd w:val="clear" w:color="auto" w:fill="CDE2B9" w:themeFill="accent3" w:themeFillTint="99"/>
          </w:tcPr>
          <w:p w:rsidR="00FB3BC3" w:rsidRPr="008660D4" w:rsidRDefault="00FB3BC3" w:rsidP="0045310E">
            <w:pPr>
              <w:spacing w:before="0" w:after="0" w:line="240" w:lineRule="auto"/>
              <w:jc w:val="center"/>
              <w:rPr>
                <w:rFonts w:asciiTheme="majorHAnsi" w:hAnsiTheme="majorHAnsi" w:cstheme="majorHAnsi"/>
                <w:b/>
                <w:bCs/>
                <w:lang w:val="en-AU"/>
              </w:rPr>
            </w:pPr>
            <w:r w:rsidRPr="008660D4">
              <w:rPr>
                <w:rFonts w:asciiTheme="majorHAnsi" w:hAnsiTheme="majorHAnsi" w:cstheme="majorHAnsi"/>
                <w:b/>
                <w:bCs/>
              </w:rPr>
              <w:t>Current Australia Awards Scholarship by Country and Sex as at 7 August 2019</w:t>
            </w:r>
          </w:p>
        </w:tc>
      </w:tr>
      <w:tr w:rsidR="00FB3BC3" w:rsidRPr="003C1158" w:rsidTr="00FB3BC3">
        <w:trPr>
          <w:trHeight w:val="300"/>
        </w:trPr>
        <w:tc>
          <w:tcPr>
            <w:tcW w:w="4836" w:type="dxa"/>
            <w:noWrap/>
            <w:hideMark/>
          </w:tcPr>
          <w:p w:rsidR="00FB3BC3" w:rsidRPr="00FB3BC3" w:rsidRDefault="008660D4" w:rsidP="008660D4">
            <w:pPr>
              <w:spacing w:before="0" w:after="0" w:line="240" w:lineRule="auto"/>
              <w:jc w:val="center"/>
              <w:rPr>
                <w:rFonts w:asciiTheme="majorHAnsi" w:hAnsiTheme="majorHAnsi" w:cstheme="majorHAnsi"/>
                <w:b/>
                <w:bCs/>
                <w:sz w:val="19"/>
                <w:szCs w:val="19"/>
              </w:rPr>
            </w:pPr>
            <w:r>
              <w:rPr>
                <w:rFonts w:asciiTheme="majorHAnsi" w:hAnsiTheme="majorHAnsi" w:cstheme="majorHAnsi"/>
                <w:b/>
                <w:bCs/>
                <w:sz w:val="19"/>
                <w:szCs w:val="19"/>
              </w:rPr>
              <w:t>Region/Country</w:t>
            </w:r>
          </w:p>
        </w:tc>
        <w:tc>
          <w:tcPr>
            <w:tcW w:w="971" w:type="dxa"/>
            <w:noWrap/>
            <w:hideMark/>
          </w:tcPr>
          <w:p w:rsidR="00FB3BC3" w:rsidRPr="00FB3BC3" w:rsidRDefault="00FB3BC3" w:rsidP="0045310E">
            <w:pPr>
              <w:spacing w:before="0" w:after="0" w:line="240" w:lineRule="auto"/>
              <w:rPr>
                <w:rFonts w:asciiTheme="majorHAnsi" w:hAnsiTheme="majorHAnsi" w:cstheme="majorHAnsi"/>
                <w:b/>
                <w:bCs/>
                <w:sz w:val="19"/>
                <w:szCs w:val="19"/>
              </w:rPr>
            </w:pPr>
            <w:r w:rsidRPr="00FB3BC3">
              <w:rPr>
                <w:rFonts w:asciiTheme="majorHAnsi" w:hAnsiTheme="majorHAnsi" w:cstheme="majorHAnsi"/>
                <w:b/>
                <w:bCs/>
                <w:sz w:val="19"/>
                <w:szCs w:val="19"/>
              </w:rPr>
              <w:t>Female</w:t>
            </w:r>
          </w:p>
        </w:tc>
        <w:tc>
          <w:tcPr>
            <w:tcW w:w="709" w:type="dxa"/>
            <w:noWrap/>
            <w:hideMark/>
          </w:tcPr>
          <w:p w:rsidR="00FB3BC3" w:rsidRPr="00FB3BC3" w:rsidRDefault="00FB3BC3" w:rsidP="0045310E">
            <w:pPr>
              <w:spacing w:before="0" w:after="0" w:line="240" w:lineRule="auto"/>
              <w:rPr>
                <w:rFonts w:asciiTheme="majorHAnsi" w:hAnsiTheme="majorHAnsi" w:cstheme="majorHAnsi"/>
                <w:b/>
                <w:bCs/>
                <w:sz w:val="19"/>
                <w:szCs w:val="19"/>
              </w:rPr>
            </w:pPr>
            <w:r w:rsidRPr="00FB3BC3">
              <w:rPr>
                <w:rFonts w:asciiTheme="majorHAnsi" w:hAnsiTheme="majorHAnsi" w:cstheme="majorHAnsi"/>
                <w:b/>
                <w:bCs/>
                <w:sz w:val="19"/>
                <w:szCs w:val="19"/>
              </w:rPr>
              <w:t>Male</w:t>
            </w:r>
          </w:p>
        </w:tc>
        <w:tc>
          <w:tcPr>
            <w:tcW w:w="765" w:type="dxa"/>
          </w:tcPr>
          <w:p w:rsidR="00FB3BC3" w:rsidRPr="00FB3BC3" w:rsidRDefault="00FB3BC3" w:rsidP="0045310E">
            <w:pPr>
              <w:spacing w:before="0" w:after="0" w:line="240" w:lineRule="auto"/>
              <w:rPr>
                <w:rFonts w:asciiTheme="majorHAnsi" w:hAnsiTheme="majorHAnsi" w:cstheme="majorHAnsi"/>
                <w:b/>
                <w:bCs/>
                <w:sz w:val="19"/>
                <w:szCs w:val="19"/>
              </w:rPr>
            </w:pPr>
            <w:r w:rsidRPr="00FB3BC3">
              <w:rPr>
                <w:rFonts w:asciiTheme="majorHAnsi" w:hAnsiTheme="majorHAnsi" w:cstheme="majorHAnsi"/>
                <w:b/>
                <w:bCs/>
                <w:sz w:val="19"/>
                <w:szCs w:val="19"/>
              </w:rPr>
              <w:t xml:space="preserve">Other </w:t>
            </w:r>
          </w:p>
        </w:tc>
        <w:tc>
          <w:tcPr>
            <w:tcW w:w="851" w:type="dxa"/>
            <w:noWrap/>
            <w:hideMark/>
          </w:tcPr>
          <w:p w:rsidR="00FB3BC3" w:rsidRPr="00FB3BC3" w:rsidRDefault="00FB3BC3" w:rsidP="0045310E">
            <w:pPr>
              <w:spacing w:before="0" w:after="0" w:line="240" w:lineRule="auto"/>
              <w:rPr>
                <w:rFonts w:asciiTheme="majorHAnsi" w:hAnsiTheme="majorHAnsi" w:cstheme="majorHAnsi"/>
                <w:b/>
                <w:bCs/>
                <w:sz w:val="19"/>
                <w:szCs w:val="19"/>
              </w:rPr>
            </w:pPr>
            <w:r w:rsidRPr="00FB3BC3">
              <w:rPr>
                <w:rFonts w:asciiTheme="majorHAnsi" w:hAnsiTheme="majorHAnsi" w:cstheme="majorHAnsi"/>
                <w:b/>
                <w:bCs/>
                <w:sz w:val="19"/>
                <w:szCs w:val="19"/>
              </w:rPr>
              <w:t>Total</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East Asia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721</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629</w:t>
            </w:r>
          </w:p>
        </w:tc>
        <w:tc>
          <w:tcPr>
            <w:tcW w:w="765" w:type="dxa"/>
            <w:vAlign w:val="bottom"/>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1</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1351</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CAMBODIA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41</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54</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95</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INDONESIA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353</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328</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681</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LAO PEOPLE'S DEMOCRATIC REPUBLIC</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40</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33</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73</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MALAYSIA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3</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5</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MONGOLIA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42</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27</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69</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MYANMAR</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58</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42</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100</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PHILIPPINES</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54</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51</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105</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THAILAND</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3</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5</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TIMOR-LESTE</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22</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26</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48</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VIET NAM</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105</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64</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170</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North Africa and the Middle East</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9</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8</w:t>
            </w:r>
          </w:p>
        </w:tc>
        <w:tc>
          <w:tcPr>
            <w:tcW w:w="765" w:type="dxa"/>
            <w:vAlign w:val="bottom"/>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17</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PALESTINIAN TERRITORY, OCCUPIED</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9</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8</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17</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Pacific Island Countries</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214</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154</w:t>
            </w:r>
          </w:p>
        </w:tc>
        <w:tc>
          <w:tcPr>
            <w:tcW w:w="765" w:type="dxa"/>
            <w:vAlign w:val="bottom"/>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368</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FIJI</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46</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49</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95</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KIRIBATI</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34</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12</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46</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MARSHALL ISLANDS</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NAURU</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9</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8</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17</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NEW CALEDONIA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3</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SAMOA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46</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30</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76</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SOLOMON ISLANDS</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35</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27</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62</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TONGA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17</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9</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26</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TUVALU</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7</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5</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12</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color w:val="000000"/>
                <w:sz w:val="19"/>
                <w:szCs w:val="19"/>
                <w:lang w:eastAsia="en-AU"/>
              </w:rPr>
              <w:t>VANUATU</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color w:val="000000"/>
                <w:sz w:val="19"/>
                <w:szCs w:val="19"/>
                <w:lang w:eastAsia="en-AU"/>
              </w:rPr>
              <w:t>17</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color w:val="000000"/>
                <w:sz w:val="19"/>
                <w:szCs w:val="19"/>
                <w:lang w:eastAsia="en-AU"/>
              </w:rPr>
              <w:t>13</w:t>
            </w:r>
          </w:p>
        </w:tc>
        <w:tc>
          <w:tcPr>
            <w:tcW w:w="765" w:type="dxa"/>
            <w:vAlign w:val="bottom"/>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color w:val="000000"/>
                <w:sz w:val="19"/>
                <w:szCs w:val="19"/>
                <w:lang w:eastAsia="en-AU"/>
              </w:rPr>
              <w:t>30</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b/>
                <w:bCs/>
                <w:color w:val="000000"/>
                <w:sz w:val="19"/>
                <w:szCs w:val="19"/>
                <w:lang w:eastAsia="en-AU"/>
              </w:rPr>
              <w:t>Papua New Guinea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b/>
                <w:bCs/>
                <w:color w:val="000000"/>
                <w:sz w:val="19"/>
                <w:szCs w:val="19"/>
                <w:lang w:eastAsia="en-AU"/>
              </w:rPr>
              <w:t>108</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b/>
                <w:bCs/>
                <w:color w:val="000000"/>
                <w:sz w:val="19"/>
                <w:szCs w:val="19"/>
                <w:lang w:eastAsia="en-AU"/>
              </w:rPr>
              <w:t>104</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b/>
                <w:bCs/>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b/>
                <w:bCs/>
                <w:color w:val="000000"/>
                <w:sz w:val="19"/>
                <w:szCs w:val="19"/>
                <w:lang w:eastAsia="en-AU"/>
              </w:rPr>
              <w:t>212</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color w:val="000000"/>
                <w:sz w:val="19"/>
                <w:szCs w:val="19"/>
                <w:lang w:eastAsia="en-AU"/>
              </w:rPr>
              <w:t>PAPUA NEW GUINEA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color w:val="000000"/>
                <w:sz w:val="19"/>
                <w:szCs w:val="19"/>
                <w:lang w:eastAsia="en-AU"/>
              </w:rPr>
              <w:t>108</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color w:val="000000"/>
                <w:sz w:val="19"/>
                <w:szCs w:val="19"/>
                <w:lang w:eastAsia="en-AU"/>
              </w:rPr>
              <w:t>104</w:t>
            </w:r>
          </w:p>
        </w:tc>
        <w:tc>
          <w:tcPr>
            <w:tcW w:w="765" w:type="dxa"/>
            <w:vAlign w:val="bottom"/>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color w:val="000000"/>
                <w:sz w:val="19"/>
                <w:szCs w:val="19"/>
                <w:lang w:eastAsia="en-AU"/>
              </w:rPr>
              <w:t>212</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b/>
                <w:bCs/>
                <w:color w:val="000000"/>
                <w:sz w:val="19"/>
                <w:szCs w:val="19"/>
                <w:lang w:eastAsia="en-AU"/>
              </w:rPr>
              <w:t>South Asia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b/>
                <w:bCs/>
                <w:color w:val="000000"/>
                <w:sz w:val="19"/>
                <w:szCs w:val="19"/>
                <w:lang w:eastAsia="en-AU"/>
              </w:rPr>
              <w:t>188</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b/>
                <w:bCs/>
                <w:color w:val="000000"/>
                <w:sz w:val="19"/>
                <w:szCs w:val="19"/>
                <w:lang w:eastAsia="en-AU"/>
              </w:rPr>
              <w:t>176</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b/>
                <w:bCs/>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b/>
                <w:bCs/>
                <w:color w:val="000000"/>
                <w:sz w:val="19"/>
                <w:szCs w:val="19"/>
                <w:lang w:eastAsia="en-AU"/>
              </w:rPr>
              <w:t>364</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BANGLADESH</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57</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60</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117</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BHUTAN</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20</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23</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43</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MALDIVES</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9</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6</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15</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NEPAL</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30</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28</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58</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PAKISTAN</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40</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28</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68</w:t>
            </w:r>
          </w:p>
        </w:tc>
      </w:tr>
      <w:tr w:rsidR="0088401E" w:rsidRPr="003C1158" w:rsidTr="00FB3BC3">
        <w:tc>
          <w:tcPr>
            <w:tcW w:w="4836" w:type="dxa"/>
            <w:noWrap/>
            <w:vAlign w:val="bottom"/>
          </w:tcPr>
          <w:p w:rsidR="0088401E" w:rsidRPr="00077721" w:rsidRDefault="00077721" w:rsidP="00FB3BC3">
            <w:pPr>
              <w:spacing w:before="0" w:after="0" w:line="240" w:lineRule="auto"/>
              <w:rPr>
                <w:rFonts w:asciiTheme="majorHAnsi" w:eastAsia="Times New Roman" w:hAnsiTheme="majorHAnsi" w:cstheme="majorHAnsi"/>
                <w:bCs/>
                <w:color w:val="000000"/>
                <w:sz w:val="19"/>
                <w:szCs w:val="19"/>
                <w:lang w:eastAsia="en-AU"/>
              </w:rPr>
            </w:pPr>
            <w:r w:rsidRPr="00077721">
              <w:rPr>
                <w:rFonts w:asciiTheme="majorHAnsi" w:eastAsia="Times New Roman" w:hAnsiTheme="majorHAnsi" w:cstheme="majorHAnsi"/>
                <w:bCs/>
                <w:color w:val="000000"/>
                <w:sz w:val="19"/>
                <w:szCs w:val="19"/>
                <w:lang w:eastAsia="en-AU"/>
              </w:rPr>
              <w:t>SRI LANKA</w:t>
            </w:r>
          </w:p>
        </w:tc>
        <w:tc>
          <w:tcPr>
            <w:tcW w:w="971" w:type="dxa"/>
            <w:noWrap/>
            <w:vAlign w:val="bottom"/>
          </w:tcPr>
          <w:p w:rsidR="0088401E" w:rsidRPr="00077721" w:rsidRDefault="0088401E" w:rsidP="00FB3BC3">
            <w:pPr>
              <w:spacing w:before="0" w:after="0" w:line="240" w:lineRule="auto"/>
              <w:rPr>
                <w:rFonts w:asciiTheme="majorHAnsi" w:eastAsia="Times New Roman" w:hAnsiTheme="majorHAnsi" w:cstheme="majorHAnsi"/>
                <w:bCs/>
                <w:color w:val="000000"/>
                <w:sz w:val="19"/>
                <w:szCs w:val="19"/>
                <w:lang w:eastAsia="en-AU"/>
              </w:rPr>
            </w:pPr>
            <w:r w:rsidRPr="00077721">
              <w:rPr>
                <w:rFonts w:asciiTheme="majorHAnsi" w:eastAsia="Times New Roman" w:hAnsiTheme="majorHAnsi" w:cstheme="majorHAnsi"/>
                <w:bCs/>
                <w:color w:val="000000"/>
                <w:sz w:val="19"/>
                <w:szCs w:val="19"/>
                <w:lang w:eastAsia="en-AU"/>
              </w:rPr>
              <w:t>32</w:t>
            </w:r>
          </w:p>
        </w:tc>
        <w:tc>
          <w:tcPr>
            <w:tcW w:w="709" w:type="dxa"/>
            <w:noWrap/>
            <w:vAlign w:val="bottom"/>
          </w:tcPr>
          <w:p w:rsidR="0088401E" w:rsidRPr="00077721" w:rsidRDefault="0088401E" w:rsidP="00FB3BC3">
            <w:pPr>
              <w:spacing w:before="0" w:after="0" w:line="240" w:lineRule="auto"/>
              <w:rPr>
                <w:rFonts w:asciiTheme="majorHAnsi" w:eastAsia="Times New Roman" w:hAnsiTheme="majorHAnsi" w:cstheme="majorHAnsi"/>
                <w:bCs/>
                <w:color w:val="000000"/>
                <w:sz w:val="19"/>
                <w:szCs w:val="19"/>
                <w:lang w:eastAsia="en-AU"/>
              </w:rPr>
            </w:pPr>
            <w:r w:rsidRPr="00077721">
              <w:rPr>
                <w:rFonts w:asciiTheme="majorHAnsi" w:eastAsia="Times New Roman" w:hAnsiTheme="majorHAnsi" w:cstheme="majorHAnsi"/>
                <w:bCs/>
                <w:color w:val="000000"/>
                <w:sz w:val="19"/>
                <w:szCs w:val="19"/>
                <w:lang w:eastAsia="en-AU"/>
              </w:rPr>
              <w:t>31</w:t>
            </w:r>
          </w:p>
        </w:tc>
        <w:tc>
          <w:tcPr>
            <w:tcW w:w="765" w:type="dxa"/>
            <w:vAlign w:val="bottom"/>
          </w:tcPr>
          <w:p w:rsidR="0088401E" w:rsidRPr="00077721" w:rsidRDefault="0088401E" w:rsidP="00FB3BC3">
            <w:pPr>
              <w:spacing w:before="0" w:after="0" w:line="240" w:lineRule="auto"/>
              <w:rPr>
                <w:rFonts w:asciiTheme="majorHAnsi" w:eastAsia="Times New Roman" w:hAnsiTheme="majorHAnsi" w:cstheme="majorHAnsi"/>
                <w:bCs/>
                <w:color w:val="000000"/>
                <w:sz w:val="19"/>
                <w:szCs w:val="19"/>
                <w:lang w:eastAsia="en-AU"/>
              </w:rPr>
            </w:pPr>
          </w:p>
        </w:tc>
        <w:tc>
          <w:tcPr>
            <w:tcW w:w="851" w:type="dxa"/>
            <w:noWrap/>
            <w:vAlign w:val="bottom"/>
          </w:tcPr>
          <w:p w:rsidR="0088401E" w:rsidRPr="00077721" w:rsidRDefault="0088401E" w:rsidP="00FB3BC3">
            <w:pPr>
              <w:spacing w:before="0" w:after="0" w:line="240" w:lineRule="auto"/>
              <w:rPr>
                <w:rFonts w:asciiTheme="majorHAnsi" w:eastAsia="Times New Roman" w:hAnsiTheme="majorHAnsi" w:cstheme="majorHAnsi"/>
                <w:bCs/>
                <w:color w:val="000000"/>
                <w:sz w:val="19"/>
                <w:szCs w:val="19"/>
                <w:lang w:eastAsia="en-AU"/>
              </w:rPr>
            </w:pPr>
            <w:r w:rsidRPr="00077721">
              <w:rPr>
                <w:rFonts w:asciiTheme="majorHAnsi" w:eastAsia="Times New Roman" w:hAnsiTheme="majorHAnsi" w:cstheme="majorHAnsi"/>
                <w:bCs/>
                <w:color w:val="000000"/>
                <w:sz w:val="19"/>
                <w:szCs w:val="19"/>
                <w:lang w:eastAsia="en-AU"/>
              </w:rPr>
              <w:t>63</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Sub-Saharan Africa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148</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161</w:t>
            </w:r>
          </w:p>
        </w:tc>
        <w:tc>
          <w:tcPr>
            <w:tcW w:w="765" w:type="dxa"/>
            <w:vAlign w:val="bottom"/>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b/>
                <w:bCs/>
                <w:color w:val="000000"/>
                <w:sz w:val="19"/>
                <w:szCs w:val="19"/>
                <w:lang w:eastAsia="en-AU"/>
              </w:rPr>
              <w:t>309</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BOTSWANA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13</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11</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24</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COTE D'IVOIRE</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GHANA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21</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18</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39</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KENYA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24</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20</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44</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MADAGASCAR</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7</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6</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13</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MALAWI</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12</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14</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26</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MAURITIUS</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5</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9</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MOZAMBIQUE</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11</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20</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31</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NIGER</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NIGERIA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21</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18</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39</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SEYCHELLES</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SIERRA LEONE</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SOUTH AFRICA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6</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10</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SWAZILAND</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4</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TANZANIA, UNITED REPUBLIC OF</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9</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17</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26</w:t>
            </w:r>
          </w:p>
        </w:tc>
      </w:tr>
      <w:tr w:rsidR="00FB3BC3" w:rsidRPr="003C1158" w:rsidTr="00FB3BC3">
        <w:tc>
          <w:tcPr>
            <w:tcW w:w="4836"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UGANDA</w:t>
            </w:r>
          </w:p>
        </w:tc>
        <w:tc>
          <w:tcPr>
            <w:tcW w:w="97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709"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w:t>
            </w:r>
          </w:p>
        </w:tc>
        <w:tc>
          <w:tcPr>
            <w:tcW w:w="765" w:type="dxa"/>
            <w:vAlign w:val="bottom"/>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 </w:t>
            </w:r>
          </w:p>
        </w:tc>
        <w:tc>
          <w:tcPr>
            <w:tcW w:w="851" w:type="dxa"/>
            <w:noWrap/>
            <w:vAlign w:val="bottom"/>
            <w:hideMark/>
          </w:tcPr>
          <w:p w:rsidR="00FB3BC3" w:rsidRPr="00FB3BC3" w:rsidRDefault="00FB3BC3" w:rsidP="00FB3BC3">
            <w:pPr>
              <w:spacing w:before="0" w:after="0" w:line="240" w:lineRule="auto"/>
              <w:rPr>
                <w:rFonts w:asciiTheme="majorHAnsi" w:hAnsiTheme="majorHAnsi" w:cstheme="majorHAnsi"/>
                <w:sz w:val="19"/>
                <w:szCs w:val="19"/>
              </w:rPr>
            </w:pPr>
            <w:r w:rsidRPr="00FB3BC3">
              <w:rPr>
                <w:rFonts w:asciiTheme="majorHAnsi" w:eastAsia="Times New Roman" w:hAnsiTheme="majorHAnsi" w:cstheme="majorHAnsi"/>
                <w:color w:val="000000"/>
                <w:sz w:val="19"/>
                <w:szCs w:val="19"/>
                <w:lang w:eastAsia="en-AU"/>
              </w:rPr>
              <w:t>1</w:t>
            </w:r>
          </w:p>
        </w:tc>
      </w:tr>
      <w:tr w:rsidR="00FB3BC3" w:rsidRPr="003C1158" w:rsidTr="00A75517">
        <w:tc>
          <w:tcPr>
            <w:tcW w:w="4836" w:type="dxa"/>
            <w:shd w:val="clear" w:color="auto" w:fill="FFFFFF" w:themeFill="background1"/>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color w:val="000000"/>
                <w:sz w:val="19"/>
                <w:szCs w:val="19"/>
                <w:lang w:eastAsia="en-AU"/>
              </w:rPr>
              <w:t>ZAMBIA</w:t>
            </w:r>
          </w:p>
        </w:tc>
        <w:tc>
          <w:tcPr>
            <w:tcW w:w="971" w:type="dxa"/>
            <w:shd w:val="clear" w:color="auto" w:fill="FFFFFF" w:themeFill="background1"/>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color w:val="000000"/>
                <w:sz w:val="19"/>
                <w:szCs w:val="19"/>
                <w:lang w:eastAsia="en-AU"/>
              </w:rPr>
              <w:t>14</w:t>
            </w:r>
          </w:p>
        </w:tc>
        <w:tc>
          <w:tcPr>
            <w:tcW w:w="709" w:type="dxa"/>
            <w:shd w:val="clear" w:color="auto" w:fill="FFFFFF" w:themeFill="background1"/>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color w:val="000000"/>
                <w:sz w:val="19"/>
                <w:szCs w:val="19"/>
                <w:lang w:eastAsia="en-AU"/>
              </w:rPr>
              <w:t>18</w:t>
            </w:r>
          </w:p>
        </w:tc>
        <w:tc>
          <w:tcPr>
            <w:tcW w:w="765" w:type="dxa"/>
            <w:shd w:val="clear" w:color="auto" w:fill="FFFFFF" w:themeFill="background1"/>
            <w:vAlign w:val="bottom"/>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color w:val="000000"/>
                <w:sz w:val="19"/>
                <w:szCs w:val="19"/>
                <w:lang w:eastAsia="en-AU"/>
              </w:rPr>
              <w:t> </w:t>
            </w:r>
          </w:p>
        </w:tc>
        <w:tc>
          <w:tcPr>
            <w:tcW w:w="851" w:type="dxa"/>
            <w:shd w:val="clear" w:color="auto" w:fill="FFFFFF" w:themeFill="background1"/>
            <w:noWrap/>
            <w:vAlign w:val="bottom"/>
            <w:hideMark/>
          </w:tcPr>
          <w:p w:rsidR="00FB3BC3" w:rsidRPr="00FB3BC3" w:rsidRDefault="00FB3BC3" w:rsidP="00FB3BC3">
            <w:pPr>
              <w:spacing w:before="0" w:after="0" w:line="240" w:lineRule="auto"/>
              <w:rPr>
                <w:rFonts w:asciiTheme="majorHAnsi" w:hAnsiTheme="majorHAnsi" w:cstheme="majorHAnsi"/>
                <w:b/>
                <w:bCs/>
                <w:sz w:val="19"/>
                <w:szCs w:val="19"/>
              </w:rPr>
            </w:pPr>
            <w:r w:rsidRPr="00FB3BC3">
              <w:rPr>
                <w:rFonts w:asciiTheme="majorHAnsi" w:eastAsia="Times New Roman" w:hAnsiTheme="majorHAnsi" w:cstheme="majorHAnsi"/>
                <w:color w:val="000000"/>
                <w:sz w:val="19"/>
                <w:szCs w:val="19"/>
                <w:lang w:eastAsia="en-AU"/>
              </w:rPr>
              <w:t>32</w:t>
            </w:r>
          </w:p>
        </w:tc>
      </w:tr>
      <w:tr w:rsidR="0088401E" w:rsidRPr="003C1158" w:rsidTr="00A75517">
        <w:tc>
          <w:tcPr>
            <w:tcW w:w="4836" w:type="dxa"/>
            <w:shd w:val="clear" w:color="auto" w:fill="FFFFFF" w:themeFill="background1"/>
            <w:noWrap/>
            <w:vAlign w:val="bottom"/>
          </w:tcPr>
          <w:p w:rsidR="0088401E" w:rsidRPr="00FB3BC3" w:rsidRDefault="0088401E" w:rsidP="00FB3BC3">
            <w:pPr>
              <w:spacing w:before="0" w:after="0" w:line="240" w:lineRule="auto"/>
              <w:rPr>
                <w:rFonts w:asciiTheme="majorHAnsi" w:eastAsia="Times New Roman" w:hAnsiTheme="majorHAnsi" w:cstheme="majorHAnsi"/>
                <w:color w:val="000000"/>
                <w:sz w:val="19"/>
                <w:szCs w:val="19"/>
                <w:lang w:eastAsia="en-AU"/>
              </w:rPr>
            </w:pPr>
            <w:r>
              <w:rPr>
                <w:rFonts w:asciiTheme="majorHAnsi" w:eastAsia="Times New Roman" w:hAnsiTheme="majorHAnsi" w:cstheme="majorHAnsi"/>
                <w:color w:val="000000"/>
                <w:sz w:val="19"/>
                <w:szCs w:val="19"/>
                <w:lang w:eastAsia="en-AU"/>
              </w:rPr>
              <w:t>ZIMBABWE</w:t>
            </w:r>
          </w:p>
        </w:tc>
        <w:tc>
          <w:tcPr>
            <w:tcW w:w="971" w:type="dxa"/>
            <w:shd w:val="clear" w:color="auto" w:fill="FFFFFF" w:themeFill="background1"/>
            <w:noWrap/>
            <w:vAlign w:val="bottom"/>
          </w:tcPr>
          <w:p w:rsidR="0088401E" w:rsidRPr="00FB3BC3" w:rsidRDefault="0088401E" w:rsidP="00FB3BC3">
            <w:pPr>
              <w:spacing w:before="0" w:after="0" w:line="240" w:lineRule="auto"/>
              <w:rPr>
                <w:rFonts w:asciiTheme="majorHAnsi" w:eastAsia="Times New Roman" w:hAnsiTheme="majorHAnsi" w:cstheme="majorHAnsi"/>
                <w:color w:val="000000"/>
                <w:sz w:val="19"/>
                <w:szCs w:val="19"/>
                <w:lang w:eastAsia="en-AU"/>
              </w:rPr>
            </w:pPr>
            <w:r>
              <w:rPr>
                <w:rFonts w:asciiTheme="majorHAnsi" w:eastAsia="Times New Roman" w:hAnsiTheme="majorHAnsi" w:cstheme="majorHAnsi"/>
                <w:color w:val="000000"/>
                <w:sz w:val="19"/>
                <w:szCs w:val="19"/>
                <w:lang w:eastAsia="en-AU"/>
              </w:rPr>
              <w:t>1</w:t>
            </w:r>
          </w:p>
        </w:tc>
        <w:tc>
          <w:tcPr>
            <w:tcW w:w="709" w:type="dxa"/>
            <w:shd w:val="clear" w:color="auto" w:fill="FFFFFF" w:themeFill="background1"/>
            <w:noWrap/>
            <w:vAlign w:val="bottom"/>
          </w:tcPr>
          <w:p w:rsidR="0088401E" w:rsidRPr="00FB3BC3" w:rsidRDefault="0088401E" w:rsidP="00FB3BC3">
            <w:pPr>
              <w:spacing w:before="0" w:after="0" w:line="240" w:lineRule="auto"/>
              <w:rPr>
                <w:rFonts w:asciiTheme="majorHAnsi" w:eastAsia="Times New Roman" w:hAnsiTheme="majorHAnsi" w:cstheme="majorHAnsi"/>
                <w:color w:val="000000"/>
                <w:sz w:val="19"/>
                <w:szCs w:val="19"/>
                <w:lang w:eastAsia="en-AU"/>
              </w:rPr>
            </w:pPr>
            <w:r>
              <w:rPr>
                <w:rFonts w:asciiTheme="majorHAnsi" w:eastAsia="Times New Roman" w:hAnsiTheme="majorHAnsi" w:cstheme="majorHAnsi"/>
                <w:color w:val="000000"/>
                <w:sz w:val="19"/>
                <w:szCs w:val="19"/>
                <w:lang w:eastAsia="en-AU"/>
              </w:rPr>
              <w:t>1</w:t>
            </w:r>
          </w:p>
        </w:tc>
        <w:tc>
          <w:tcPr>
            <w:tcW w:w="765" w:type="dxa"/>
            <w:shd w:val="clear" w:color="auto" w:fill="FFFFFF" w:themeFill="background1"/>
            <w:vAlign w:val="bottom"/>
          </w:tcPr>
          <w:p w:rsidR="0088401E" w:rsidRPr="00FB3BC3" w:rsidRDefault="0088401E" w:rsidP="00FB3BC3">
            <w:pPr>
              <w:spacing w:before="0" w:after="0" w:line="240" w:lineRule="auto"/>
              <w:rPr>
                <w:rFonts w:asciiTheme="majorHAnsi" w:eastAsia="Times New Roman" w:hAnsiTheme="majorHAnsi" w:cstheme="majorHAnsi"/>
                <w:color w:val="000000"/>
                <w:sz w:val="19"/>
                <w:szCs w:val="19"/>
                <w:lang w:eastAsia="en-AU"/>
              </w:rPr>
            </w:pPr>
          </w:p>
        </w:tc>
        <w:tc>
          <w:tcPr>
            <w:tcW w:w="851" w:type="dxa"/>
            <w:shd w:val="clear" w:color="auto" w:fill="FFFFFF" w:themeFill="background1"/>
            <w:noWrap/>
            <w:vAlign w:val="bottom"/>
          </w:tcPr>
          <w:p w:rsidR="0088401E" w:rsidRPr="00FB3BC3" w:rsidRDefault="0088401E" w:rsidP="00FB3BC3">
            <w:pPr>
              <w:spacing w:before="0" w:after="0" w:line="240" w:lineRule="auto"/>
              <w:rPr>
                <w:rFonts w:asciiTheme="majorHAnsi" w:eastAsia="Times New Roman" w:hAnsiTheme="majorHAnsi" w:cstheme="majorHAnsi"/>
                <w:color w:val="000000"/>
                <w:sz w:val="19"/>
                <w:szCs w:val="19"/>
                <w:lang w:eastAsia="en-AU"/>
              </w:rPr>
            </w:pPr>
            <w:r>
              <w:rPr>
                <w:rFonts w:asciiTheme="majorHAnsi" w:eastAsia="Times New Roman" w:hAnsiTheme="majorHAnsi" w:cstheme="majorHAnsi"/>
                <w:color w:val="000000"/>
                <w:sz w:val="19"/>
                <w:szCs w:val="19"/>
                <w:lang w:eastAsia="en-AU"/>
              </w:rPr>
              <w:t>2</w:t>
            </w:r>
          </w:p>
        </w:tc>
      </w:tr>
      <w:tr w:rsidR="00F26508" w:rsidRPr="00E0098D" w:rsidTr="00FB3BC3">
        <w:tc>
          <w:tcPr>
            <w:tcW w:w="4836" w:type="dxa"/>
            <w:shd w:val="clear" w:color="auto" w:fill="DDECD0" w:themeFill="accent3" w:themeFillTint="66"/>
            <w:noWrap/>
            <w:vAlign w:val="bottom"/>
          </w:tcPr>
          <w:p w:rsidR="00F26508" w:rsidRPr="00E0098D" w:rsidRDefault="002B55F4" w:rsidP="00E0098D">
            <w:pPr>
              <w:spacing w:before="0" w:after="0" w:line="240" w:lineRule="auto"/>
              <w:rPr>
                <w:rFonts w:asciiTheme="majorHAnsi" w:eastAsia="Times New Roman" w:hAnsiTheme="majorHAnsi" w:cstheme="majorHAnsi"/>
                <w:b/>
                <w:i/>
                <w:color w:val="000000"/>
                <w:sz w:val="19"/>
                <w:szCs w:val="19"/>
                <w:lang w:eastAsia="en-AU"/>
              </w:rPr>
            </w:pPr>
            <w:r w:rsidRPr="00E0098D">
              <w:rPr>
                <w:rFonts w:asciiTheme="majorHAnsi" w:eastAsia="Times New Roman" w:hAnsiTheme="majorHAnsi" w:cstheme="majorHAnsi"/>
                <w:b/>
                <w:i/>
                <w:color w:val="000000"/>
                <w:sz w:val="19"/>
                <w:szCs w:val="19"/>
                <w:lang w:eastAsia="en-AU"/>
              </w:rPr>
              <w:t>TOTAL</w:t>
            </w:r>
          </w:p>
        </w:tc>
        <w:tc>
          <w:tcPr>
            <w:tcW w:w="971" w:type="dxa"/>
            <w:shd w:val="clear" w:color="auto" w:fill="DDECD0" w:themeFill="accent3" w:themeFillTint="66"/>
            <w:noWrap/>
            <w:vAlign w:val="bottom"/>
          </w:tcPr>
          <w:p w:rsidR="00F26508" w:rsidRPr="00E0098D" w:rsidRDefault="002B55F4" w:rsidP="00FB3BC3">
            <w:pPr>
              <w:spacing w:before="0" w:after="0" w:line="240" w:lineRule="auto"/>
              <w:rPr>
                <w:rFonts w:asciiTheme="majorHAnsi" w:eastAsia="Times New Roman" w:hAnsiTheme="majorHAnsi" w:cstheme="majorHAnsi"/>
                <w:b/>
                <w:i/>
                <w:color w:val="000000"/>
                <w:sz w:val="19"/>
                <w:szCs w:val="19"/>
                <w:lang w:eastAsia="en-AU"/>
              </w:rPr>
            </w:pPr>
            <w:r w:rsidRPr="00E0098D">
              <w:rPr>
                <w:rFonts w:asciiTheme="majorHAnsi" w:eastAsia="Times New Roman" w:hAnsiTheme="majorHAnsi" w:cstheme="majorHAnsi"/>
                <w:b/>
                <w:i/>
                <w:color w:val="000000"/>
                <w:sz w:val="19"/>
                <w:szCs w:val="19"/>
                <w:lang w:eastAsia="en-AU"/>
              </w:rPr>
              <w:t>1,388</w:t>
            </w:r>
          </w:p>
        </w:tc>
        <w:tc>
          <w:tcPr>
            <w:tcW w:w="709" w:type="dxa"/>
            <w:shd w:val="clear" w:color="auto" w:fill="DDECD0" w:themeFill="accent3" w:themeFillTint="66"/>
            <w:noWrap/>
            <w:vAlign w:val="bottom"/>
          </w:tcPr>
          <w:p w:rsidR="00F26508" w:rsidRPr="00E0098D" w:rsidRDefault="002B55F4" w:rsidP="00FB3BC3">
            <w:pPr>
              <w:spacing w:before="0" w:after="0" w:line="240" w:lineRule="auto"/>
              <w:rPr>
                <w:rFonts w:asciiTheme="majorHAnsi" w:eastAsia="Times New Roman" w:hAnsiTheme="majorHAnsi" w:cstheme="majorHAnsi"/>
                <w:b/>
                <w:i/>
                <w:color w:val="000000"/>
                <w:sz w:val="19"/>
                <w:szCs w:val="19"/>
                <w:lang w:eastAsia="en-AU"/>
              </w:rPr>
            </w:pPr>
            <w:r w:rsidRPr="00E0098D">
              <w:rPr>
                <w:rFonts w:asciiTheme="majorHAnsi" w:eastAsia="Times New Roman" w:hAnsiTheme="majorHAnsi" w:cstheme="majorHAnsi"/>
                <w:b/>
                <w:i/>
                <w:color w:val="000000"/>
                <w:sz w:val="19"/>
                <w:szCs w:val="19"/>
                <w:lang w:eastAsia="en-AU"/>
              </w:rPr>
              <w:t>1,232</w:t>
            </w:r>
          </w:p>
        </w:tc>
        <w:tc>
          <w:tcPr>
            <w:tcW w:w="765" w:type="dxa"/>
            <w:shd w:val="clear" w:color="auto" w:fill="DDECD0" w:themeFill="accent3" w:themeFillTint="66"/>
            <w:vAlign w:val="bottom"/>
          </w:tcPr>
          <w:p w:rsidR="00F26508" w:rsidRPr="00E0098D" w:rsidRDefault="002B55F4" w:rsidP="00FB3BC3">
            <w:pPr>
              <w:spacing w:before="0" w:after="0" w:line="240" w:lineRule="auto"/>
              <w:rPr>
                <w:rFonts w:asciiTheme="majorHAnsi" w:eastAsia="Times New Roman" w:hAnsiTheme="majorHAnsi" w:cstheme="majorHAnsi"/>
                <w:b/>
                <w:i/>
                <w:color w:val="000000"/>
                <w:sz w:val="19"/>
                <w:szCs w:val="19"/>
                <w:lang w:eastAsia="en-AU"/>
              </w:rPr>
            </w:pPr>
            <w:r w:rsidRPr="00E0098D">
              <w:rPr>
                <w:rFonts w:asciiTheme="majorHAnsi" w:eastAsia="Times New Roman" w:hAnsiTheme="majorHAnsi" w:cstheme="majorHAnsi"/>
                <w:b/>
                <w:i/>
                <w:color w:val="000000"/>
                <w:sz w:val="19"/>
                <w:szCs w:val="19"/>
                <w:lang w:eastAsia="en-AU"/>
              </w:rPr>
              <w:t>1</w:t>
            </w:r>
          </w:p>
        </w:tc>
        <w:tc>
          <w:tcPr>
            <w:tcW w:w="851" w:type="dxa"/>
            <w:shd w:val="clear" w:color="auto" w:fill="DDECD0" w:themeFill="accent3" w:themeFillTint="66"/>
            <w:noWrap/>
            <w:vAlign w:val="bottom"/>
          </w:tcPr>
          <w:p w:rsidR="00F26508" w:rsidRPr="00E0098D" w:rsidRDefault="002B55F4" w:rsidP="00FB3BC3">
            <w:pPr>
              <w:spacing w:before="0" w:after="0" w:line="240" w:lineRule="auto"/>
              <w:rPr>
                <w:rFonts w:asciiTheme="majorHAnsi" w:eastAsia="Times New Roman" w:hAnsiTheme="majorHAnsi" w:cstheme="majorHAnsi"/>
                <w:b/>
                <w:i/>
                <w:color w:val="000000"/>
                <w:sz w:val="19"/>
                <w:szCs w:val="19"/>
                <w:lang w:eastAsia="en-AU"/>
              </w:rPr>
            </w:pPr>
            <w:r w:rsidRPr="00E0098D">
              <w:rPr>
                <w:rFonts w:asciiTheme="majorHAnsi" w:eastAsia="Times New Roman" w:hAnsiTheme="majorHAnsi" w:cstheme="majorHAnsi"/>
                <w:b/>
                <w:i/>
                <w:color w:val="000000"/>
                <w:sz w:val="19"/>
                <w:szCs w:val="19"/>
                <w:lang w:eastAsia="en-AU"/>
              </w:rPr>
              <w:t>2,621</w:t>
            </w:r>
          </w:p>
        </w:tc>
      </w:tr>
    </w:tbl>
    <w:p w:rsidR="00FB3BC3" w:rsidRPr="00853B3C" w:rsidRDefault="00FB3BC3" w:rsidP="00FB3BC3">
      <w:pPr>
        <w:rPr>
          <w:sz w:val="20"/>
          <w:szCs w:val="20"/>
        </w:rPr>
      </w:pPr>
      <w:r>
        <w:rPr>
          <w:sz w:val="20"/>
          <w:szCs w:val="20"/>
        </w:rPr>
        <w:t>Source: OASIS, as at 7 August 2019</w:t>
      </w:r>
    </w:p>
    <w:p w:rsidR="00117246" w:rsidRPr="00F712B0" w:rsidRDefault="00FB3BC3" w:rsidP="00117246">
      <w:pPr>
        <w:suppressAutoHyphens w:val="0"/>
        <w:spacing w:before="360" w:after="120" w:line="300" w:lineRule="exact"/>
        <w:rPr>
          <w:rFonts w:cstheme="minorHAnsi"/>
        </w:rPr>
      </w:pPr>
      <w:r>
        <w:br w:type="page"/>
      </w:r>
      <w:r w:rsidR="00E1474E" w:rsidRPr="008821C2">
        <w:rPr>
          <w:rFonts w:asciiTheme="majorHAnsi" w:hAnsiTheme="majorHAnsi" w:cstheme="majorHAnsi"/>
          <w:sz w:val="38"/>
          <w:szCs w:val="38"/>
        </w:rPr>
        <w:t xml:space="preserve">ANNEX </w:t>
      </w:r>
      <w:r w:rsidR="00E1474E">
        <w:rPr>
          <w:rFonts w:asciiTheme="majorHAnsi" w:hAnsiTheme="majorHAnsi" w:cstheme="majorHAnsi"/>
          <w:sz w:val="38"/>
          <w:szCs w:val="38"/>
        </w:rPr>
        <w:t>F</w:t>
      </w:r>
      <w:r w:rsidR="00E1474E" w:rsidRPr="008821C2">
        <w:rPr>
          <w:rFonts w:asciiTheme="majorHAnsi" w:hAnsiTheme="majorHAnsi" w:cstheme="majorHAnsi"/>
          <w:sz w:val="38"/>
          <w:szCs w:val="38"/>
        </w:rPr>
        <w:t xml:space="preserve"> </w:t>
      </w:r>
      <w:r w:rsidR="00E1474E">
        <w:rPr>
          <w:rFonts w:asciiTheme="majorHAnsi" w:hAnsiTheme="majorHAnsi" w:cstheme="majorHAnsi"/>
          <w:sz w:val="38"/>
          <w:szCs w:val="38"/>
        </w:rPr>
        <w:t>–</w:t>
      </w:r>
      <w:r w:rsidR="00E1474E" w:rsidRPr="008821C2">
        <w:rPr>
          <w:rFonts w:asciiTheme="majorHAnsi" w:hAnsiTheme="majorHAnsi" w:cstheme="majorHAnsi"/>
          <w:sz w:val="38"/>
          <w:szCs w:val="38"/>
        </w:rPr>
        <w:t xml:space="preserve"> </w:t>
      </w:r>
      <w:r w:rsidR="00E1474E">
        <w:rPr>
          <w:rFonts w:asciiTheme="majorHAnsi" w:hAnsiTheme="majorHAnsi" w:cstheme="majorHAnsi"/>
          <w:sz w:val="38"/>
          <w:szCs w:val="38"/>
        </w:rPr>
        <w:t>UNIVERSITIES AND TERTIARY INSTITUTIONS</w:t>
      </w:r>
    </w:p>
    <w:tbl>
      <w:tblPr>
        <w:tblW w:w="9639" w:type="dxa"/>
        <w:tblInd w:w="-5" w:type="dxa"/>
        <w:tblLayout w:type="fixed"/>
        <w:tblLook w:val="04A0" w:firstRow="1" w:lastRow="0" w:firstColumn="1" w:lastColumn="0" w:noHBand="0" w:noVBand="1"/>
      </w:tblPr>
      <w:tblGrid>
        <w:gridCol w:w="2694"/>
        <w:gridCol w:w="873"/>
        <w:gridCol w:w="1016"/>
        <w:gridCol w:w="1016"/>
        <w:gridCol w:w="1016"/>
        <w:gridCol w:w="1016"/>
        <w:gridCol w:w="1016"/>
        <w:gridCol w:w="992"/>
      </w:tblGrid>
      <w:tr w:rsidR="008660D4" w:rsidTr="008660D4">
        <w:trPr>
          <w:trHeight w:val="273"/>
        </w:trPr>
        <w:tc>
          <w:tcPr>
            <w:tcW w:w="9639" w:type="dxa"/>
            <w:gridSpan w:val="8"/>
            <w:tcBorders>
              <w:top w:val="single" w:sz="4" w:space="0" w:color="auto"/>
              <w:left w:val="single" w:sz="4" w:space="0" w:color="auto"/>
              <w:bottom w:val="single" w:sz="4" w:space="0" w:color="auto"/>
              <w:right w:val="single" w:sz="4" w:space="0" w:color="auto"/>
            </w:tcBorders>
            <w:shd w:val="clear" w:color="auto" w:fill="CDE2B9" w:themeFill="accent3" w:themeFillTint="99"/>
            <w:noWrap/>
            <w:vAlign w:val="bottom"/>
          </w:tcPr>
          <w:p w:rsidR="008660D4" w:rsidRPr="008660D4" w:rsidRDefault="008660D4" w:rsidP="008660D4">
            <w:pPr>
              <w:spacing w:before="0" w:after="0" w:line="240" w:lineRule="auto"/>
              <w:jc w:val="center"/>
              <w:rPr>
                <w:rFonts w:ascii="Calibri" w:eastAsia="Times New Roman" w:hAnsi="Calibri" w:cs="Calibri"/>
                <w:b/>
                <w:bCs/>
                <w:color w:val="000000"/>
                <w:sz w:val="24"/>
                <w:szCs w:val="24"/>
                <w:lang w:eastAsia="en-AU"/>
              </w:rPr>
            </w:pPr>
            <w:r w:rsidRPr="008660D4">
              <w:rPr>
                <w:b/>
                <w:sz w:val="24"/>
                <w:szCs w:val="24"/>
              </w:rPr>
              <w:t xml:space="preserve">Current Australia Awards </w:t>
            </w:r>
            <w:r w:rsidR="00117246">
              <w:rPr>
                <w:b/>
                <w:sz w:val="24"/>
                <w:szCs w:val="24"/>
              </w:rPr>
              <w:t>s</w:t>
            </w:r>
            <w:r w:rsidRPr="008660D4">
              <w:rPr>
                <w:b/>
                <w:sz w:val="24"/>
                <w:szCs w:val="24"/>
              </w:rPr>
              <w:t>cholarships by region and tertiary institution</w:t>
            </w:r>
          </w:p>
        </w:tc>
      </w:tr>
      <w:tr w:rsidR="008660D4" w:rsidTr="00117246">
        <w:trPr>
          <w:trHeight w:val="699"/>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60D4" w:rsidRDefault="008660D4" w:rsidP="008660D4">
            <w:pPr>
              <w:spacing w:after="0" w:line="240" w:lineRule="auto"/>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University</w:t>
            </w:r>
          </w:p>
        </w:tc>
        <w:tc>
          <w:tcPr>
            <w:tcW w:w="873" w:type="dxa"/>
            <w:tcBorders>
              <w:top w:val="single" w:sz="4" w:space="0" w:color="auto"/>
              <w:left w:val="nil"/>
              <w:bottom w:val="single" w:sz="4" w:space="0" w:color="auto"/>
              <w:right w:val="single" w:sz="4" w:space="0" w:color="auto"/>
            </w:tcBorders>
            <w:shd w:val="clear" w:color="auto" w:fill="auto"/>
            <w:vAlign w:val="bottom"/>
          </w:tcPr>
          <w:p w:rsidR="008660D4" w:rsidRDefault="008660D4" w:rsidP="008660D4">
            <w:pPr>
              <w:spacing w:after="0" w:line="240" w:lineRule="auto"/>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South-East and East Asia</w:t>
            </w:r>
          </w:p>
        </w:tc>
        <w:tc>
          <w:tcPr>
            <w:tcW w:w="1016" w:type="dxa"/>
            <w:tcBorders>
              <w:top w:val="single" w:sz="4" w:space="0" w:color="auto"/>
              <w:left w:val="nil"/>
              <w:bottom w:val="single" w:sz="4" w:space="0" w:color="auto"/>
              <w:right w:val="single" w:sz="4" w:space="0" w:color="auto"/>
            </w:tcBorders>
            <w:shd w:val="clear" w:color="auto" w:fill="auto"/>
            <w:vAlign w:val="bottom"/>
          </w:tcPr>
          <w:p w:rsidR="008660D4" w:rsidRDefault="008660D4" w:rsidP="008660D4">
            <w:pPr>
              <w:spacing w:after="0" w:line="240" w:lineRule="auto"/>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North Africa &amp; the Middle East</w:t>
            </w:r>
          </w:p>
        </w:tc>
        <w:tc>
          <w:tcPr>
            <w:tcW w:w="1016" w:type="dxa"/>
            <w:tcBorders>
              <w:top w:val="single" w:sz="4" w:space="0" w:color="auto"/>
              <w:left w:val="nil"/>
              <w:bottom w:val="single" w:sz="4" w:space="0" w:color="auto"/>
              <w:right w:val="single" w:sz="4" w:space="0" w:color="auto"/>
            </w:tcBorders>
            <w:shd w:val="clear" w:color="auto" w:fill="auto"/>
            <w:vAlign w:val="bottom"/>
          </w:tcPr>
          <w:p w:rsidR="008660D4" w:rsidRDefault="008660D4" w:rsidP="008660D4">
            <w:pPr>
              <w:spacing w:after="0" w:line="240" w:lineRule="auto"/>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Pacific Island Countries</w:t>
            </w:r>
          </w:p>
        </w:tc>
        <w:tc>
          <w:tcPr>
            <w:tcW w:w="1016" w:type="dxa"/>
            <w:tcBorders>
              <w:top w:val="single" w:sz="4" w:space="0" w:color="auto"/>
              <w:left w:val="nil"/>
              <w:bottom w:val="single" w:sz="4" w:space="0" w:color="auto"/>
              <w:right w:val="single" w:sz="4" w:space="0" w:color="auto"/>
            </w:tcBorders>
            <w:shd w:val="clear" w:color="auto" w:fill="auto"/>
            <w:vAlign w:val="bottom"/>
          </w:tcPr>
          <w:p w:rsidR="008660D4" w:rsidRDefault="008660D4" w:rsidP="008660D4">
            <w:pPr>
              <w:spacing w:after="0" w:line="240" w:lineRule="auto"/>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Papua New Guinea</w:t>
            </w:r>
          </w:p>
        </w:tc>
        <w:tc>
          <w:tcPr>
            <w:tcW w:w="1016" w:type="dxa"/>
            <w:tcBorders>
              <w:top w:val="single" w:sz="4" w:space="0" w:color="auto"/>
              <w:left w:val="nil"/>
              <w:bottom w:val="single" w:sz="4" w:space="0" w:color="auto"/>
              <w:right w:val="single" w:sz="4" w:space="0" w:color="auto"/>
            </w:tcBorders>
            <w:shd w:val="clear" w:color="auto" w:fill="auto"/>
            <w:vAlign w:val="bottom"/>
          </w:tcPr>
          <w:p w:rsidR="008660D4" w:rsidRDefault="008660D4" w:rsidP="008660D4">
            <w:pPr>
              <w:spacing w:after="0" w:line="240" w:lineRule="auto"/>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South Asia</w:t>
            </w:r>
          </w:p>
        </w:tc>
        <w:tc>
          <w:tcPr>
            <w:tcW w:w="1016" w:type="dxa"/>
            <w:tcBorders>
              <w:top w:val="single" w:sz="4" w:space="0" w:color="auto"/>
              <w:left w:val="nil"/>
              <w:bottom w:val="single" w:sz="4" w:space="0" w:color="auto"/>
              <w:right w:val="single" w:sz="4" w:space="0" w:color="auto"/>
            </w:tcBorders>
            <w:shd w:val="clear" w:color="auto" w:fill="auto"/>
            <w:vAlign w:val="bottom"/>
          </w:tcPr>
          <w:p w:rsidR="008660D4" w:rsidRDefault="008660D4" w:rsidP="008660D4">
            <w:pPr>
              <w:spacing w:after="0" w:line="240" w:lineRule="auto"/>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Sub-Saharan Africa</w:t>
            </w:r>
          </w:p>
        </w:tc>
        <w:tc>
          <w:tcPr>
            <w:tcW w:w="992" w:type="dxa"/>
            <w:tcBorders>
              <w:top w:val="single" w:sz="4" w:space="0" w:color="auto"/>
              <w:left w:val="nil"/>
              <w:bottom w:val="single" w:sz="4" w:space="0" w:color="auto"/>
              <w:right w:val="single" w:sz="4" w:space="0" w:color="auto"/>
            </w:tcBorders>
            <w:shd w:val="clear" w:color="auto" w:fill="auto"/>
            <w:vAlign w:val="bottom"/>
          </w:tcPr>
          <w:p w:rsidR="008660D4" w:rsidRDefault="008660D4" w:rsidP="008660D4">
            <w:pPr>
              <w:spacing w:after="0" w:line="240" w:lineRule="auto"/>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Total</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Australian Catholic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7</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8</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Aviation Australia</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Bond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5</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12</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Canberra Institute of Technology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Carnegie Mellon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Central Queensland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5</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13</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Charles Darwin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6</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10</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Charles Sturt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6</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16</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Curtin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24</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29</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71</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Deakin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5</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6</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30</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Edith Cowan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9</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12</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Federation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Flinders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128</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15</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30</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28</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203</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Griffith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28</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26</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5</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65</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Holmesglen Institute of TAFE</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James Cook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8</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27</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9</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57</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La Trobe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5</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24</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Macquarie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19</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7</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9</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40</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Monash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108</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25</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6</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37</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12</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189</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Murdoch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20</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5</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19</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46</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Queensland University of Technology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18</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17</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54</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RMIT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47</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20</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19</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8</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95</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Southern Cross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8</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12</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Swinburne University of Technology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14</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22</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TAFE SA</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The Australian National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154</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30</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5</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16</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247</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The University of Adelaide</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90</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9</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6</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13</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8</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127</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The University of Melbourne</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215</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9</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82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30</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351</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The University of New England</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16</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8</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28</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The University of New South Wales (including ADFA)</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54</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17</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9</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13</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11</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104</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The University of Newcastle</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13</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5</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41</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The University of Queensland</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103</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33</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23</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51</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233</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The University of Sydney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76</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39</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8</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8</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156</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The University of Western Australia</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40</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6</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23</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81</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University of Canberra</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18</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8</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34</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University of South Australia</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18</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6</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6</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9</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42</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University of Southern Queensland</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10</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7</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22</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University of Tasmania</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7</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7</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17</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University of Technology Sydney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20</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8</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39</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University of The Sunshine Coast</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6</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8</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University of Wollongong</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7</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9</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5</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25</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Victoria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35</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17</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6</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63</w:t>
            </w:r>
          </w:p>
        </w:tc>
      </w:tr>
      <w:tr w:rsidR="008660D4" w:rsidTr="00117246">
        <w:trPr>
          <w:trHeight w:val="227"/>
        </w:trPr>
        <w:tc>
          <w:tcPr>
            <w:tcW w:w="2694" w:type="dxa"/>
            <w:tcBorders>
              <w:top w:val="nil"/>
              <w:left w:val="single" w:sz="4" w:space="0" w:color="auto"/>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Western Sydney University</w:t>
            </w:r>
          </w:p>
        </w:tc>
        <w:tc>
          <w:tcPr>
            <w:tcW w:w="873"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6</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5</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c>
          <w:tcPr>
            <w:tcW w:w="1016"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992" w:type="dxa"/>
            <w:tcBorders>
              <w:top w:val="nil"/>
              <w:left w:val="nil"/>
              <w:bottom w:val="single" w:sz="4" w:space="0" w:color="auto"/>
              <w:right w:val="single" w:sz="4" w:space="0" w:color="auto"/>
            </w:tcBorders>
            <w:noWrap/>
            <w:vAlign w:val="bottom"/>
            <w:hideMark/>
          </w:tcPr>
          <w:p w:rsidR="008660D4" w:rsidRDefault="008660D4" w:rsidP="008660D4">
            <w:pPr>
              <w:spacing w:before="0"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14</w:t>
            </w:r>
          </w:p>
        </w:tc>
      </w:tr>
      <w:tr w:rsidR="008660D4" w:rsidTr="00117246">
        <w:trPr>
          <w:trHeight w:val="227"/>
        </w:trPr>
        <w:tc>
          <w:tcPr>
            <w:tcW w:w="2694" w:type="dxa"/>
            <w:tcBorders>
              <w:top w:val="nil"/>
              <w:left w:val="single" w:sz="4" w:space="0" w:color="auto"/>
              <w:bottom w:val="single" w:sz="4" w:space="0" w:color="auto"/>
              <w:right w:val="single" w:sz="4" w:space="0" w:color="auto"/>
            </w:tcBorders>
            <w:shd w:val="clear" w:color="auto" w:fill="CDE2B9" w:themeFill="accent3" w:themeFillTint="99"/>
            <w:noWrap/>
            <w:vAlign w:val="bottom"/>
            <w:hideMark/>
          </w:tcPr>
          <w:p w:rsidR="008660D4" w:rsidRDefault="008660D4" w:rsidP="008660D4">
            <w:pPr>
              <w:spacing w:before="0" w:after="0" w:line="240" w:lineRule="auto"/>
              <w:jc w:val="right"/>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TOTAL</w:t>
            </w:r>
          </w:p>
        </w:tc>
        <w:tc>
          <w:tcPr>
            <w:tcW w:w="873" w:type="dxa"/>
            <w:tcBorders>
              <w:top w:val="nil"/>
              <w:left w:val="nil"/>
              <w:bottom w:val="single" w:sz="4" w:space="0" w:color="auto"/>
              <w:right w:val="single" w:sz="4" w:space="0" w:color="auto"/>
            </w:tcBorders>
            <w:shd w:val="clear" w:color="auto" w:fill="CDE2B9" w:themeFill="accent3" w:themeFillTint="99"/>
            <w:noWrap/>
            <w:vAlign w:val="bottom"/>
            <w:hideMark/>
          </w:tcPr>
          <w:p w:rsidR="008660D4" w:rsidRDefault="008660D4" w:rsidP="008660D4">
            <w:pPr>
              <w:spacing w:before="0" w:after="0" w:line="240" w:lineRule="auto"/>
              <w:jc w:val="right"/>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1351</w:t>
            </w:r>
          </w:p>
        </w:tc>
        <w:tc>
          <w:tcPr>
            <w:tcW w:w="1016" w:type="dxa"/>
            <w:tcBorders>
              <w:top w:val="nil"/>
              <w:left w:val="nil"/>
              <w:bottom w:val="single" w:sz="4" w:space="0" w:color="auto"/>
              <w:right w:val="single" w:sz="4" w:space="0" w:color="auto"/>
            </w:tcBorders>
            <w:shd w:val="clear" w:color="auto" w:fill="CDE2B9" w:themeFill="accent3" w:themeFillTint="99"/>
            <w:noWrap/>
            <w:vAlign w:val="bottom"/>
            <w:hideMark/>
          </w:tcPr>
          <w:p w:rsidR="008660D4" w:rsidRDefault="008660D4" w:rsidP="008660D4">
            <w:pPr>
              <w:spacing w:before="0" w:after="0" w:line="240" w:lineRule="auto"/>
              <w:jc w:val="right"/>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17</w:t>
            </w:r>
          </w:p>
        </w:tc>
        <w:tc>
          <w:tcPr>
            <w:tcW w:w="1016" w:type="dxa"/>
            <w:tcBorders>
              <w:top w:val="nil"/>
              <w:left w:val="nil"/>
              <w:bottom w:val="single" w:sz="4" w:space="0" w:color="auto"/>
              <w:right w:val="single" w:sz="4" w:space="0" w:color="auto"/>
            </w:tcBorders>
            <w:shd w:val="clear" w:color="auto" w:fill="CDE2B9" w:themeFill="accent3" w:themeFillTint="99"/>
            <w:noWrap/>
            <w:vAlign w:val="bottom"/>
            <w:hideMark/>
          </w:tcPr>
          <w:p w:rsidR="008660D4" w:rsidRDefault="008660D4" w:rsidP="008660D4">
            <w:pPr>
              <w:spacing w:before="0" w:after="0" w:line="240" w:lineRule="auto"/>
              <w:jc w:val="right"/>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368</w:t>
            </w:r>
          </w:p>
        </w:tc>
        <w:tc>
          <w:tcPr>
            <w:tcW w:w="1016" w:type="dxa"/>
            <w:tcBorders>
              <w:top w:val="nil"/>
              <w:left w:val="nil"/>
              <w:bottom w:val="single" w:sz="4" w:space="0" w:color="auto"/>
              <w:right w:val="single" w:sz="4" w:space="0" w:color="auto"/>
            </w:tcBorders>
            <w:shd w:val="clear" w:color="auto" w:fill="CDE2B9" w:themeFill="accent3" w:themeFillTint="99"/>
            <w:noWrap/>
            <w:vAlign w:val="bottom"/>
            <w:hideMark/>
          </w:tcPr>
          <w:p w:rsidR="008660D4" w:rsidRDefault="008660D4" w:rsidP="008660D4">
            <w:pPr>
              <w:spacing w:before="0" w:after="0" w:line="240" w:lineRule="auto"/>
              <w:jc w:val="right"/>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212</w:t>
            </w:r>
          </w:p>
        </w:tc>
        <w:tc>
          <w:tcPr>
            <w:tcW w:w="1016" w:type="dxa"/>
            <w:tcBorders>
              <w:top w:val="nil"/>
              <w:left w:val="nil"/>
              <w:bottom w:val="single" w:sz="4" w:space="0" w:color="auto"/>
              <w:right w:val="single" w:sz="4" w:space="0" w:color="auto"/>
            </w:tcBorders>
            <w:shd w:val="clear" w:color="auto" w:fill="CDE2B9" w:themeFill="accent3" w:themeFillTint="99"/>
            <w:noWrap/>
            <w:vAlign w:val="bottom"/>
            <w:hideMark/>
          </w:tcPr>
          <w:p w:rsidR="008660D4" w:rsidRDefault="008660D4" w:rsidP="008660D4">
            <w:pPr>
              <w:spacing w:before="0" w:after="0" w:line="240" w:lineRule="auto"/>
              <w:jc w:val="right"/>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364</w:t>
            </w:r>
          </w:p>
        </w:tc>
        <w:tc>
          <w:tcPr>
            <w:tcW w:w="1016" w:type="dxa"/>
            <w:tcBorders>
              <w:top w:val="nil"/>
              <w:left w:val="nil"/>
              <w:bottom w:val="single" w:sz="4" w:space="0" w:color="auto"/>
              <w:right w:val="single" w:sz="4" w:space="0" w:color="auto"/>
            </w:tcBorders>
            <w:shd w:val="clear" w:color="auto" w:fill="CDE2B9" w:themeFill="accent3" w:themeFillTint="99"/>
            <w:noWrap/>
            <w:vAlign w:val="bottom"/>
            <w:hideMark/>
          </w:tcPr>
          <w:p w:rsidR="008660D4" w:rsidRDefault="008660D4" w:rsidP="008660D4">
            <w:pPr>
              <w:spacing w:before="0" w:after="0" w:line="240" w:lineRule="auto"/>
              <w:jc w:val="right"/>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309</w:t>
            </w:r>
          </w:p>
        </w:tc>
        <w:tc>
          <w:tcPr>
            <w:tcW w:w="992" w:type="dxa"/>
            <w:tcBorders>
              <w:top w:val="nil"/>
              <w:left w:val="nil"/>
              <w:bottom w:val="single" w:sz="4" w:space="0" w:color="auto"/>
              <w:right w:val="single" w:sz="4" w:space="0" w:color="auto"/>
            </w:tcBorders>
            <w:shd w:val="clear" w:color="auto" w:fill="CDE2B9" w:themeFill="accent3" w:themeFillTint="99"/>
            <w:noWrap/>
            <w:vAlign w:val="bottom"/>
            <w:hideMark/>
          </w:tcPr>
          <w:p w:rsidR="008660D4" w:rsidRDefault="008660D4" w:rsidP="008660D4">
            <w:pPr>
              <w:spacing w:before="0" w:after="0" w:line="240" w:lineRule="auto"/>
              <w:jc w:val="right"/>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2621</w:t>
            </w:r>
          </w:p>
        </w:tc>
      </w:tr>
    </w:tbl>
    <w:p w:rsidR="00FB3BC3" w:rsidRDefault="00FB3BC3" w:rsidP="00FB3BC3">
      <w:pPr>
        <w:rPr>
          <w:rFonts w:asciiTheme="majorHAnsi" w:eastAsiaTheme="majorEastAsia" w:hAnsiTheme="majorHAnsi" w:cstheme="majorHAnsi"/>
          <w:bCs/>
          <w:iCs/>
          <w:caps/>
          <w:spacing w:val="-10"/>
          <w:kern w:val="28"/>
          <w:sz w:val="38"/>
          <w:szCs w:val="24"/>
        </w:rPr>
      </w:pPr>
      <w:r>
        <w:rPr>
          <w:sz w:val="20"/>
          <w:szCs w:val="20"/>
        </w:rPr>
        <w:t>Source: OASIS, as at 7 August 2019</w:t>
      </w:r>
      <w:r>
        <w:rPr>
          <w:rFonts w:asciiTheme="majorHAnsi" w:eastAsiaTheme="majorEastAsia" w:hAnsiTheme="majorHAnsi" w:cstheme="majorHAnsi"/>
          <w:bCs/>
          <w:iCs/>
          <w:caps/>
          <w:spacing w:val="-10"/>
          <w:kern w:val="28"/>
          <w:sz w:val="38"/>
          <w:szCs w:val="24"/>
        </w:rPr>
        <w:br w:type="page"/>
      </w:r>
    </w:p>
    <w:p w:rsidR="00CA7DD8" w:rsidRDefault="00F755F4" w:rsidP="00D367B6">
      <w:pPr>
        <w:keepNext/>
        <w:tabs>
          <w:tab w:val="left" w:pos="1560"/>
        </w:tabs>
        <w:spacing w:before="360" w:after="120" w:line="300" w:lineRule="exact"/>
        <w:outlineLvl w:val="1"/>
        <w:rPr>
          <w:rFonts w:asciiTheme="majorHAnsi" w:eastAsiaTheme="majorEastAsia" w:hAnsiTheme="majorHAnsi" w:cstheme="majorHAnsi"/>
          <w:bCs/>
          <w:iCs/>
          <w:caps/>
          <w:spacing w:val="-10"/>
          <w:kern w:val="28"/>
          <w:sz w:val="38"/>
          <w:szCs w:val="24"/>
        </w:rPr>
      </w:pPr>
      <w:r w:rsidRPr="00F755F4">
        <w:rPr>
          <w:rFonts w:asciiTheme="majorHAnsi" w:eastAsiaTheme="majorEastAsia" w:hAnsiTheme="majorHAnsi" w:cstheme="majorHAnsi"/>
          <w:bCs/>
          <w:iCs/>
          <w:caps/>
          <w:spacing w:val="-10"/>
          <w:kern w:val="28"/>
          <w:sz w:val="38"/>
          <w:szCs w:val="24"/>
        </w:rPr>
        <w:t xml:space="preserve">Annex </w:t>
      </w:r>
      <w:r w:rsidR="00797D10">
        <w:rPr>
          <w:rFonts w:asciiTheme="majorHAnsi" w:eastAsiaTheme="majorEastAsia" w:hAnsiTheme="majorHAnsi" w:cstheme="majorHAnsi"/>
          <w:bCs/>
          <w:iCs/>
          <w:caps/>
          <w:spacing w:val="-10"/>
          <w:kern w:val="28"/>
          <w:sz w:val="38"/>
          <w:szCs w:val="24"/>
        </w:rPr>
        <w:t>G</w:t>
      </w:r>
      <w:r w:rsidRPr="00D367B6">
        <w:rPr>
          <w:rFonts w:asciiTheme="majorHAnsi" w:eastAsiaTheme="majorEastAsia" w:hAnsiTheme="majorHAnsi" w:cstheme="majorHAnsi"/>
          <w:bCs/>
          <w:iCs/>
          <w:caps/>
          <w:spacing w:val="-10"/>
          <w:kern w:val="28"/>
          <w:sz w:val="38"/>
          <w:szCs w:val="24"/>
        </w:rPr>
        <w:t xml:space="preserve"> – Data Sources</w:t>
      </w:r>
    </w:p>
    <w:p w:rsidR="00595EA7" w:rsidRPr="00797D10" w:rsidRDefault="00797D10" w:rsidP="00797D10">
      <w:pPr>
        <w:spacing w:before="240" w:after="240"/>
        <w:rPr>
          <w:i/>
        </w:rPr>
      </w:pPr>
      <w:r w:rsidRPr="00797D10">
        <w:rPr>
          <w:i/>
        </w:rPr>
        <w:t>Acknowledgement: this report was prepared with input from Helen McDermott, Onpoint 365</w:t>
      </w:r>
    </w:p>
    <w:p w:rsidR="00051CA4" w:rsidRDefault="00051CA4" w:rsidP="00051CA4">
      <w:r>
        <w:t>The main data (2017-18 financial year) sources used in this APPR are:</w:t>
      </w:r>
    </w:p>
    <w:p w:rsidR="00051CA4" w:rsidRDefault="00051CA4" w:rsidP="00051CA4">
      <w:r>
        <w:t xml:space="preserve">Information Brief: Australia Awards: 2017-18 – A regularly updated statistical profile on the Australia Awards data. The current profile is available at: </w:t>
      </w:r>
      <w:hyperlink r:id="rId41" w:history="1">
        <w:r w:rsidRPr="00AC04F2">
          <w:rPr>
            <w:rStyle w:val="Hyperlink"/>
            <w:rFonts w:cstheme="minorBidi"/>
          </w:rPr>
          <w:t>https://dfat.gov.au/about-us/publications/Pages/australia-awards-statistical-profile.aspx</w:t>
        </w:r>
      </w:hyperlink>
    </w:p>
    <w:p w:rsidR="00051CA4" w:rsidRDefault="00051CA4" w:rsidP="00051CA4">
      <w:r w:rsidRPr="003D59E3">
        <w:rPr>
          <w:u w:val="single"/>
        </w:rPr>
        <w:t>Online Australia Awards Scholarships Information System (OASIS)</w:t>
      </w:r>
      <w:r>
        <w:t xml:space="preserve"> – </w:t>
      </w:r>
      <w:r w:rsidRPr="003D59E3">
        <w:t>DFAT’s</w:t>
      </w:r>
      <w:r>
        <w:t xml:space="preserve"> </w:t>
      </w:r>
      <w:r w:rsidRPr="003D59E3">
        <w:t>internet-based</w:t>
      </w:r>
      <w:r>
        <w:t xml:space="preserve"> data management system. OASIS</w:t>
      </w:r>
      <w:r w:rsidRPr="003D59E3">
        <w:t xml:space="preserve"> enables DFAT, managing contractors and institutions to access a centralised database to electronically enter and store data, process </w:t>
      </w:r>
      <w:r>
        <w:t xml:space="preserve">applications and manage the Australia Awards Scholarships. </w:t>
      </w:r>
    </w:p>
    <w:p w:rsidR="00051CA4" w:rsidRPr="00124EBE" w:rsidRDefault="00051CA4" w:rsidP="00051CA4">
      <w:r>
        <w:rPr>
          <w:u w:val="single"/>
        </w:rPr>
        <w:t>On-award s</w:t>
      </w:r>
      <w:r w:rsidRPr="003D59E3">
        <w:rPr>
          <w:u w:val="single"/>
        </w:rPr>
        <w:t>urv</w:t>
      </w:r>
      <w:r>
        <w:rPr>
          <w:u w:val="single"/>
        </w:rPr>
        <w:t xml:space="preserve">eys of </w:t>
      </w:r>
      <w:r w:rsidRPr="003D59E3">
        <w:rPr>
          <w:u w:val="single"/>
        </w:rPr>
        <w:t xml:space="preserve">Australia Awards scholarship </w:t>
      </w:r>
      <w:r>
        <w:t xml:space="preserve">– Funded by DFAT, these comprise annual surveys of new starters (one for Semester One and one for Semester Two, known as the </w:t>
      </w:r>
      <w:r w:rsidRPr="00784BA0">
        <w:rPr>
          <w:i/>
        </w:rPr>
        <w:t>Arrival Surveys</w:t>
      </w:r>
      <w:r>
        <w:rPr>
          <w:rStyle w:val="FootnoteReference"/>
          <w:i/>
        </w:rPr>
        <w:footnoteReference w:id="15"/>
      </w:r>
      <w:r>
        <w:t xml:space="preserve">) and an annual survey of students who have completed at </w:t>
      </w:r>
      <w:r w:rsidRPr="00124EBE">
        <w:t xml:space="preserve">least one semester of study (known as the </w:t>
      </w:r>
      <w:r w:rsidRPr="00124EBE">
        <w:rPr>
          <w:i/>
        </w:rPr>
        <w:t>Ongoing Survey</w:t>
      </w:r>
      <w:r w:rsidRPr="00124EBE">
        <w:rPr>
          <w:rStyle w:val="FootnoteReference"/>
          <w:i/>
        </w:rPr>
        <w:footnoteReference w:id="16"/>
      </w:r>
      <w:r w:rsidRPr="00124EBE">
        <w:t>). This Performance Report draws on findings from the 201</w:t>
      </w:r>
      <w:r>
        <w:t>7</w:t>
      </w:r>
      <w:r w:rsidRPr="00124EBE">
        <w:t xml:space="preserve"> survey.</w:t>
      </w:r>
      <w:r>
        <w:t xml:space="preserve"> The two Arrival Surveys were conducted in May/June 2017 for semester one (a 94 per cent response rate) and in September 2017 for semester two (a 91 per cent response rate). The Ongoing Survey was conducted in September 2017 (a 79 per cent response rate).</w:t>
      </w:r>
    </w:p>
    <w:p w:rsidR="00051CA4" w:rsidRDefault="00051CA4" w:rsidP="00051CA4">
      <w:r w:rsidRPr="00124EBE">
        <w:rPr>
          <w:u w:val="single"/>
        </w:rPr>
        <w:t>The Australia Awards Global Tracer Facility</w:t>
      </w:r>
      <w:r>
        <w:t xml:space="preserve"> (the Global Tracer Facility) – Funded by DFAT, the Facility </w:t>
      </w:r>
      <w:r w:rsidRPr="00124EBE">
        <w:t xml:space="preserve">assesses the development contributions and public and economic diplomacy outcomes of Australia’s investment in the Australia Awards.  The key research and reporting activities being undertaken are a Tracer Survey and qualitative Case Studies, which are prepared concurrently throughout the four years of the project. </w:t>
      </w:r>
    </w:p>
    <w:p w:rsidR="00051CA4" w:rsidRDefault="00051CA4" w:rsidP="00051CA4">
      <w:r w:rsidRPr="00124EBE">
        <w:t>This Performance Report draws on findings from the second Tracer Survey by the Facility</w:t>
      </w:r>
      <w:r>
        <w:t xml:space="preserve"> and the second</w:t>
      </w:r>
      <w:r w:rsidR="00734D26">
        <w:t>-</w:t>
      </w:r>
      <w:r>
        <w:t>year alumni case studies conducted in China, Indonesia, Mongolia, Solomon Islands and Vanuatu</w:t>
      </w:r>
      <w:r w:rsidRPr="00124EBE">
        <w:t>. This second Tracer Survey involved the engagement of 1,072 alumni from the 1996 to 2005 cohort from 36 countries</w:t>
      </w:r>
      <w:r w:rsidRPr="00124EBE">
        <w:rPr>
          <w:rStyle w:val="FootnoteReference"/>
        </w:rPr>
        <w:footnoteReference w:id="17"/>
      </w:r>
      <w:r w:rsidRPr="00124EBE">
        <w:t>.</w:t>
      </w:r>
    </w:p>
    <w:p w:rsidR="00051CA4" w:rsidRDefault="00051CA4" w:rsidP="00051CA4">
      <w:r w:rsidRPr="00784BA0">
        <w:rPr>
          <w:u w:val="single"/>
        </w:rPr>
        <w:t xml:space="preserve">Aid Quality Checks </w:t>
      </w:r>
      <w:r>
        <w:rPr>
          <w:u w:val="single"/>
        </w:rPr>
        <w:t>(AQCs)</w:t>
      </w:r>
      <w:r>
        <w:t xml:space="preserve"> – </w:t>
      </w:r>
      <w:r w:rsidRPr="00784BA0">
        <w:t>Data</w:t>
      </w:r>
      <w:r>
        <w:t xml:space="preserve"> </w:t>
      </w:r>
      <w:r w:rsidRPr="00784BA0">
        <w:t>from AQCs are used to report to the public and Government on the performance of the aid program.</w:t>
      </w:r>
      <w:r>
        <w:t xml:space="preserve"> </w:t>
      </w:r>
      <w:r w:rsidRPr="00784BA0">
        <w:t>AQC reporting is mandatory for all aid investme</w:t>
      </w:r>
      <w:r>
        <w:t>nts valued $3 million and above</w:t>
      </w:r>
      <w:r w:rsidR="00143940">
        <w:t xml:space="preserve"> (see Annex C for list of ACQs)</w:t>
      </w:r>
      <w:r w:rsidRPr="00784BA0">
        <w:t xml:space="preserve">. </w:t>
      </w:r>
    </w:p>
    <w:p w:rsidR="00051CA4" w:rsidRDefault="00051CA4" w:rsidP="00051CA4">
      <w:r>
        <w:rPr>
          <w:u w:val="single"/>
        </w:rPr>
        <w:t xml:space="preserve">Global/Country/Regional Program </w:t>
      </w:r>
      <w:r w:rsidRPr="00784BA0">
        <w:rPr>
          <w:u w:val="single"/>
        </w:rPr>
        <w:t>Monitor</w:t>
      </w:r>
      <w:r>
        <w:rPr>
          <w:u w:val="single"/>
        </w:rPr>
        <w:t>ing and Evaluation (M&amp;E)</w:t>
      </w:r>
      <w:r>
        <w:t xml:space="preserve"> documents are prepared by some but not all Australia Awards investments. </w:t>
      </w:r>
    </w:p>
    <w:p w:rsidR="00F755F4" w:rsidRPr="00D367B6" w:rsidRDefault="00F755F4" w:rsidP="00D367B6">
      <w:pPr>
        <w:keepNext/>
        <w:tabs>
          <w:tab w:val="left" w:pos="1560"/>
        </w:tabs>
        <w:spacing w:before="360" w:after="120" w:line="300" w:lineRule="exact"/>
        <w:outlineLvl w:val="1"/>
        <w:rPr>
          <w:rFonts w:asciiTheme="majorHAnsi" w:eastAsiaTheme="majorEastAsia" w:hAnsiTheme="majorHAnsi" w:cstheme="majorHAnsi"/>
          <w:bCs/>
          <w:iCs/>
          <w:caps/>
          <w:spacing w:val="-10"/>
          <w:kern w:val="28"/>
          <w:sz w:val="38"/>
          <w:szCs w:val="24"/>
        </w:rPr>
      </w:pPr>
    </w:p>
    <w:sectPr w:rsidR="00F755F4" w:rsidRPr="00D367B6" w:rsidSect="00CA7DD8">
      <w:headerReference w:type="default" r:id="rId42"/>
      <w:pgSz w:w="11906" w:h="16838" w:code="9"/>
      <w:pgMar w:top="1527" w:right="1134" w:bottom="851" w:left="1134" w:header="1418" w:footer="26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A55" w:rsidRDefault="004D4A55" w:rsidP="00EF4574">
      <w:pPr>
        <w:spacing w:before="0" w:after="0" w:line="240" w:lineRule="auto"/>
      </w:pPr>
      <w:r>
        <w:separator/>
      </w:r>
    </w:p>
  </w:endnote>
  <w:endnote w:type="continuationSeparator" w:id="0">
    <w:p w:rsidR="004D4A55" w:rsidRDefault="004D4A55" w:rsidP="00EF45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C63" w:rsidRDefault="00CB3C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454074"/>
      <w:docPartObj>
        <w:docPartGallery w:val="Page Numbers (Bottom of Page)"/>
        <w:docPartUnique/>
      </w:docPartObj>
    </w:sdtPr>
    <w:sdtEndPr>
      <w:rPr>
        <w:noProof/>
      </w:rPr>
    </w:sdtEndPr>
    <w:sdtContent>
      <w:p w:rsidR="004D4A55" w:rsidRDefault="004D4A55">
        <w:pPr>
          <w:pStyle w:val="Footer"/>
        </w:pPr>
        <w:r>
          <w:fldChar w:fldCharType="begin"/>
        </w:r>
        <w:r>
          <w:instrText xml:space="preserve"> PAGE   \* MERGEFORMAT </w:instrText>
        </w:r>
        <w:r>
          <w:fldChar w:fldCharType="separate"/>
        </w:r>
        <w:r w:rsidR="00CB3C63">
          <w:rPr>
            <w:noProof/>
          </w:rPr>
          <w:t>4</w:t>
        </w:r>
        <w:r>
          <w:rPr>
            <w:noProof/>
          </w:rPr>
          <w:fldChar w:fldCharType="end"/>
        </w:r>
      </w:p>
    </w:sdtContent>
  </w:sdt>
  <w:p w:rsidR="004D4A55" w:rsidRDefault="004D4A55" w:rsidP="00422EB3">
    <w:pPr>
      <w:pStyle w:val="Footer"/>
      <w:tabs>
        <w:tab w:val="left" w:pos="7860"/>
      </w:tabs>
      <w:jc w:val="left"/>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C63" w:rsidRDefault="00CB3C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A55" w:rsidRPr="00CD0E4B" w:rsidRDefault="004D4A55" w:rsidP="00784031">
    <w:pPr>
      <w:pStyle w:val="Footer"/>
    </w:pPr>
    <w:r w:rsidRPr="00CD0E4B">
      <w:rPr>
        <w:noProof/>
        <w:lang w:val="en-AU" w:eastAsia="en-AU"/>
      </w:rPr>
      <w:drawing>
        <wp:inline distT="0" distB="0" distL="0" distR="0" wp14:anchorId="6E4796BC" wp14:editId="4B6E9F8F">
          <wp:extent cx="90000" cy="74520"/>
          <wp:effectExtent l="0" t="0" r="571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itter-icon.png"/>
                  <pic:cNvPicPr/>
                </pic:nvPicPr>
                <pic:blipFill>
                  <a:blip r:embed="rId1">
                    <a:extLst>
                      <a:ext uri="{28A0092B-C50C-407E-A947-70E740481C1C}">
                        <a14:useLocalDpi xmlns:a14="http://schemas.microsoft.com/office/drawing/2010/main" val="0"/>
                      </a:ext>
                    </a:extLst>
                  </a:blip>
                  <a:stretch>
                    <a:fillRect/>
                  </a:stretch>
                </pic:blipFill>
                <pic:spPr>
                  <a:xfrm>
                    <a:off x="0" y="0"/>
                    <a:ext cx="90000" cy="74520"/>
                  </a:xfrm>
                  <a:prstGeom prst="rect">
                    <a:avLst/>
                  </a:prstGeom>
                </pic:spPr>
              </pic:pic>
            </a:graphicData>
          </a:graphic>
        </wp:inline>
      </w:drawing>
    </w:r>
    <w:r w:rsidRPr="00CD0E4B">
      <w:t>@DFAT</w:t>
    </w:r>
  </w:p>
  <w:p w:rsidR="004D4A55" w:rsidRPr="00CD0E4B" w:rsidRDefault="004D4A55" w:rsidP="00784031">
    <w:pPr>
      <w:pStyle w:val="Footer"/>
      <w:rPr>
        <w:color w:val="ACD08C" w:themeColor="accent3"/>
      </w:rPr>
    </w:pPr>
    <w:r w:rsidRPr="00CD0E4B">
      <w:rPr>
        <w:color w:val="ACD08C" w:themeColor="accent3"/>
      </w:rPr>
      <w:t>DFAT.GOV.AU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A55" w:rsidRPr="008C5A0E" w:rsidRDefault="004D4A55" w:rsidP="001D663E">
      <w:pPr>
        <w:pStyle w:val="Footer"/>
        <w:pBdr>
          <w:top w:val="single" w:sz="4" w:space="1" w:color="495965" w:themeColor="text2"/>
        </w:pBdr>
      </w:pPr>
    </w:p>
  </w:footnote>
  <w:footnote w:type="continuationSeparator" w:id="0">
    <w:p w:rsidR="004D4A55" w:rsidRDefault="004D4A55" w:rsidP="00EF4574">
      <w:pPr>
        <w:spacing w:before="0" w:after="0" w:line="240" w:lineRule="auto"/>
      </w:pPr>
      <w:r>
        <w:continuationSeparator/>
      </w:r>
    </w:p>
  </w:footnote>
  <w:footnote w:id="1">
    <w:p w:rsidR="004D4A55" w:rsidRPr="00FA2FA9" w:rsidRDefault="004D4A55" w:rsidP="00561887">
      <w:pPr>
        <w:pStyle w:val="FootnoteText"/>
        <w:rPr>
          <w:color w:val="auto"/>
          <w:lang w:val="en-AU"/>
        </w:rPr>
      </w:pPr>
      <w:r w:rsidRPr="00FA2FA9">
        <w:rPr>
          <w:rStyle w:val="FootnoteReference"/>
          <w:color w:val="auto"/>
        </w:rPr>
        <w:footnoteRef/>
      </w:r>
      <w:r w:rsidRPr="00FA2FA9">
        <w:rPr>
          <w:color w:val="auto"/>
        </w:rPr>
        <w:t xml:space="preserve"> 2018 Australia Awards Scholarship Surveys </w:t>
      </w:r>
      <w:r w:rsidRPr="00FA2FA9">
        <w:rPr>
          <w:i/>
          <w:iCs/>
          <w:color w:val="auto"/>
        </w:rPr>
        <w:t>2018</w:t>
      </w:r>
      <w:r w:rsidRPr="00FA2FA9">
        <w:rPr>
          <w:color w:val="auto"/>
        </w:rPr>
        <w:t xml:space="preserve"> Executive Summary Report p11.</w:t>
      </w:r>
    </w:p>
  </w:footnote>
  <w:footnote w:id="2">
    <w:p w:rsidR="004D4A55" w:rsidRPr="00720D96" w:rsidRDefault="004D4A55" w:rsidP="00561887">
      <w:pPr>
        <w:pStyle w:val="FootnoteText"/>
        <w:rPr>
          <w:lang w:val="en-AU"/>
        </w:rPr>
      </w:pPr>
      <w:r w:rsidRPr="00FA2FA9">
        <w:rPr>
          <w:rStyle w:val="FootnoteReference"/>
          <w:color w:val="auto"/>
        </w:rPr>
        <w:footnoteRef/>
      </w:r>
      <w:r w:rsidRPr="00FA2FA9">
        <w:rPr>
          <w:color w:val="auto"/>
        </w:rPr>
        <w:t xml:space="preserve"> 2019 Global Tracer Facility Survey Report Alumni of 2011-2016</w:t>
      </w:r>
    </w:p>
  </w:footnote>
  <w:footnote w:id="3">
    <w:p w:rsidR="004D4A55" w:rsidRPr="002630E5" w:rsidRDefault="004D4A55">
      <w:pPr>
        <w:pStyle w:val="FootnoteText"/>
        <w:rPr>
          <w:lang w:val="en-AU"/>
        </w:rPr>
      </w:pPr>
      <w:r>
        <w:rPr>
          <w:rStyle w:val="FootnoteReference"/>
        </w:rPr>
        <w:footnoteRef/>
      </w:r>
      <w:r>
        <w:t xml:space="preserve"> The </w:t>
      </w:r>
      <w:hyperlink r:id="rId1" w:history="1">
        <w:r w:rsidRPr="008B4F47">
          <w:rPr>
            <w:rStyle w:val="Hyperlink"/>
            <w:rFonts w:cstheme="minorBidi"/>
            <w:i/>
          </w:rPr>
          <w:t>Australia Global Alumni Engagement Strategy 2016-2020</w:t>
        </w:r>
      </w:hyperlink>
      <w:r>
        <w:t xml:space="preserve"> aims to grow a global alumni community that actively engages and promotes Australia and advances national interests. A summary report highlights available data and profiles of Australia’s alumni. The documents are available at: </w:t>
      </w:r>
      <w:r w:rsidRPr="008B4F47">
        <w:t>https://dfat.gov.au/about-us/publications/Pages/australia-global-alumni-engagement-strategy-2016-2020.aspx</w:t>
      </w:r>
    </w:p>
  </w:footnote>
  <w:footnote w:id="4">
    <w:p w:rsidR="004D4A55" w:rsidRPr="002630E5" w:rsidRDefault="004D4A55">
      <w:pPr>
        <w:pStyle w:val="FootnoteText"/>
        <w:rPr>
          <w:lang w:val="en-AU"/>
        </w:rPr>
      </w:pPr>
      <w:r>
        <w:rPr>
          <w:rStyle w:val="FootnoteReference"/>
        </w:rPr>
        <w:footnoteRef/>
      </w:r>
      <w:r>
        <w:t xml:space="preserve"> There are five principles: Principle 1: Alignment with Australia’s development, economic and public diplomacy priorities; </w:t>
      </w:r>
      <w:r w:rsidRPr="00B11C3C">
        <w:t>Principle 2: Equity of access</w:t>
      </w:r>
      <w:r>
        <w:t xml:space="preserve">; </w:t>
      </w:r>
      <w:r w:rsidRPr="00B11C3C">
        <w:t>Principle 3: Merit-based selection</w:t>
      </w:r>
      <w:r>
        <w:t xml:space="preserve">; Principle 4: Value for money and evidence-based decision making; </w:t>
      </w:r>
      <w:r w:rsidRPr="00B11C3C">
        <w:t>Principle 5: Promote the Australia Awards</w:t>
      </w:r>
    </w:p>
  </w:footnote>
  <w:footnote w:id="5">
    <w:p w:rsidR="004D4A55" w:rsidRPr="002630E5" w:rsidRDefault="004D4A55">
      <w:pPr>
        <w:pStyle w:val="FootnoteText"/>
        <w:rPr>
          <w:lang w:val="en-AU"/>
        </w:rPr>
      </w:pPr>
      <w:r>
        <w:rPr>
          <w:rStyle w:val="FootnoteReference"/>
        </w:rPr>
        <w:footnoteRef/>
      </w:r>
      <w:r>
        <w:t xml:space="preserve"> </w:t>
      </w:r>
      <w:r w:rsidRPr="00BE2DF3">
        <w:rPr>
          <w:i/>
          <w:lang w:val="en-AU"/>
        </w:rPr>
        <w:t xml:space="preserve">A description of data sources is included in Annex </w:t>
      </w:r>
      <w:r>
        <w:rPr>
          <w:i/>
          <w:lang w:val="en-AU"/>
        </w:rPr>
        <w:t>E</w:t>
      </w:r>
    </w:p>
  </w:footnote>
  <w:footnote w:id="6">
    <w:p w:rsidR="004D4A55" w:rsidRPr="00721181" w:rsidRDefault="004D4A55">
      <w:pPr>
        <w:pStyle w:val="FootnoteText"/>
        <w:rPr>
          <w:lang w:val="en-AU"/>
        </w:rPr>
      </w:pPr>
      <w:r>
        <w:rPr>
          <w:rStyle w:val="FootnoteReference"/>
        </w:rPr>
        <w:footnoteRef/>
      </w:r>
      <w:r>
        <w:t xml:space="preserve"> </w:t>
      </w:r>
      <w:r w:rsidRPr="00BE2DF3">
        <w:rPr>
          <w:i/>
        </w:rPr>
        <w:t xml:space="preserve">The current profile is available at: </w:t>
      </w:r>
      <w:hyperlink r:id="rId2" w:history="1">
        <w:r w:rsidRPr="00BE2DF3">
          <w:rPr>
            <w:rStyle w:val="Hyperlink"/>
            <w:rFonts w:cstheme="minorBidi"/>
            <w:i/>
          </w:rPr>
          <w:t>https://dfat.gov.au/about-us/publications/Pages/australia-awards-statistical-profile.aspx</w:t>
        </w:r>
      </w:hyperlink>
    </w:p>
  </w:footnote>
  <w:footnote w:id="7">
    <w:p w:rsidR="004D4A55" w:rsidRPr="006A6A72" w:rsidRDefault="004D4A55">
      <w:pPr>
        <w:pStyle w:val="FootnoteText"/>
        <w:rPr>
          <w:lang w:val="en-AU"/>
        </w:rPr>
      </w:pPr>
      <w:r>
        <w:rPr>
          <w:rStyle w:val="FootnoteReference"/>
        </w:rPr>
        <w:footnoteRef/>
      </w:r>
      <w:r>
        <w:t xml:space="preserve"> </w:t>
      </w:r>
      <w:r>
        <w:rPr>
          <w:lang w:val="en-AU"/>
        </w:rPr>
        <w:t>A full list of the AQCs is included in Annex C.</w:t>
      </w:r>
    </w:p>
  </w:footnote>
  <w:footnote w:id="8">
    <w:p w:rsidR="004D4A55" w:rsidRPr="00143940" w:rsidRDefault="004D4A55">
      <w:pPr>
        <w:pStyle w:val="FootnoteText"/>
        <w:rPr>
          <w:lang w:val="en-AU"/>
        </w:rPr>
      </w:pPr>
      <w:r>
        <w:rPr>
          <w:rStyle w:val="FootnoteReference"/>
        </w:rPr>
        <w:footnoteRef/>
      </w:r>
      <w:r>
        <w:t xml:space="preserve"> </w:t>
      </w:r>
      <w:r>
        <w:rPr>
          <w:lang w:val="en-AU"/>
        </w:rPr>
        <w:t>Monitoring and Evaluation (M&amp;E) documents are prepared by some but not all Australia Awards investments.</w:t>
      </w:r>
    </w:p>
  </w:footnote>
  <w:footnote w:id="9">
    <w:p w:rsidR="004D4A55" w:rsidRPr="001D7FF9" w:rsidRDefault="004D4A55" w:rsidP="00E25CE5">
      <w:pPr>
        <w:pStyle w:val="FootnoteText"/>
        <w:rPr>
          <w:lang w:val="en-AU"/>
        </w:rPr>
      </w:pPr>
      <w:r>
        <w:rPr>
          <w:rStyle w:val="FootnoteReference"/>
        </w:rPr>
        <w:footnoteRef/>
      </w:r>
      <w:r>
        <w:t xml:space="preserve"> </w:t>
      </w:r>
      <w:r>
        <w:rPr>
          <w:lang w:val="en-AU"/>
        </w:rPr>
        <w:t xml:space="preserve"> Note that the expenditure and number of scholarships offered data should not be conflated, as the expenditure includes expenses from scholarships granted in previous years, not just those offered in 2018-19. </w:t>
      </w:r>
    </w:p>
  </w:footnote>
  <w:footnote w:id="10">
    <w:p w:rsidR="004D4A55" w:rsidRPr="00381D74" w:rsidRDefault="004D4A55" w:rsidP="00EF212E">
      <w:pPr>
        <w:pStyle w:val="FootnoteText"/>
        <w:rPr>
          <w:lang w:val="en-AU"/>
        </w:rPr>
      </w:pPr>
      <w:r>
        <w:rPr>
          <w:rStyle w:val="FootnoteReference"/>
        </w:rPr>
        <w:footnoteRef/>
      </w:r>
      <w:r>
        <w:t xml:space="preserve"> Year 3 surveyed alumni who completed their studies between </w:t>
      </w:r>
      <w:r>
        <w:rPr>
          <w:lang w:val="en-AU"/>
        </w:rPr>
        <w:t>2011 and 2016</w:t>
      </w:r>
    </w:p>
  </w:footnote>
  <w:footnote w:id="11">
    <w:p w:rsidR="004D4A55" w:rsidRPr="00DC06B6" w:rsidRDefault="004D4A55">
      <w:pPr>
        <w:pStyle w:val="FootnoteText"/>
        <w:rPr>
          <w:lang w:val="en-AU"/>
        </w:rPr>
      </w:pPr>
      <w:r>
        <w:rPr>
          <w:rStyle w:val="FootnoteReference"/>
        </w:rPr>
        <w:footnoteRef/>
      </w:r>
      <w:r>
        <w:t xml:space="preserve"> </w:t>
      </w:r>
      <w:hyperlink r:id="rId3" w:history="1">
        <w:r w:rsidRPr="00562AEF">
          <w:rPr>
            <w:rStyle w:val="Hyperlink"/>
            <w:rFonts w:cstheme="minorBidi"/>
          </w:rPr>
          <w:t>https://globalalumni.gov.au/Australia-Awards/Alumni-Stories/Details/ArticleId/3155</w:t>
        </w:r>
      </w:hyperlink>
      <w:r>
        <w:t xml:space="preserve"> </w:t>
      </w:r>
    </w:p>
  </w:footnote>
  <w:footnote w:id="12">
    <w:p w:rsidR="004D4A55" w:rsidRPr="00381D74" w:rsidRDefault="004D4A55" w:rsidP="00294F96">
      <w:pPr>
        <w:pStyle w:val="FootnoteText"/>
        <w:rPr>
          <w:lang w:val="en-AU"/>
        </w:rPr>
      </w:pPr>
      <w:r>
        <w:rPr>
          <w:rStyle w:val="FootnoteReference"/>
        </w:rPr>
        <w:footnoteRef/>
      </w:r>
      <w:r>
        <w:t xml:space="preserve"> Year 3 surveyed alumni who completed their studies between </w:t>
      </w:r>
      <w:r>
        <w:rPr>
          <w:lang w:val="en-AU"/>
        </w:rPr>
        <w:t>2011 and 2016</w:t>
      </w:r>
    </w:p>
  </w:footnote>
  <w:footnote w:id="13">
    <w:p w:rsidR="004D4A55" w:rsidRPr="00143940" w:rsidRDefault="004D4A55">
      <w:pPr>
        <w:pStyle w:val="FootnoteText"/>
        <w:rPr>
          <w:lang w:val="en-AU"/>
        </w:rPr>
      </w:pPr>
      <w:r>
        <w:rPr>
          <w:rStyle w:val="FootnoteReference"/>
        </w:rPr>
        <w:footnoteRef/>
      </w:r>
      <w:r>
        <w:t xml:space="preserve"> Year 3 surveyed alumni who completed their studies between </w:t>
      </w:r>
      <w:r>
        <w:rPr>
          <w:lang w:val="en-AU"/>
        </w:rPr>
        <w:t>2011 and 2016</w:t>
      </w:r>
    </w:p>
  </w:footnote>
  <w:footnote w:id="14">
    <w:p w:rsidR="004D4A55" w:rsidRPr="00EA57B0" w:rsidRDefault="004D4A55">
      <w:pPr>
        <w:pStyle w:val="FootnoteText"/>
        <w:rPr>
          <w:lang w:val="en-AU"/>
        </w:rPr>
      </w:pPr>
      <w:r>
        <w:rPr>
          <w:rStyle w:val="FootnoteReference"/>
        </w:rPr>
        <w:footnoteRef/>
      </w:r>
      <w:r>
        <w:t xml:space="preserve"> </w:t>
      </w:r>
      <w:r>
        <w:rPr>
          <w:lang w:val="en-AU"/>
        </w:rPr>
        <w:t>Pakistan Factsheet Australia Awards in 2018, October 2018</w:t>
      </w:r>
    </w:p>
  </w:footnote>
  <w:footnote w:id="15">
    <w:p w:rsidR="004D4A55" w:rsidRPr="00784BA0" w:rsidRDefault="004D4A55" w:rsidP="00051CA4">
      <w:pPr>
        <w:pStyle w:val="FootnoteText"/>
        <w:spacing w:before="0" w:line="240" w:lineRule="auto"/>
        <w:rPr>
          <w:lang w:val="en-AU"/>
        </w:rPr>
      </w:pPr>
      <w:r>
        <w:rPr>
          <w:rStyle w:val="FootnoteReference"/>
        </w:rPr>
        <w:footnoteRef/>
      </w:r>
      <w:r>
        <w:t xml:space="preserve"> </w:t>
      </w:r>
      <w:r w:rsidRPr="00784BA0">
        <w:t>The two Arrival Surveys are aimed at gathering information on: the application process for an Australia Awards; pre-departure preparation; experience on arrival and living experiences so far; initial thoughts on study programs, institution services and facilities; and satisfaction with the scholarship entitlements received so far.</w:t>
      </w:r>
    </w:p>
  </w:footnote>
  <w:footnote w:id="16">
    <w:p w:rsidR="004D4A55" w:rsidRPr="00784BA0" w:rsidRDefault="004D4A55" w:rsidP="00051CA4">
      <w:pPr>
        <w:pStyle w:val="FootnoteText"/>
        <w:spacing w:before="0" w:line="240" w:lineRule="auto"/>
        <w:rPr>
          <w:lang w:val="en-AU"/>
        </w:rPr>
      </w:pPr>
      <w:r>
        <w:rPr>
          <w:rStyle w:val="FootnoteReference"/>
        </w:rPr>
        <w:footnoteRef/>
      </w:r>
      <w:r>
        <w:t xml:space="preserve"> </w:t>
      </w:r>
      <w:r w:rsidRPr="00784BA0">
        <w:t>The Ongoing Survey is aimed at gathering information on: living and studying experiences; assessments of facilities and services at Australian academic institutions; entitlements and assistance provided by the Australia Awards; and arrangements for returning home.</w:t>
      </w:r>
    </w:p>
  </w:footnote>
  <w:footnote w:id="17">
    <w:p w:rsidR="004D4A55" w:rsidRDefault="004D4A55" w:rsidP="00051CA4">
      <w:pPr>
        <w:pStyle w:val="FootnoteText"/>
        <w:spacing w:before="0" w:line="240" w:lineRule="auto"/>
      </w:pPr>
      <w:r>
        <w:rPr>
          <w:rStyle w:val="FootnoteReference"/>
        </w:rPr>
        <w:footnoteRef/>
      </w:r>
      <w:r>
        <w:t xml:space="preserve"> </w:t>
      </w:r>
      <w:r w:rsidRPr="000A5658">
        <w:t>This involved 1,072 alumni from 36 different countries who completed scholarships as part of the Australia Awards or predecessor scholarship programs between 1996 and 2005 (a 23 per cent response rate). Of the online respondents, 522 participated in the telephone follow-up interview.</w:t>
      </w:r>
    </w:p>
    <w:p w:rsidR="004D4A55" w:rsidRDefault="004D4A55" w:rsidP="00051CA4">
      <w:pPr>
        <w:pStyle w:val="FootnoteText"/>
        <w:spacing w:before="0" w:line="240" w:lineRule="auto"/>
      </w:pPr>
    </w:p>
    <w:p w:rsidR="004D4A55" w:rsidRDefault="004D4A55" w:rsidP="00051CA4">
      <w:pPr>
        <w:pStyle w:val="FootnoteText"/>
        <w:spacing w:before="0" w:line="240" w:lineRule="auto"/>
      </w:pPr>
    </w:p>
    <w:p w:rsidR="004D4A55" w:rsidRDefault="004D4A55" w:rsidP="00051CA4">
      <w:pPr>
        <w:pStyle w:val="FootnoteText"/>
        <w:spacing w:before="0" w:line="240" w:lineRule="auto"/>
      </w:pPr>
    </w:p>
    <w:p w:rsidR="004D4A55" w:rsidRPr="000A5658" w:rsidRDefault="004D4A55" w:rsidP="00051CA4">
      <w:pPr>
        <w:pStyle w:val="FootnoteText"/>
        <w:spacing w:before="0" w:line="240" w:lineRule="auto"/>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C63" w:rsidRDefault="00CB3C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A55" w:rsidRPr="00333501" w:rsidRDefault="004D4A55" w:rsidP="008F56A8">
    <w:pPr>
      <w:pStyle w:val="Header"/>
      <w:jc w:val="left"/>
    </w:pPr>
    <w:r>
      <w:rPr>
        <w:noProof/>
        <w:lang w:val="en-AU" w:eastAsia="en-AU"/>
      </w:rPr>
      <w:drawing>
        <wp:anchor distT="0" distB="0" distL="114300" distR="114300" simplePos="0" relativeHeight="251654656" behindDoc="1" locked="1" layoutInCell="1" allowOverlap="1" wp14:anchorId="0A23B59C" wp14:editId="16FADCB8">
          <wp:simplePos x="0" y="0"/>
          <wp:positionH relativeFrom="page">
            <wp:posOffset>7620</wp:posOffset>
          </wp:positionH>
          <wp:positionV relativeFrom="page">
            <wp:posOffset>55880</wp:posOffset>
          </wp:positionV>
          <wp:extent cx="7545705" cy="10702290"/>
          <wp:effectExtent l="0" t="0" r="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0702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C63" w:rsidRDefault="00CB3C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A55" w:rsidRDefault="004D4A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A55" w:rsidRPr="00333501" w:rsidRDefault="004D4A55" w:rsidP="008F56A8">
    <w:pPr>
      <w:pStyle w:val="Header"/>
      <w:jc w:val="left"/>
    </w:pPr>
    <w:r>
      <w:rPr>
        <w:noProof/>
        <w:lang w:val="en-AU" w:eastAsia="en-AU"/>
      </w:rPr>
      <w:drawing>
        <wp:anchor distT="0" distB="0" distL="114300" distR="114300" simplePos="0" relativeHeight="251656704" behindDoc="1" locked="1" layoutInCell="1" allowOverlap="1" wp14:anchorId="30F2376A" wp14:editId="5744BCAA">
          <wp:simplePos x="0" y="0"/>
          <wp:positionH relativeFrom="page">
            <wp:align>right</wp:align>
          </wp:positionH>
          <wp:positionV relativeFrom="page">
            <wp:align>top</wp:align>
          </wp:positionV>
          <wp:extent cx="10662285" cy="7402830"/>
          <wp:effectExtent l="0" t="0" r="5715" b="762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62285" cy="7402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A55" w:rsidRPr="003D352D" w:rsidRDefault="004D4A55" w:rsidP="003D352D">
    <w:pPr>
      <w:pStyle w:val="Header"/>
      <w:jc w:val="left"/>
    </w:pPr>
    <w:r>
      <w:rPr>
        <w:noProof/>
        <w:lang w:val="en-AU" w:eastAsia="en-AU"/>
      </w:rPr>
      <w:drawing>
        <wp:anchor distT="0" distB="0" distL="114300" distR="114300" simplePos="0" relativeHeight="251655680" behindDoc="1" locked="1" layoutInCell="1" allowOverlap="1" wp14:anchorId="0306B9D3" wp14:editId="341394FE">
          <wp:simplePos x="0" y="0"/>
          <wp:positionH relativeFrom="page">
            <wp:posOffset>7620</wp:posOffset>
          </wp:positionH>
          <wp:positionV relativeFrom="page">
            <wp:posOffset>7620</wp:posOffset>
          </wp:positionV>
          <wp:extent cx="10662285" cy="7545705"/>
          <wp:effectExtent l="0" t="0" r="571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62285"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A55" w:rsidRPr="00333501" w:rsidRDefault="004D4A55" w:rsidP="008F56A8">
    <w:pPr>
      <w:pStyle w:val="Header"/>
      <w:jc w:val="left"/>
    </w:pPr>
    <w:r>
      <w:rPr>
        <w:noProof/>
        <w:lang w:val="en-AU" w:eastAsia="en-AU"/>
      </w:rPr>
      <w:drawing>
        <wp:anchor distT="0" distB="0" distL="114300" distR="114300" simplePos="0" relativeHeight="251657728" behindDoc="1" locked="1" layoutInCell="1" allowOverlap="1" wp14:anchorId="6DEC1520" wp14:editId="14F36736">
          <wp:simplePos x="0" y="0"/>
          <wp:positionH relativeFrom="page">
            <wp:align>left</wp:align>
          </wp:positionH>
          <wp:positionV relativeFrom="page">
            <wp:align>bottom</wp:align>
          </wp:positionV>
          <wp:extent cx="7559040" cy="10629900"/>
          <wp:effectExtent l="0" t="0" r="381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59040" cy="10629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A55" w:rsidRPr="00333501" w:rsidRDefault="004D4A55" w:rsidP="008F56A8">
    <w:pPr>
      <w:pStyle w:val="Header"/>
      <w:jc w:val="left"/>
    </w:pPr>
    <w:r>
      <w:rPr>
        <w:noProof/>
        <w:lang w:val="en-AU" w:eastAsia="en-AU"/>
      </w:rPr>
      <w:drawing>
        <wp:anchor distT="0" distB="0" distL="114300" distR="114300" simplePos="0" relativeHeight="251658752" behindDoc="1" locked="1" layoutInCell="1" allowOverlap="1" wp14:anchorId="0F8C8752" wp14:editId="1D301CA6">
          <wp:simplePos x="0" y="0"/>
          <wp:positionH relativeFrom="page">
            <wp:align>right</wp:align>
          </wp:positionH>
          <wp:positionV relativeFrom="page">
            <wp:align>top</wp:align>
          </wp:positionV>
          <wp:extent cx="10607040" cy="7496175"/>
          <wp:effectExtent l="0" t="0" r="3810" b="9525"/>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07040" cy="7496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A55" w:rsidRPr="00333501" w:rsidRDefault="004D4A55" w:rsidP="008F56A8">
    <w:pPr>
      <w:pStyle w:val="Header"/>
      <w:jc w:val="left"/>
    </w:pPr>
    <w:r>
      <w:rPr>
        <w:noProof/>
        <w:lang w:val="en-AU" w:eastAsia="en-AU"/>
      </w:rPr>
      <w:drawing>
        <wp:anchor distT="0" distB="0" distL="114300" distR="114300" simplePos="0" relativeHeight="251659776" behindDoc="1" locked="1" layoutInCell="1" allowOverlap="1" wp14:anchorId="77C4A295" wp14:editId="4D9E20C5">
          <wp:simplePos x="0" y="0"/>
          <wp:positionH relativeFrom="page">
            <wp:align>right</wp:align>
          </wp:positionH>
          <wp:positionV relativeFrom="page">
            <wp:align>top</wp:align>
          </wp:positionV>
          <wp:extent cx="7534275" cy="10677525"/>
          <wp:effectExtent l="0" t="0" r="9525" b="9525"/>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34275"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1A0A38D0"/>
    <w:multiLevelType w:val="multilevel"/>
    <w:tmpl w:val="836C3676"/>
    <w:lvl w:ilvl="0">
      <w:start w:val="1"/>
      <w:numFmt w:val="bullet"/>
      <w:lvlText w:val=""/>
      <w:lvlJc w:val="left"/>
      <w:pPr>
        <w:ind w:left="170" w:hanging="170"/>
      </w:pPr>
      <w:rPr>
        <w:rFonts w:ascii="Symbol" w:hAnsi="Symbol" w:hint="default"/>
      </w:rPr>
    </w:lvl>
    <w:lvl w:ilvl="1">
      <w:start w:val="1"/>
      <w:numFmt w:val="bullet"/>
      <w:lvlText w:val="–"/>
      <w:lvlJc w:val="left"/>
      <w:pPr>
        <w:ind w:left="340" w:hanging="170"/>
      </w:pPr>
      <w:rPr>
        <w:rFonts w:ascii="Arial" w:hAnsi="Arial" w:hint="default"/>
      </w:rPr>
    </w:lvl>
    <w:lvl w:ilvl="2">
      <w:start w:val="1"/>
      <w:numFmt w:val="decimal"/>
      <w:lvlText w:val="%3."/>
      <w:lvlJc w:val="left"/>
      <w:pPr>
        <w:ind w:left="510" w:hanging="170"/>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241B62B1"/>
    <w:multiLevelType w:val="hybridMultilevel"/>
    <w:tmpl w:val="EAC05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6" w15:restartNumberingAfterBreak="0">
    <w:nsid w:val="46CD579B"/>
    <w:multiLevelType w:val="hybridMultilevel"/>
    <w:tmpl w:val="A5308B10"/>
    <w:lvl w:ilvl="0" w:tplc="35321CFE">
      <w:start w:val="1"/>
      <w:numFmt w:val="bullet"/>
      <w:pStyle w:val="Box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306630"/>
    <w:multiLevelType w:val="hybridMultilevel"/>
    <w:tmpl w:val="91306F54"/>
    <w:lvl w:ilvl="0" w:tplc="3008F04E">
      <w:start w:val="1"/>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4632F0"/>
    <w:multiLevelType w:val="hybridMultilevel"/>
    <w:tmpl w:val="AF78FD3A"/>
    <w:lvl w:ilvl="0" w:tplc="D812EC3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0" w15:restartNumberingAfterBreak="0">
    <w:nsid w:val="5D3C1EA7"/>
    <w:multiLevelType w:val="multilevel"/>
    <w:tmpl w:val="43428892"/>
    <w:numStyleLink w:val="BulletsList"/>
  </w:abstractNum>
  <w:abstractNum w:abstractNumId="11"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2" w15:restartNumberingAfterBreak="0">
    <w:nsid w:val="61D205B8"/>
    <w:multiLevelType w:val="hybridMultilevel"/>
    <w:tmpl w:val="0E228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75627660"/>
    <w:multiLevelType w:val="hybridMultilevel"/>
    <w:tmpl w:val="129A02DE"/>
    <w:lvl w:ilvl="0" w:tplc="B1C8E216">
      <w:start w:val="2"/>
      <w:numFmt w:val="bullet"/>
      <w:lvlText w:val="-"/>
      <w:lvlJc w:val="left"/>
      <w:pPr>
        <w:ind w:left="720" w:hanging="360"/>
      </w:pPr>
      <w:rPr>
        <w:rFonts w:ascii="Calibri Light" w:eastAsiaTheme="minorHAnsi"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4"/>
  </w:num>
  <w:num w:numId="4">
    <w:abstractNumId w:val="9"/>
  </w:num>
  <w:num w:numId="5">
    <w:abstractNumId w:val="11"/>
  </w:num>
  <w:num w:numId="6">
    <w:abstractNumId w:val="4"/>
  </w:num>
  <w:num w:numId="7">
    <w:abstractNumId w:val="10"/>
  </w:num>
  <w:num w:numId="8">
    <w:abstractNumId w:val="0"/>
  </w:num>
  <w:num w:numId="9">
    <w:abstractNumId w:val="6"/>
  </w:num>
  <w:num w:numId="10">
    <w:abstractNumId w:val="1"/>
  </w:num>
  <w:num w:numId="11">
    <w:abstractNumId w:val="8"/>
  </w:num>
  <w:num w:numId="12">
    <w:abstractNumId w:val="2"/>
  </w:num>
  <w:num w:numId="13">
    <w:abstractNumId w:val="7"/>
  </w:num>
  <w:num w:numId="14">
    <w:abstractNumId w:val="12"/>
  </w:num>
  <w:num w:numId="15">
    <w:abstractNumId w:val="3"/>
  </w:num>
  <w:num w:numId="16">
    <w:abstractNumId w:val="14"/>
  </w:num>
  <w:num w:numId="17">
    <w:abstractNumId w:val="5"/>
  </w:num>
  <w:num w:numId="1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1DA8"/>
    <w:rsid w:val="000039C9"/>
    <w:rsid w:val="00005C31"/>
    <w:rsid w:val="00011B76"/>
    <w:rsid w:val="00013045"/>
    <w:rsid w:val="00015316"/>
    <w:rsid w:val="000200EF"/>
    <w:rsid w:val="000201A7"/>
    <w:rsid w:val="0002080A"/>
    <w:rsid w:val="000255E0"/>
    <w:rsid w:val="0002782F"/>
    <w:rsid w:val="00027F29"/>
    <w:rsid w:val="00031512"/>
    <w:rsid w:val="0003193F"/>
    <w:rsid w:val="00031CEE"/>
    <w:rsid w:val="00033AB7"/>
    <w:rsid w:val="000423C6"/>
    <w:rsid w:val="000426A2"/>
    <w:rsid w:val="00047FFB"/>
    <w:rsid w:val="00051CA4"/>
    <w:rsid w:val="0005277E"/>
    <w:rsid w:val="00054E4D"/>
    <w:rsid w:val="00055688"/>
    <w:rsid w:val="0005599A"/>
    <w:rsid w:val="00060073"/>
    <w:rsid w:val="00060268"/>
    <w:rsid w:val="00063AEA"/>
    <w:rsid w:val="00063EF2"/>
    <w:rsid w:val="00067788"/>
    <w:rsid w:val="000705A3"/>
    <w:rsid w:val="00070CA4"/>
    <w:rsid w:val="0007191B"/>
    <w:rsid w:val="00074C94"/>
    <w:rsid w:val="00077721"/>
    <w:rsid w:val="00080AFA"/>
    <w:rsid w:val="00084483"/>
    <w:rsid w:val="00091476"/>
    <w:rsid w:val="00092FDA"/>
    <w:rsid w:val="00093D2C"/>
    <w:rsid w:val="000A2601"/>
    <w:rsid w:val="000A2A5D"/>
    <w:rsid w:val="000A53A5"/>
    <w:rsid w:val="000A61B7"/>
    <w:rsid w:val="000A67F4"/>
    <w:rsid w:val="000A6C92"/>
    <w:rsid w:val="000A706B"/>
    <w:rsid w:val="000A7C96"/>
    <w:rsid w:val="000B213F"/>
    <w:rsid w:val="000B3F55"/>
    <w:rsid w:val="000C442D"/>
    <w:rsid w:val="000C6DAD"/>
    <w:rsid w:val="000C780B"/>
    <w:rsid w:val="000C7AFC"/>
    <w:rsid w:val="000D2350"/>
    <w:rsid w:val="000D3548"/>
    <w:rsid w:val="000D66D6"/>
    <w:rsid w:val="000D6F04"/>
    <w:rsid w:val="000E314A"/>
    <w:rsid w:val="000E6615"/>
    <w:rsid w:val="000F7B13"/>
    <w:rsid w:val="00104B68"/>
    <w:rsid w:val="00106504"/>
    <w:rsid w:val="00107BCB"/>
    <w:rsid w:val="001103E6"/>
    <w:rsid w:val="00114ACB"/>
    <w:rsid w:val="00116640"/>
    <w:rsid w:val="00117246"/>
    <w:rsid w:val="001216E1"/>
    <w:rsid w:val="00124EDD"/>
    <w:rsid w:val="0013290D"/>
    <w:rsid w:val="001348A7"/>
    <w:rsid w:val="00137BB4"/>
    <w:rsid w:val="001408AD"/>
    <w:rsid w:val="001417AA"/>
    <w:rsid w:val="00143940"/>
    <w:rsid w:val="001440AE"/>
    <w:rsid w:val="00150E32"/>
    <w:rsid w:val="001537ED"/>
    <w:rsid w:val="00153A6A"/>
    <w:rsid w:val="001541EA"/>
    <w:rsid w:val="00162218"/>
    <w:rsid w:val="00165F0E"/>
    <w:rsid w:val="00166962"/>
    <w:rsid w:val="001704B2"/>
    <w:rsid w:val="00174896"/>
    <w:rsid w:val="001748A3"/>
    <w:rsid w:val="00174B8C"/>
    <w:rsid w:val="00184818"/>
    <w:rsid w:val="00186EA3"/>
    <w:rsid w:val="00193488"/>
    <w:rsid w:val="00194F20"/>
    <w:rsid w:val="001953DD"/>
    <w:rsid w:val="00197A65"/>
    <w:rsid w:val="001A5E3D"/>
    <w:rsid w:val="001A77BB"/>
    <w:rsid w:val="001B00CD"/>
    <w:rsid w:val="001B3C09"/>
    <w:rsid w:val="001B5019"/>
    <w:rsid w:val="001C64C1"/>
    <w:rsid w:val="001D0B77"/>
    <w:rsid w:val="001D663E"/>
    <w:rsid w:val="001D671B"/>
    <w:rsid w:val="001D744B"/>
    <w:rsid w:val="001D7FF9"/>
    <w:rsid w:val="001E1C06"/>
    <w:rsid w:val="001E1DC0"/>
    <w:rsid w:val="001F15F5"/>
    <w:rsid w:val="0020363F"/>
    <w:rsid w:val="00206142"/>
    <w:rsid w:val="00216CE0"/>
    <w:rsid w:val="002203D1"/>
    <w:rsid w:val="00227A95"/>
    <w:rsid w:val="00227DB2"/>
    <w:rsid w:val="002309D8"/>
    <w:rsid w:val="00236A53"/>
    <w:rsid w:val="0024530A"/>
    <w:rsid w:val="00245DE8"/>
    <w:rsid w:val="00257BB4"/>
    <w:rsid w:val="00262523"/>
    <w:rsid w:val="002630E5"/>
    <w:rsid w:val="00265AC3"/>
    <w:rsid w:val="002671B3"/>
    <w:rsid w:val="002673C4"/>
    <w:rsid w:val="002700F3"/>
    <w:rsid w:val="00275DB7"/>
    <w:rsid w:val="0027602A"/>
    <w:rsid w:val="0028332C"/>
    <w:rsid w:val="00284957"/>
    <w:rsid w:val="0028602A"/>
    <w:rsid w:val="00287BD6"/>
    <w:rsid w:val="0029487A"/>
    <w:rsid w:val="00294F96"/>
    <w:rsid w:val="00295BEE"/>
    <w:rsid w:val="002965C5"/>
    <w:rsid w:val="0029660E"/>
    <w:rsid w:val="002A1A7F"/>
    <w:rsid w:val="002A51CA"/>
    <w:rsid w:val="002A6AC8"/>
    <w:rsid w:val="002A73BB"/>
    <w:rsid w:val="002B399C"/>
    <w:rsid w:val="002B3E95"/>
    <w:rsid w:val="002B4DE1"/>
    <w:rsid w:val="002B55F4"/>
    <w:rsid w:val="002B5E10"/>
    <w:rsid w:val="002C1825"/>
    <w:rsid w:val="002C3AD3"/>
    <w:rsid w:val="002C77B8"/>
    <w:rsid w:val="002D2B16"/>
    <w:rsid w:val="002D37BC"/>
    <w:rsid w:val="002D73D9"/>
    <w:rsid w:val="002E4967"/>
    <w:rsid w:val="002E5FFE"/>
    <w:rsid w:val="002E77E9"/>
    <w:rsid w:val="002F43F6"/>
    <w:rsid w:val="002F6B63"/>
    <w:rsid w:val="003002C0"/>
    <w:rsid w:val="003005CF"/>
    <w:rsid w:val="00301144"/>
    <w:rsid w:val="0030662C"/>
    <w:rsid w:val="00313511"/>
    <w:rsid w:val="003148B7"/>
    <w:rsid w:val="003158C3"/>
    <w:rsid w:val="00315E63"/>
    <w:rsid w:val="00317EA4"/>
    <w:rsid w:val="00320251"/>
    <w:rsid w:val="00321DEB"/>
    <w:rsid w:val="00324651"/>
    <w:rsid w:val="00325375"/>
    <w:rsid w:val="003274CD"/>
    <w:rsid w:val="00327EF2"/>
    <w:rsid w:val="00332EC9"/>
    <w:rsid w:val="00333501"/>
    <w:rsid w:val="003405FC"/>
    <w:rsid w:val="003457C4"/>
    <w:rsid w:val="0035119D"/>
    <w:rsid w:val="00352D5C"/>
    <w:rsid w:val="00355959"/>
    <w:rsid w:val="003677EF"/>
    <w:rsid w:val="003734F6"/>
    <w:rsid w:val="00373837"/>
    <w:rsid w:val="0037385E"/>
    <w:rsid w:val="00381D74"/>
    <w:rsid w:val="00385DFD"/>
    <w:rsid w:val="00386348"/>
    <w:rsid w:val="00392D16"/>
    <w:rsid w:val="003A04B9"/>
    <w:rsid w:val="003A3956"/>
    <w:rsid w:val="003A44F8"/>
    <w:rsid w:val="003A5FE3"/>
    <w:rsid w:val="003B4F12"/>
    <w:rsid w:val="003D28AC"/>
    <w:rsid w:val="003D352D"/>
    <w:rsid w:val="003E2BE7"/>
    <w:rsid w:val="003E3E04"/>
    <w:rsid w:val="003F30BA"/>
    <w:rsid w:val="00400B0F"/>
    <w:rsid w:val="00402ACC"/>
    <w:rsid w:val="00404B24"/>
    <w:rsid w:val="00411C21"/>
    <w:rsid w:val="004120EC"/>
    <w:rsid w:val="004140FD"/>
    <w:rsid w:val="00415AEF"/>
    <w:rsid w:val="00416D77"/>
    <w:rsid w:val="00422EB3"/>
    <w:rsid w:val="00423F31"/>
    <w:rsid w:val="00431899"/>
    <w:rsid w:val="00431E2C"/>
    <w:rsid w:val="004340BF"/>
    <w:rsid w:val="0043564E"/>
    <w:rsid w:val="00444876"/>
    <w:rsid w:val="00444D57"/>
    <w:rsid w:val="00446914"/>
    <w:rsid w:val="00446C52"/>
    <w:rsid w:val="00451E8A"/>
    <w:rsid w:val="004525CA"/>
    <w:rsid w:val="0045310E"/>
    <w:rsid w:val="00460F1E"/>
    <w:rsid w:val="00466841"/>
    <w:rsid w:val="00467DFC"/>
    <w:rsid w:val="00471172"/>
    <w:rsid w:val="0047369D"/>
    <w:rsid w:val="00475EE4"/>
    <w:rsid w:val="00485203"/>
    <w:rsid w:val="00486804"/>
    <w:rsid w:val="0049079B"/>
    <w:rsid w:val="00492CEA"/>
    <w:rsid w:val="00494609"/>
    <w:rsid w:val="004977A1"/>
    <w:rsid w:val="004A2BD2"/>
    <w:rsid w:val="004A49AE"/>
    <w:rsid w:val="004B0E64"/>
    <w:rsid w:val="004B3775"/>
    <w:rsid w:val="004C111D"/>
    <w:rsid w:val="004C2464"/>
    <w:rsid w:val="004C3677"/>
    <w:rsid w:val="004C5533"/>
    <w:rsid w:val="004C68CC"/>
    <w:rsid w:val="004C6FD0"/>
    <w:rsid w:val="004D0BA0"/>
    <w:rsid w:val="004D43F3"/>
    <w:rsid w:val="004D4A55"/>
    <w:rsid w:val="004E0264"/>
    <w:rsid w:val="004E058F"/>
    <w:rsid w:val="004E3B87"/>
    <w:rsid w:val="004E4C52"/>
    <w:rsid w:val="004E51D4"/>
    <w:rsid w:val="004F3BAB"/>
    <w:rsid w:val="004F437F"/>
    <w:rsid w:val="004F5833"/>
    <w:rsid w:val="004F7208"/>
    <w:rsid w:val="00501979"/>
    <w:rsid w:val="00506864"/>
    <w:rsid w:val="005071C8"/>
    <w:rsid w:val="00510921"/>
    <w:rsid w:val="00510AD3"/>
    <w:rsid w:val="00510FAB"/>
    <w:rsid w:val="00513348"/>
    <w:rsid w:val="00523160"/>
    <w:rsid w:val="00523206"/>
    <w:rsid w:val="00523398"/>
    <w:rsid w:val="00525AB6"/>
    <w:rsid w:val="00526A3C"/>
    <w:rsid w:val="00527DDE"/>
    <w:rsid w:val="0053287B"/>
    <w:rsid w:val="00533B5D"/>
    <w:rsid w:val="00537F20"/>
    <w:rsid w:val="0054587D"/>
    <w:rsid w:val="005511BF"/>
    <w:rsid w:val="00561887"/>
    <w:rsid w:val="00565939"/>
    <w:rsid w:val="005771E1"/>
    <w:rsid w:val="0057782A"/>
    <w:rsid w:val="00583D1D"/>
    <w:rsid w:val="005906A0"/>
    <w:rsid w:val="0059146A"/>
    <w:rsid w:val="0059150F"/>
    <w:rsid w:val="00592C5E"/>
    <w:rsid w:val="00595EA7"/>
    <w:rsid w:val="005A0FAE"/>
    <w:rsid w:val="005A37B5"/>
    <w:rsid w:val="005B13E8"/>
    <w:rsid w:val="005B2C18"/>
    <w:rsid w:val="005B4A2C"/>
    <w:rsid w:val="005B5769"/>
    <w:rsid w:val="005B5CE7"/>
    <w:rsid w:val="005C64B2"/>
    <w:rsid w:val="005D3655"/>
    <w:rsid w:val="005D68FE"/>
    <w:rsid w:val="005E0A54"/>
    <w:rsid w:val="005E606B"/>
    <w:rsid w:val="005E6559"/>
    <w:rsid w:val="005E7ECB"/>
    <w:rsid w:val="005F44CE"/>
    <w:rsid w:val="00600479"/>
    <w:rsid w:val="00600692"/>
    <w:rsid w:val="00604CBD"/>
    <w:rsid w:val="00606915"/>
    <w:rsid w:val="00615669"/>
    <w:rsid w:val="0062080C"/>
    <w:rsid w:val="00623283"/>
    <w:rsid w:val="00623BA1"/>
    <w:rsid w:val="00630B13"/>
    <w:rsid w:val="00632CB1"/>
    <w:rsid w:val="006344C3"/>
    <w:rsid w:val="006346BC"/>
    <w:rsid w:val="00635CA9"/>
    <w:rsid w:val="006405B0"/>
    <w:rsid w:val="006418CC"/>
    <w:rsid w:val="00641C20"/>
    <w:rsid w:val="00651188"/>
    <w:rsid w:val="00653C2C"/>
    <w:rsid w:val="00653F54"/>
    <w:rsid w:val="00654EE6"/>
    <w:rsid w:val="00657AEE"/>
    <w:rsid w:val="006629E3"/>
    <w:rsid w:val="00662EBE"/>
    <w:rsid w:val="0066652A"/>
    <w:rsid w:val="006751FB"/>
    <w:rsid w:val="006766C2"/>
    <w:rsid w:val="00676972"/>
    <w:rsid w:val="00680522"/>
    <w:rsid w:val="006807A2"/>
    <w:rsid w:val="00681F08"/>
    <w:rsid w:val="00682167"/>
    <w:rsid w:val="00682F1E"/>
    <w:rsid w:val="00684752"/>
    <w:rsid w:val="006926A1"/>
    <w:rsid w:val="00694160"/>
    <w:rsid w:val="006963A9"/>
    <w:rsid w:val="006A1B91"/>
    <w:rsid w:val="006A26D3"/>
    <w:rsid w:val="006A4FD5"/>
    <w:rsid w:val="006A5F02"/>
    <w:rsid w:val="006A6A72"/>
    <w:rsid w:val="006B1FA4"/>
    <w:rsid w:val="006B2F36"/>
    <w:rsid w:val="006B6C19"/>
    <w:rsid w:val="006C34D2"/>
    <w:rsid w:val="006C42AF"/>
    <w:rsid w:val="006C4F09"/>
    <w:rsid w:val="006C73B7"/>
    <w:rsid w:val="006C7AF6"/>
    <w:rsid w:val="006D1F5F"/>
    <w:rsid w:val="006D796A"/>
    <w:rsid w:val="006E5BAA"/>
    <w:rsid w:val="006F27B1"/>
    <w:rsid w:val="006F6E0E"/>
    <w:rsid w:val="00702B24"/>
    <w:rsid w:val="007033BD"/>
    <w:rsid w:val="00707082"/>
    <w:rsid w:val="00711D8E"/>
    <w:rsid w:val="00712672"/>
    <w:rsid w:val="00713EE1"/>
    <w:rsid w:val="00716950"/>
    <w:rsid w:val="00720D96"/>
    <w:rsid w:val="00721181"/>
    <w:rsid w:val="0072170F"/>
    <w:rsid w:val="007249CE"/>
    <w:rsid w:val="00734D26"/>
    <w:rsid w:val="00734E3F"/>
    <w:rsid w:val="00736985"/>
    <w:rsid w:val="0073744E"/>
    <w:rsid w:val="0073786E"/>
    <w:rsid w:val="007413E6"/>
    <w:rsid w:val="00741D5F"/>
    <w:rsid w:val="00745DF5"/>
    <w:rsid w:val="00756E5D"/>
    <w:rsid w:val="00757277"/>
    <w:rsid w:val="0076066C"/>
    <w:rsid w:val="00760C59"/>
    <w:rsid w:val="0076250F"/>
    <w:rsid w:val="00771304"/>
    <w:rsid w:val="00771B53"/>
    <w:rsid w:val="00774117"/>
    <w:rsid w:val="00784031"/>
    <w:rsid w:val="007925A6"/>
    <w:rsid w:val="00797D10"/>
    <w:rsid w:val="007A0B75"/>
    <w:rsid w:val="007A75C5"/>
    <w:rsid w:val="007B1C82"/>
    <w:rsid w:val="007B4865"/>
    <w:rsid w:val="007B6200"/>
    <w:rsid w:val="007B7226"/>
    <w:rsid w:val="007C1F06"/>
    <w:rsid w:val="007C2540"/>
    <w:rsid w:val="007C7418"/>
    <w:rsid w:val="007D0299"/>
    <w:rsid w:val="007D2E25"/>
    <w:rsid w:val="007D543E"/>
    <w:rsid w:val="007E1B9D"/>
    <w:rsid w:val="007E40EA"/>
    <w:rsid w:val="007F3395"/>
    <w:rsid w:val="007F3B99"/>
    <w:rsid w:val="007F4689"/>
    <w:rsid w:val="00801B9F"/>
    <w:rsid w:val="008025AD"/>
    <w:rsid w:val="008057FD"/>
    <w:rsid w:val="00806149"/>
    <w:rsid w:val="0082043A"/>
    <w:rsid w:val="00820A7A"/>
    <w:rsid w:val="00823973"/>
    <w:rsid w:val="00834CC3"/>
    <w:rsid w:val="00837106"/>
    <w:rsid w:val="00842472"/>
    <w:rsid w:val="008435E8"/>
    <w:rsid w:val="008451E2"/>
    <w:rsid w:val="008475F0"/>
    <w:rsid w:val="008518C3"/>
    <w:rsid w:val="00853903"/>
    <w:rsid w:val="00854166"/>
    <w:rsid w:val="00854C53"/>
    <w:rsid w:val="00856AF0"/>
    <w:rsid w:val="00857233"/>
    <w:rsid w:val="00862743"/>
    <w:rsid w:val="00864210"/>
    <w:rsid w:val="008660D4"/>
    <w:rsid w:val="00866D4F"/>
    <w:rsid w:val="008670CC"/>
    <w:rsid w:val="0087327D"/>
    <w:rsid w:val="00874576"/>
    <w:rsid w:val="00874A49"/>
    <w:rsid w:val="00880004"/>
    <w:rsid w:val="008821C2"/>
    <w:rsid w:val="0088401E"/>
    <w:rsid w:val="008856F6"/>
    <w:rsid w:val="00891631"/>
    <w:rsid w:val="00894CC4"/>
    <w:rsid w:val="008A5AFE"/>
    <w:rsid w:val="008B03EF"/>
    <w:rsid w:val="008B68D7"/>
    <w:rsid w:val="008B7D42"/>
    <w:rsid w:val="008C1EE6"/>
    <w:rsid w:val="008C2487"/>
    <w:rsid w:val="008C2F58"/>
    <w:rsid w:val="008C4F4A"/>
    <w:rsid w:val="008C5A0E"/>
    <w:rsid w:val="008C7AB1"/>
    <w:rsid w:val="008D641F"/>
    <w:rsid w:val="008F0C31"/>
    <w:rsid w:val="008F462D"/>
    <w:rsid w:val="008F4EF4"/>
    <w:rsid w:val="008F56A8"/>
    <w:rsid w:val="00901B73"/>
    <w:rsid w:val="009027CE"/>
    <w:rsid w:val="00903164"/>
    <w:rsid w:val="00907952"/>
    <w:rsid w:val="0091707C"/>
    <w:rsid w:val="00920525"/>
    <w:rsid w:val="0092403B"/>
    <w:rsid w:val="009248DB"/>
    <w:rsid w:val="0092764E"/>
    <w:rsid w:val="0093764B"/>
    <w:rsid w:val="0094052B"/>
    <w:rsid w:val="0094082D"/>
    <w:rsid w:val="00950131"/>
    <w:rsid w:val="0095629C"/>
    <w:rsid w:val="00957383"/>
    <w:rsid w:val="009642EF"/>
    <w:rsid w:val="009656F6"/>
    <w:rsid w:val="00970924"/>
    <w:rsid w:val="00971D39"/>
    <w:rsid w:val="0098276B"/>
    <w:rsid w:val="0098354C"/>
    <w:rsid w:val="00987A78"/>
    <w:rsid w:val="009903F3"/>
    <w:rsid w:val="00992C76"/>
    <w:rsid w:val="009937E4"/>
    <w:rsid w:val="0099794B"/>
    <w:rsid w:val="009A0008"/>
    <w:rsid w:val="009A238D"/>
    <w:rsid w:val="009B4767"/>
    <w:rsid w:val="009B4D3B"/>
    <w:rsid w:val="009B6EC5"/>
    <w:rsid w:val="009C13D5"/>
    <w:rsid w:val="009C1536"/>
    <w:rsid w:val="009D7407"/>
    <w:rsid w:val="009E0866"/>
    <w:rsid w:val="009E10EB"/>
    <w:rsid w:val="009E3DDE"/>
    <w:rsid w:val="009E57DE"/>
    <w:rsid w:val="009E7BB8"/>
    <w:rsid w:val="009F2C22"/>
    <w:rsid w:val="009F4883"/>
    <w:rsid w:val="009F5488"/>
    <w:rsid w:val="009F636E"/>
    <w:rsid w:val="009F6423"/>
    <w:rsid w:val="00A00498"/>
    <w:rsid w:val="00A102E3"/>
    <w:rsid w:val="00A11FAA"/>
    <w:rsid w:val="00A22D37"/>
    <w:rsid w:val="00A24A62"/>
    <w:rsid w:val="00A26D9C"/>
    <w:rsid w:val="00A3121D"/>
    <w:rsid w:val="00A31C9F"/>
    <w:rsid w:val="00A40FF5"/>
    <w:rsid w:val="00A4144F"/>
    <w:rsid w:val="00A41AEA"/>
    <w:rsid w:val="00A41FE1"/>
    <w:rsid w:val="00A425F3"/>
    <w:rsid w:val="00A51789"/>
    <w:rsid w:val="00A54034"/>
    <w:rsid w:val="00A54066"/>
    <w:rsid w:val="00A5442A"/>
    <w:rsid w:val="00A546BB"/>
    <w:rsid w:val="00A56F14"/>
    <w:rsid w:val="00A63FB4"/>
    <w:rsid w:val="00A64EAC"/>
    <w:rsid w:val="00A73C59"/>
    <w:rsid w:val="00A7424A"/>
    <w:rsid w:val="00A74C49"/>
    <w:rsid w:val="00A75517"/>
    <w:rsid w:val="00A7794D"/>
    <w:rsid w:val="00A80F95"/>
    <w:rsid w:val="00A8197B"/>
    <w:rsid w:val="00A821B5"/>
    <w:rsid w:val="00A835BC"/>
    <w:rsid w:val="00A8771E"/>
    <w:rsid w:val="00A90F28"/>
    <w:rsid w:val="00AA049C"/>
    <w:rsid w:val="00AA1BC0"/>
    <w:rsid w:val="00AA7BE3"/>
    <w:rsid w:val="00AB07F1"/>
    <w:rsid w:val="00AB2FB1"/>
    <w:rsid w:val="00AB3DD9"/>
    <w:rsid w:val="00AB4673"/>
    <w:rsid w:val="00AB5E7F"/>
    <w:rsid w:val="00AC027A"/>
    <w:rsid w:val="00AC0B2D"/>
    <w:rsid w:val="00AC0E16"/>
    <w:rsid w:val="00AC164A"/>
    <w:rsid w:val="00AC209F"/>
    <w:rsid w:val="00AC302F"/>
    <w:rsid w:val="00AC3F6C"/>
    <w:rsid w:val="00AC4549"/>
    <w:rsid w:val="00AC54F9"/>
    <w:rsid w:val="00AC5DA3"/>
    <w:rsid w:val="00AD0E00"/>
    <w:rsid w:val="00AD313C"/>
    <w:rsid w:val="00AD7D1C"/>
    <w:rsid w:val="00AE52A5"/>
    <w:rsid w:val="00AF1B85"/>
    <w:rsid w:val="00AF1D29"/>
    <w:rsid w:val="00AF2050"/>
    <w:rsid w:val="00AF5A3F"/>
    <w:rsid w:val="00B03CA8"/>
    <w:rsid w:val="00B10A91"/>
    <w:rsid w:val="00B12961"/>
    <w:rsid w:val="00B148E8"/>
    <w:rsid w:val="00B159DB"/>
    <w:rsid w:val="00B23941"/>
    <w:rsid w:val="00B2492E"/>
    <w:rsid w:val="00B24FE9"/>
    <w:rsid w:val="00B331DC"/>
    <w:rsid w:val="00B3350A"/>
    <w:rsid w:val="00B346F7"/>
    <w:rsid w:val="00B364F2"/>
    <w:rsid w:val="00B37C19"/>
    <w:rsid w:val="00B40C3E"/>
    <w:rsid w:val="00B438D3"/>
    <w:rsid w:val="00B47194"/>
    <w:rsid w:val="00B53364"/>
    <w:rsid w:val="00B55205"/>
    <w:rsid w:val="00B55E19"/>
    <w:rsid w:val="00B56D14"/>
    <w:rsid w:val="00B57F64"/>
    <w:rsid w:val="00B623A2"/>
    <w:rsid w:val="00B71D01"/>
    <w:rsid w:val="00B80219"/>
    <w:rsid w:val="00B827FC"/>
    <w:rsid w:val="00B97E99"/>
    <w:rsid w:val="00BA054D"/>
    <w:rsid w:val="00BA4B6D"/>
    <w:rsid w:val="00BA4F25"/>
    <w:rsid w:val="00BB254C"/>
    <w:rsid w:val="00BB26C5"/>
    <w:rsid w:val="00BB722A"/>
    <w:rsid w:val="00BB7B51"/>
    <w:rsid w:val="00BC0E8A"/>
    <w:rsid w:val="00BC337C"/>
    <w:rsid w:val="00BD11A6"/>
    <w:rsid w:val="00BE13BF"/>
    <w:rsid w:val="00BE28A8"/>
    <w:rsid w:val="00BE6C6D"/>
    <w:rsid w:val="00BE737D"/>
    <w:rsid w:val="00BE7AA2"/>
    <w:rsid w:val="00BF4A68"/>
    <w:rsid w:val="00BF4DE6"/>
    <w:rsid w:val="00BF5608"/>
    <w:rsid w:val="00BF56AD"/>
    <w:rsid w:val="00C01021"/>
    <w:rsid w:val="00C05D5C"/>
    <w:rsid w:val="00C1065F"/>
    <w:rsid w:val="00C179AE"/>
    <w:rsid w:val="00C179D3"/>
    <w:rsid w:val="00C3285B"/>
    <w:rsid w:val="00C37399"/>
    <w:rsid w:val="00C378B3"/>
    <w:rsid w:val="00C406F0"/>
    <w:rsid w:val="00C42CDE"/>
    <w:rsid w:val="00C433EB"/>
    <w:rsid w:val="00C451FF"/>
    <w:rsid w:val="00C4755A"/>
    <w:rsid w:val="00C500D7"/>
    <w:rsid w:val="00C5182A"/>
    <w:rsid w:val="00C635E9"/>
    <w:rsid w:val="00C63EE9"/>
    <w:rsid w:val="00C65E63"/>
    <w:rsid w:val="00C6626C"/>
    <w:rsid w:val="00C70845"/>
    <w:rsid w:val="00C7297E"/>
    <w:rsid w:val="00C72983"/>
    <w:rsid w:val="00C75AD6"/>
    <w:rsid w:val="00C779FD"/>
    <w:rsid w:val="00C83480"/>
    <w:rsid w:val="00C8425C"/>
    <w:rsid w:val="00C848BF"/>
    <w:rsid w:val="00C85021"/>
    <w:rsid w:val="00C90AA1"/>
    <w:rsid w:val="00C97223"/>
    <w:rsid w:val="00CA1137"/>
    <w:rsid w:val="00CA37B1"/>
    <w:rsid w:val="00CA4E9D"/>
    <w:rsid w:val="00CA7DD8"/>
    <w:rsid w:val="00CB1959"/>
    <w:rsid w:val="00CB3C63"/>
    <w:rsid w:val="00CC0A63"/>
    <w:rsid w:val="00CD0E4B"/>
    <w:rsid w:val="00CE0155"/>
    <w:rsid w:val="00CE1796"/>
    <w:rsid w:val="00CE57B1"/>
    <w:rsid w:val="00CE5DF0"/>
    <w:rsid w:val="00CE7490"/>
    <w:rsid w:val="00CF215A"/>
    <w:rsid w:val="00CF5DBE"/>
    <w:rsid w:val="00CF62AE"/>
    <w:rsid w:val="00D0075C"/>
    <w:rsid w:val="00D00802"/>
    <w:rsid w:val="00D027AA"/>
    <w:rsid w:val="00D0296C"/>
    <w:rsid w:val="00D02F84"/>
    <w:rsid w:val="00D03598"/>
    <w:rsid w:val="00D05246"/>
    <w:rsid w:val="00D127A8"/>
    <w:rsid w:val="00D146A2"/>
    <w:rsid w:val="00D15A00"/>
    <w:rsid w:val="00D15D94"/>
    <w:rsid w:val="00D1675D"/>
    <w:rsid w:val="00D21F90"/>
    <w:rsid w:val="00D22EE8"/>
    <w:rsid w:val="00D230D6"/>
    <w:rsid w:val="00D26207"/>
    <w:rsid w:val="00D267D1"/>
    <w:rsid w:val="00D3315E"/>
    <w:rsid w:val="00D33BF8"/>
    <w:rsid w:val="00D367B6"/>
    <w:rsid w:val="00D40AEB"/>
    <w:rsid w:val="00D460DC"/>
    <w:rsid w:val="00D53ACD"/>
    <w:rsid w:val="00D619FF"/>
    <w:rsid w:val="00D62067"/>
    <w:rsid w:val="00D64BD1"/>
    <w:rsid w:val="00D64FAA"/>
    <w:rsid w:val="00D66B3E"/>
    <w:rsid w:val="00D72760"/>
    <w:rsid w:val="00D73EFE"/>
    <w:rsid w:val="00D7713F"/>
    <w:rsid w:val="00D80810"/>
    <w:rsid w:val="00D82D7C"/>
    <w:rsid w:val="00D8336A"/>
    <w:rsid w:val="00D835F4"/>
    <w:rsid w:val="00D86954"/>
    <w:rsid w:val="00D91182"/>
    <w:rsid w:val="00D91EC1"/>
    <w:rsid w:val="00D93B1B"/>
    <w:rsid w:val="00D96AB0"/>
    <w:rsid w:val="00DA040F"/>
    <w:rsid w:val="00DA186C"/>
    <w:rsid w:val="00DA676F"/>
    <w:rsid w:val="00DB1000"/>
    <w:rsid w:val="00DC06B6"/>
    <w:rsid w:val="00DC6211"/>
    <w:rsid w:val="00DC68DD"/>
    <w:rsid w:val="00DC7BCF"/>
    <w:rsid w:val="00DD1986"/>
    <w:rsid w:val="00DD5AFA"/>
    <w:rsid w:val="00DD5BED"/>
    <w:rsid w:val="00DE084C"/>
    <w:rsid w:val="00DE6F6E"/>
    <w:rsid w:val="00DF1325"/>
    <w:rsid w:val="00DF5042"/>
    <w:rsid w:val="00E0062C"/>
    <w:rsid w:val="00E0098D"/>
    <w:rsid w:val="00E0254D"/>
    <w:rsid w:val="00E04332"/>
    <w:rsid w:val="00E0719C"/>
    <w:rsid w:val="00E10CC6"/>
    <w:rsid w:val="00E11B69"/>
    <w:rsid w:val="00E13317"/>
    <w:rsid w:val="00E1474E"/>
    <w:rsid w:val="00E245D7"/>
    <w:rsid w:val="00E25CE5"/>
    <w:rsid w:val="00E268A1"/>
    <w:rsid w:val="00E27662"/>
    <w:rsid w:val="00E277CB"/>
    <w:rsid w:val="00E277E6"/>
    <w:rsid w:val="00E324FB"/>
    <w:rsid w:val="00E331F7"/>
    <w:rsid w:val="00E357B7"/>
    <w:rsid w:val="00E36F91"/>
    <w:rsid w:val="00E47CE3"/>
    <w:rsid w:val="00E50A16"/>
    <w:rsid w:val="00E53800"/>
    <w:rsid w:val="00E570AC"/>
    <w:rsid w:val="00E6081F"/>
    <w:rsid w:val="00E64B70"/>
    <w:rsid w:val="00E67901"/>
    <w:rsid w:val="00E80BB6"/>
    <w:rsid w:val="00E81C05"/>
    <w:rsid w:val="00E83BE1"/>
    <w:rsid w:val="00E848F9"/>
    <w:rsid w:val="00E855E6"/>
    <w:rsid w:val="00E86E95"/>
    <w:rsid w:val="00E91FAC"/>
    <w:rsid w:val="00E97955"/>
    <w:rsid w:val="00EA04B2"/>
    <w:rsid w:val="00EA18DE"/>
    <w:rsid w:val="00EA20F3"/>
    <w:rsid w:val="00EA4BE3"/>
    <w:rsid w:val="00EA57B0"/>
    <w:rsid w:val="00EA5969"/>
    <w:rsid w:val="00EB1F31"/>
    <w:rsid w:val="00EB22BC"/>
    <w:rsid w:val="00EB2D0F"/>
    <w:rsid w:val="00EB4009"/>
    <w:rsid w:val="00ED1F78"/>
    <w:rsid w:val="00ED2831"/>
    <w:rsid w:val="00ED2D1D"/>
    <w:rsid w:val="00ED43D1"/>
    <w:rsid w:val="00ED51DC"/>
    <w:rsid w:val="00ED7C94"/>
    <w:rsid w:val="00EE253E"/>
    <w:rsid w:val="00EE4EE1"/>
    <w:rsid w:val="00EF1666"/>
    <w:rsid w:val="00EF1FB1"/>
    <w:rsid w:val="00EF212E"/>
    <w:rsid w:val="00EF4102"/>
    <w:rsid w:val="00EF4574"/>
    <w:rsid w:val="00EF6543"/>
    <w:rsid w:val="00EF67F2"/>
    <w:rsid w:val="00EF7EA4"/>
    <w:rsid w:val="00F02A61"/>
    <w:rsid w:val="00F03CF2"/>
    <w:rsid w:val="00F111BB"/>
    <w:rsid w:val="00F11B25"/>
    <w:rsid w:val="00F17BF9"/>
    <w:rsid w:val="00F219BB"/>
    <w:rsid w:val="00F26475"/>
    <w:rsid w:val="00F26508"/>
    <w:rsid w:val="00F2684E"/>
    <w:rsid w:val="00F36690"/>
    <w:rsid w:val="00F445B6"/>
    <w:rsid w:val="00F45762"/>
    <w:rsid w:val="00F45A59"/>
    <w:rsid w:val="00F46D79"/>
    <w:rsid w:val="00F46E46"/>
    <w:rsid w:val="00F5343C"/>
    <w:rsid w:val="00F5404C"/>
    <w:rsid w:val="00F6239D"/>
    <w:rsid w:val="00F729EF"/>
    <w:rsid w:val="00F73C5B"/>
    <w:rsid w:val="00F755F4"/>
    <w:rsid w:val="00F75FCA"/>
    <w:rsid w:val="00F77CAE"/>
    <w:rsid w:val="00F77ECA"/>
    <w:rsid w:val="00F8070D"/>
    <w:rsid w:val="00F82271"/>
    <w:rsid w:val="00F83428"/>
    <w:rsid w:val="00F87C1A"/>
    <w:rsid w:val="00F912E8"/>
    <w:rsid w:val="00F93B5C"/>
    <w:rsid w:val="00F960F5"/>
    <w:rsid w:val="00F96BB9"/>
    <w:rsid w:val="00FA6FC5"/>
    <w:rsid w:val="00FB3BC3"/>
    <w:rsid w:val="00FB47E7"/>
    <w:rsid w:val="00FB48FA"/>
    <w:rsid w:val="00FB5226"/>
    <w:rsid w:val="00FC2EF3"/>
    <w:rsid w:val="00FD1AF1"/>
    <w:rsid w:val="00FD2814"/>
    <w:rsid w:val="00FD59C7"/>
    <w:rsid w:val="00FD608F"/>
    <w:rsid w:val="00FE0CA1"/>
    <w:rsid w:val="00FE104D"/>
    <w:rsid w:val="00FE2A3D"/>
    <w:rsid w:val="00FE5554"/>
    <w:rsid w:val="00FE6D51"/>
    <w:rsid w:val="00FF09F3"/>
    <w:rsid w:val="00FF19C4"/>
    <w:rsid w:val="00FF512D"/>
    <w:rsid w:val="00FF73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97B"/>
    <w:pPr>
      <w:suppressAutoHyphens/>
      <w:spacing w:before="120" w:after="60" w:line="230" w:lineRule="atLeast"/>
    </w:pPr>
    <w:rPr>
      <w:color w:val="495965" w:themeColor="text2"/>
      <w:lang w:val="en-GB"/>
    </w:rPr>
  </w:style>
  <w:style w:type="paragraph" w:styleId="Heading1">
    <w:name w:val="heading 1"/>
    <w:basedOn w:val="Normal"/>
    <w:next w:val="Normal"/>
    <w:link w:val="Heading1Char"/>
    <w:uiPriority w:val="9"/>
    <w:qFormat/>
    <w:rsid w:val="00F83428"/>
    <w:pPr>
      <w:keepNext/>
      <w:keepLines/>
      <w:pageBreakBefore/>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A4144F"/>
    <w:pPr>
      <w:pageBreakBefore w:val="0"/>
      <w:spacing w:before="30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before="480"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A4144F"/>
    <w:pPr>
      <w:spacing w:line="200" w:lineRule="atLeast"/>
      <w:outlineLvl w:val="4"/>
    </w:pPr>
    <w:rPr>
      <w:b/>
      <w:sz w:val="16"/>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rsid w:val="00486804"/>
    <w:pPr>
      <w:outlineLvl w:val="6"/>
    </w:pPr>
    <w:rPr>
      <w:i/>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428"/>
    <w:rPr>
      <w:rFonts w:asciiTheme="majorHAnsi" w:eastAsiaTheme="majorEastAsia" w:hAnsiTheme="majorHAnsi" w:cstheme="majorBidi"/>
      <w:b/>
      <w:bCs/>
      <w:caps/>
      <w:color w:val="495965" w:themeColor="text2"/>
      <w:sz w:val="38"/>
      <w:szCs w:val="28"/>
    </w:rPr>
  </w:style>
  <w:style w:type="character" w:customStyle="1" w:styleId="Heading2Char">
    <w:name w:val="Heading 2 Char"/>
    <w:basedOn w:val="DefaultParagraphFont"/>
    <w:link w:val="Heading2"/>
    <w:uiPriority w:val="9"/>
    <w:rsid w:val="00A4144F"/>
    <w:rPr>
      <w:rFonts w:asciiTheme="majorHAnsi" w:eastAsiaTheme="majorEastAsia" w:hAnsiTheme="majorHAnsi" w:cstheme="majorBidi"/>
      <w:caps/>
      <w:color w:val="495965" w:themeColor="text2"/>
      <w:sz w:val="38"/>
      <w:szCs w:val="26"/>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pageBreakBefore w:val="0"/>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1D663E"/>
    <w:pPr>
      <w:numPr>
        <w:numId w:val="7"/>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8"/>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6"/>
      </w:numPr>
    </w:pPr>
  </w:style>
  <w:style w:type="paragraph" w:customStyle="1" w:styleId="Heading2Numbered">
    <w:name w:val="Heading 2 Numbered"/>
    <w:basedOn w:val="Heading2"/>
    <w:next w:val="Normal"/>
    <w:qFormat/>
    <w:rsid w:val="00ED2831"/>
    <w:pPr>
      <w:numPr>
        <w:ilvl w:val="1"/>
        <w:numId w:val="6"/>
      </w:numPr>
      <w:spacing w:before="480" w:after="60"/>
    </w:pPr>
    <w:rPr>
      <w:bCs/>
    </w:rPr>
  </w:style>
  <w:style w:type="paragraph" w:customStyle="1" w:styleId="Heading3Numbered">
    <w:name w:val="Heading 3 Numbered"/>
    <w:basedOn w:val="Heading3"/>
    <w:next w:val="Normal"/>
    <w:qFormat/>
    <w:rsid w:val="00ED2831"/>
    <w:pPr>
      <w:numPr>
        <w:ilvl w:val="2"/>
        <w:numId w:val="6"/>
      </w:numPr>
      <w:spacing w:before="300" w:after="60"/>
    </w:pPr>
    <w:rPr>
      <w:szCs w:val="22"/>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pageBreakBefore w:val="0"/>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992C76"/>
    <w:pPr>
      <w:tabs>
        <w:tab w:val="center" w:pos="4513"/>
        <w:tab w:val="right" w:pos="9026"/>
      </w:tabs>
      <w:spacing w:before="0" w:after="0"/>
      <w:jc w:val="right"/>
    </w:pPr>
    <w:rPr>
      <w:b/>
      <w:caps/>
      <w:sz w:val="20"/>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ED2831"/>
    <w:pPr>
      <w:spacing w:before="400" w:after="400" w:line="280" w:lineRule="exact"/>
    </w:pPr>
    <w:rPr>
      <w:b/>
      <w:caps/>
      <w:color w:val="ACD08C" w:themeColor="accent3"/>
      <w:sz w:val="28"/>
    </w:rPr>
  </w:style>
  <w:style w:type="table" w:styleId="TableGrid">
    <w:name w:val="Table Grid"/>
    <w:aliases w:val="DPS Table Grid"/>
    <w:basedOn w:val="TableNormal"/>
    <w:uiPriority w:val="59"/>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992C76"/>
    <w:rPr>
      <w:b/>
      <w:caps/>
      <w:color w:val="495965" w:themeColor="text2"/>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A4144F"/>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link w:val="CaptionChar"/>
    <w:uiPriority w:val="35"/>
    <w:unhideWhenUsed/>
    <w:qFormat/>
    <w:rsid w:val="00ED2831"/>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CD0E4B"/>
    <w:pPr>
      <w:spacing w:before="0" w:after="0" w:line="240" w:lineRule="exact"/>
      <w:ind w:right="284"/>
      <w:jc w:val="right"/>
    </w:pPr>
    <w:rPr>
      <w:color w:val="FFFFFF" w:themeColor="background1"/>
    </w:rPr>
  </w:style>
  <w:style w:type="character" w:customStyle="1" w:styleId="FooterChar">
    <w:name w:val="Footer Char"/>
    <w:basedOn w:val="DefaultParagraphFont"/>
    <w:link w:val="Footer"/>
    <w:uiPriority w:val="99"/>
    <w:rsid w:val="00CD0E4B"/>
    <w:rPr>
      <w:color w:val="FFFFFF" w:themeColor="background1"/>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rsid w:val="00C5182A"/>
    <w:rPr>
      <w:b/>
      <w:sz w:val="20"/>
    </w:rPr>
  </w:style>
  <w:style w:type="paragraph" w:styleId="FootnoteText">
    <w:name w:val="footnote text"/>
    <w:basedOn w:val="Normal"/>
    <w:link w:val="FootnoteTextChar"/>
    <w:uiPriority w:val="99"/>
    <w:semiHidden/>
    <w:unhideWhenUsed/>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uiPriority w:val="99"/>
    <w:semiHidden/>
    <w:rsid w:val="008C5A0E"/>
    <w:rPr>
      <w:color w:val="495965" w:themeColor="text2"/>
      <w:sz w:val="12"/>
      <w:szCs w:val="20"/>
    </w:rPr>
  </w:style>
  <w:style w:type="character" w:styleId="FootnoteReference">
    <w:name w:val="footnote reference"/>
    <w:basedOn w:val="DefaultParagraphFont"/>
    <w:uiPriority w:val="99"/>
    <w:semiHidden/>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F83428"/>
    <w:rPr>
      <w:color w:val="ACD08C" w:themeColor="accent3"/>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F82271"/>
    <w:pPr>
      <w:spacing w:after="200" w:line="140" w:lineRule="atLeast"/>
      <w:jc w:val="right"/>
    </w:pPr>
    <w:rPr>
      <w:sz w:val="12"/>
    </w:rPr>
  </w:style>
  <w:style w:type="table" w:customStyle="1" w:styleId="DFATTable1">
    <w:name w:val="DFAT Table 1"/>
    <w:basedOn w:val="TableNormal"/>
    <w:uiPriority w:val="99"/>
    <w:rsid w:val="00ED2831"/>
    <w:pPr>
      <w:spacing w:before="60" w:after="60" w:line="220" w:lineRule="atLeast"/>
    </w:pPr>
    <w:rPr>
      <w:rFonts w:ascii="Calibri" w:hAnsi="Calibri"/>
      <w:sz w:val="18"/>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jc w:val="left"/>
    </w:pPr>
    <w:rPr>
      <w:color w:val="495965" w:themeColor="text2"/>
      <w:sz w:val="14"/>
    </w:rPr>
  </w:style>
  <w:style w:type="paragraph" w:customStyle="1" w:styleId="Heading1smallspaceafter">
    <w:name w:val="Heading 1 small space after"/>
    <w:basedOn w:val="Heading1"/>
    <w:qFormat/>
    <w:rsid w:val="00ED2831"/>
    <w:pPr>
      <w:pageBreakBefore w:val="0"/>
      <w:spacing w:after="600"/>
    </w:pPr>
  </w:style>
  <w:style w:type="paragraph" w:customStyle="1" w:styleId="TableBullet1">
    <w:name w:val="Table Bullet 1"/>
    <w:basedOn w:val="Bullet1"/>
    <w:qFormat/>
    <w:rsid w:val="00ED2831"/>
    <w:pPr>
      <w:spacing w:before="60" w:line="220" w:lineRule="atLeast"/>
    </w:pPr>
    <w:rPr>
      <w:rFonts w:ascii="Calibri" w:hAnsi="Calibri"/>
      <w:sz w:val="18"/>
    </w:rPr>
  </w:style>
  <w:style w:type="paragraph" w:customStyle="1" w:styleId="TableBullet2">
    <w:name w:val="Table Bullet 2"/>
    <w:basedOn w:val="Bullet2"/>
    <w:qFormat/>
    <w:rsid w:val="00ED2831"/>
    <w:pPr>
      <w:spacing w:before="60" w:line="220" w:lineRule="atLeast"/>
    </w:pPr>
    <w:rPr>
      <w:rFonts w:ascii="Calibri" w:hAnsi="Calibri"/>
      <w:sz w:val="18"/>
    </w:rPr>
  </w:style>
  <w:style w:type="paragraph" w:customStyle="1" w:styleId="TableBullet3">
    <w:name w:val="Table Bullet 3"/>
    <w:basedOn w:val="Bullet3"/>
    <w:qFormat/>
    <w:rsid w:val="00ED2831"/>
    <w:pPr>
      <w:spacing w:before="60" w:line="220" w:lineRule="atLeast"/>
    </w:pPr>
    <w:rPr>
      <w:rFonts w:ascii="Calibri" w:hAnsi="Calibri"/>
      <w:sz w:val="18"/>
    </w:rPr>
  </w:style>
  <w:style w:type="paragraph" w:customStyle="1" w:styleId="TableHeaderRow">
    <w:name w:val="Table Header Row"/>
    <w:basedOn w:val="Normal"/>
    <w:qFormat/>
    <w:rsid w:val="00ED2831"/>
    <w:pPr>
      <w:spacing w:before="60" w:line="220" w:lineRule="atLeast"/>
    </w:pPr>
    <w:rPr>
      <w:rFonts w:ascii="Calibri" w:hAnsi="Calibri"/>
      <w:b/>
      <w:sz w:val="18"/>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ED2831"/>
    <w:pPr>
      <w:spacing w:before="60" w:line="220" w:lineRule="atLeast"/>
    </w:pPr>
    <w:rPr>
      <w:rFonts w:ascii="Calibri" w:hAnsi="Calibri"/>
      <w:b/>
      <w:color w:val="FFFFFF" w:themeColor="background1"/>
      <w:sz w:val="18"/>
    </w:rPr>
  </w:style>
  <w:style w:type="paragraph" w:customStyle="1" w:styleId="BoxHeading">
    <w:name w:val="Box Heading"/>
    <w:basedOn w:val="Heading3"/>
    <w:qFormat/>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A80F95"/>
    <w:pPr>
      <w:spacing w:before="60" w:line="220" w:lineRule="atLeast"/>
    </w:pPr>
    <w:rPr>
      <w:rFonts w:ascii="Calibri" w:hAnsi="Calibri"/>
      <w:sz w:val="18"/>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rsid w:val="002B3E9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E95"/>
    <w:rPr>
      <w:rFonts w:ascii="Tahoma" w:hAnsi="Tahoma" w:cs="Tahoma"/>
      <w:color w:val="495965" w:themeColor="text2"/>
      <w:sz w:val="16"/>
      <w:szCs w:val="16"/>
      <w:lang w:val="en-GB"/>
    </w:rPr>
  </w:style>
  <w:style w:type="paragraph" w:styleId="BodyText">
    <w:name w:val="Body Text"/>
    <w:basedOn w:val="Normal"/>
    <w:link w:val="BodyTextChar"/>
    <w:qFormat/>
    <w:rsid w:val="008F56A8"/>
    <w:pPr>
      <w:suppressAutoHyphens w:val="0"/>
      <w:spacing w:before="0" w:after="160" w:line="280" w:lineRule="exact"/>
    </w:pPr>
    <w:rPr>
      <w:rFonts w:ascii="Franklin Gothic Book" w:eastAsia="Times New Roman" w:hAnsi="Franklin Gothic Book" w:cs="Times New Roman"/>
      <w:color w:val="auto"/>
      <w:sz w:val="21"/>
      <w:szCs w:val="24"/>
      <w:lang w:val="en-AU" w:eastAsia="en-AU"/>
    </w:rPr>
  </w:style>
  <w:style w:type="character" w:customStyle="1" w:styleId="BodyTextChar">
    <w:name w:val="Body Text Char"/>
    <w:basedOn w:val="DefaultParagraphFont"/>
    <w:link w:val="BodyText"/>
    <w:rsid w:val="008F56A8"/>
    <w:rPr>
      <w:rFonts w:ascii="Franklin Gothic Book" w:eastAsia="Times New Roman" w:hAnsi="Franklin Gothic Book" w:cs="Times New Roman"/>
      <w:sz w:val="21"/>
      <w:szCs w:val="24"/>
      <w:lang w:eastAsia="en-AU"/>
    </w:rPr>
  </w:style>
  <w:style w:type="paragraph" w:styleId="ListBullet">
    <w:name w:val="List Bullet"/>
    <w:basedOn w:val="BodyText"/>
    <w:qFormat/>
    <w:rsid w:val="008F56A8"/>
    <w:pPr>
      <w:tabs>
        <w:tab w:val="left" w:pos="284"/>
      </w:tabs>
      <w:spacing w:after="120"/>
    </w:pPr>
  </w:style>
  <w:style w:type="character" w:customStyle="1" w:styleId="CaptionChar">
    <w:name w:val="Caption Char"/>
    <w:link w:val="Caption"/>
    <w:uiPriority w:val="35"/>
    <w:locked/>
    <w:rsid w:val="008F56A8"/>
    <w:rPr>
      <w:b/>
      <w:iCs/>
      <w:color w:val="000000" w:themeColor="text1"/>
      <w:sz w:val="20"/>
      <w:szCs w:val="18"/>
      <w:lang w:val="en-GB"/>
    </w:rPr>
  </w:style>
  <w:style w:type="paragraph" w:customStyle="1" w:styleId="Note">
    <w:name w:val="Note"/>
    <w:basedOn w:val="TableTextEntries"/>
    <w:next w:val="BodyText"/>
    <w:link w:val="NoteCharChar"/>
    <w:autoRedefine/>
    <w:rsid w:val="005B5769"/>
    <w:pPr>
      <w:keepNext/>
      <w:spacing w:before="20" w:after="20" w:line="180" w:lineRule="atLeast"/>
      <w:jc w:val="both"/>
    </w:pPr>
    <w:rPr>
      <w:iCs w:val="0"/>
      <w:sz w:val="14"/>
      <w:szCs w:val="14"/>
      <w:lang w:eastAsia="en-AU"/>
    </w:rPr>
  </w:style>
  <w:style w:type="paragraph" w:customStyle="1" w:styleId="TableTextEntries">
    <w:name w:val="Table Text Entries"/>
    <w:rsid w:val="005B5769"/>
    <w:pPr>
      <w:keepLines/>
      <w:spacing w:before="40" w:after="40" w:line="200" w:lineRule="atLeast"/>
    </w:pPr>
    <w:rPr>
      <w:rFonts w:ascii="Franklin Gothic Book" w:eastAsia="Times New Roman" w:hAnsi="Franklin Gothic Book" w:cs="Times New Roman"/>
      <w:iCs/>
      <w:sz w:val="17"/>
      <w:szCs w:val="17"/>
    </w:rPr>
  </w:style>
  <w:style w:type="character" w:customStyle="1" w:styleId="NoteCharChar">
    <w:name w:val="Note Char Char"/>
    <w:link w:val="Note"/>
    <w:rsid w:val="005B5769"/>
    <w:rPr>
      <w:rFonts w:ascii="Franklin Gothic Book" w:eastAsia="Times New Roman" w:hAnsi="Franklin Gothic Book" w:cs="Times New Roman"/>
      <w:sz w:val="14"/>
      <w:szCs w:val="14"/>
      <w:lang w:eastAsia="en-AU"/>
    </w:rPr>
  </w:style>
  <w:style w:type="paragraph" w:customStyle="1" w:styleId="TableTextColumnHeading">
    <w:name w:val="Table Text Column Heading"/>
    <w:basedOn w:val="Normal"/>
    <w:autoRedefine/>
    <w:rsid w:val="005B5769"/>
    <w:pPr>
      <w:keepLines/>
      <w:suppressAutoHyphens w:val="0"/>
      <w:spacing w:before="80" w:after="80" w:line="200" w:lineRule="atLeast"/>
    </w:pPr>
    <w:rPr>
      <w:rFonts w:ascii="Franklin Gothic Medium" w:eastAsia="Times New Roman" w:hAnsi="Franklin Gothic Medium" w:cs="Times New Roman"/>
      <w:b/>
      <w:iCs/>
      <w:color w:val="auto"/>
      <w:sz w:val="17"/>
      <w:szCs w:val="17"/>
      <w:lang w:val="en-AU"/>
    </w:rPr>
  </w:style>
  <w:style w:type="table" w:customStyle="1" w:styleId="DFATTable">
    <w:name w:val="DFAT Table"/>
    <w:basedOn w:val="TableNormal"/>
    <w:uiPriority w:val="99"/>
    <w:rsid w:val="005B5769"/>
    <w:pPr>
      <w:spacing w:after="0" w:line="240" w:lineRule="auto"/>
    </w:pPr>
    <w:rPr>
      <w:rFonts w:ascii="Helvetica" w:hAnsi="Helvetica"/>
      <w:sz w:val="17"/>
      <w:lang w:eastAsia="en-AU"/>
    </w:rPr>
    <w:tblPr>
      <w:tblBorders>
        <w:top w:val="single" w:sz="12" w:space="0" w:color="auto"/>
        <w:bottom w:val="single" w:sz="12" w:space="0" w:color="auto"/>
      </w:tblBorders>
    </w:tblPr>
  </w:style>
  <w:style w:type="paragraph" w:customStyle="1" w:styleId="BoxListBullet">
    <w:name w:val="Box List Bullet"/>
    <w:basedOn w:val="Normal"/>
    <w:rsid w:val="005B5769"/>
    <w:pPr>
      <w:keepLines/>
      <w:numPr>
        <w:numId w:val="9"/>
      </w:numPr>
      <w:pBdr>
        <w:top w:val="single" w:sz="4" w:space="10" w:color="auto"/>
        <w:left w:val="single" w:sz="4" w:space="10" w:color="auto"/>
        <w:bottom w:val="single" w:sz="4" w:space="10" w:color="auto"/>
        <w:right w:val="single" w:sz="4" w:space="10" w:color="auto"/>
      </w:pBdr>
      <w:shd w:val="clear" w:color="auto" w:fill="C7D5E6"/>
      <w:suppressAutoHyphens w:val="0"/>
      <w:spacing w:before="0" w:after="120" w:line="240" w:lineRule="auto"/>
      <w:ind w:left="284" w:hanging="284"/>
      <w:contextualSpacing/>
      <w:mirrorIndents/>
    </w:pPr>
    <w:rPr>
      <w:rFonts w:ascii="Franklin Gothic Book" w:eastAsia="Times New Roman" w:hAnsi="Franklin Gothic Book" w:cs="Times New Roman"/>
      <w:iCs/>
      <w:color w:val="auto"/>
      <w:sz w:val="20"/>
      <w:szCs w:val="20"/>
      <w:lang w:val="en-AU" w:eastAsia="en-AU"/>
    </w:rPr>
  </w:style>
  <w:style w:type="paragraph" w:customStyle="1" w:styleId="TableHeading1">
    <w:name w:val="Table Heading 1"/>
    <w:basedOn w:val="TableTextEntries"/>
    <w:next w:val="TableTextEntries"/>
    <w:rsid w:val="005B5769"/>
    <w:pPr>
      <w:spacing w:before="80" w:after="80"/>
    </w:pPr>
    <w:rPr>
      <w:b/>
    </w:rPr>
  </w:style>
  <w:style w:type="table" w:customStyle="1" w:styleId="APPR">
    <w:name w:val="APPR"/>
    <w:basedOn w:val="TableNormal"/>
    <w:uiPriority w:val="99"/>
    <w:rsid w:val="005B5769"/>
    <w:pPr>
      <w:spacing w:after="0" w:line="240" w:lineRule="auto"/>
    </w:pPr>
    <w:rPr>
      <w:rFonts w:ascii="Franklin Gothic Book" w:hAnsi="Franklin Gothic Book"/>
      <w:sz w:val="17"/>
      <w:lang w:eastAsia="en-AU"/>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TableListNumber2">
    <w:name w:val="Table List Number 2"/>
    <w:basedOn w:val="Normal"/>
    <w:rsid w:val="005B5769"/>
    <w:pPr>
      <w:keepLines/>
      <w:numPr>
        <w:numId w:val="10"/>
      </w:numPr>
      <w:suppressAutoHyphens w:val="0"/>
      <w:spacing w:before="40" w:after="40" w:line="200" w:lineRule="atLeast"/>
      <w:ind w:left="568" w:hanging="284"/>
    </w:pPr>
    <w:rPr>
      <w:rFonts w:ascii="Helvetica" w:eastAsia="Times New Roman" w:hAnsi="Helvetica" w:cs="Times New Roman"/>
      <w:iCs/>
      <w:color w:val="auto"/>
      <w:sz w:val="17"/>
      <w:szCs w:val="17"/>
      <w:lang w:val="en-AU"/>
    </w:rPr>
  </w:style>
  <w:style w:type="paragraph" w:styleId="ListParagraph">
    <w:name w:val="List Paragraph"/>
    <w:aliases w:val="List Paragraph (numbered (a)),Normal 2,Main numbered paragraph"/>
    <w:basedOn w:val="Normal"/>
    <w:link w:val="ListParagraphChar"/>
    <w:uiPriority w:val="34"/>
    <w:qFormat/>
    <w:rsid w:val="00E36F91"/>
    <w:pPr>
      <w:suppressAutoHyphens w:val="0"/>
      <w:spacing w:before="0" w:after="0" w:line="240" w:lineRule="auto"/>
      <w:ind w:left="720"/>
      <w:contextualSpacing/>
    </w:pPr>
    <w:rPr>
      <w:rFonts w:ascii="Times New Roman" w:eastAsia="Times New Roman" w:hAnsi="Times New Roman" w:cs="Times New Roman"/>
      <w:color w:val="auto"/>
      <w:sz w:val="24"/>
      <w:szCs w:val="24"/>
      <w:lang w:val="en-AU"/>
    </w:rPr>
  </w:style>
  <w:style w:type="character" w:customStyle="1" w:styleId="ListParagraphChar">
    <w:name w:val="List Paragraph Char"/>
    <w:aliases w:val="List Paragraph (numbered (a)) Char,Normal 2 Char,Main numbered paragraph Char"/>
    <w:basedOn w:val="DefaultParagraphFont"/>
    <w:link w:val="ListParagraph"/>
    <w:uiPriority w:val="34"/>
    <w:locked/>
    <w:rsid w:val="00E36F91"/>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C7418"/>
    <w:rPr>
      <w:color w:val="800080" w:themeColor="followedHyperlink"/>
      <w:u w:val="single"/>
    </w:rPr>
  </w:style>
  <w:style w:type="table" w:customStyle="1" w:styleId="TableGrid1">
    <w:name w:val="Table Grid1"/>
    <w:basedOn w:val="TableNormal"/>
    <w:next w:val="TableGrid"/>
    <w:uiPriority w:val="39"/>
    <w:rsid w:val="00721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2764E"/>
    <w:rPr>
      <w:color w:val="605E5C"/>
      <w:shd w:val="clear" w:color="auto" w:fill="E1DFDD"/>
    </w:rPr>
  </w:style>
  <w:style w:type="paragraph" w:customStyle="1" w:styleId="FigureHeading">
    <w:name w:val="Figure Heading"/>
    <w:basedOn w:val="Normal"/>
    <w:qFormat/>
    <w:rsid w:val="00D82D7C"/>
    <w:pPr>
      <w:keepNext/>
      <w:suppressAutoHyphens w:val="0"/>
      <w:spacing w:before="240" w:after="0" w:line="240" w:lineRule="auto"/>
      <w:jc w:val="center"/>
    </w:pPr>
    <w:rPr>
      <w:rFonts w:ascii="Arial" w:hAnsi="Arial" w:cs="Times New Roman"/>
      <w:b/>
      <w:color w:val="auto"/>
      <w:lang w:val="en-AU" w:eastAsia="en-AU"/>
    </w:rPr>
  </w:style>
  <w:style w:type="paragraph" w:customStyle="1" w:styleId="FigureHeading2">
    <w:name w:val="Figure Heading 2"/>
    <w:basedOn w:val="Normal"/>
    <w:qFormat/>
    <w:rsid w:val="00D82D7C"/>
    <w:pPr>
      <w:keepNext/>
      <w:suppressAutoHyphens w:val="0"/>
      <w:spacing w:before="60" w:after="0" w:line="240" w:lineRule="auto"/>
      <w:jc w:val="center"/>
    </w:pPr>
    <w:rPr>
      <w:rFonts w:ascii="Arial" w:hAnsi="Arial" w:cs="Times New Roman"/>
      <w:color w:val="auto"/>
      <w:sz w:val="20"/>
      <w:szCs w:val="20"/>
      <w:lang w:val="en-AU" w:eastAsia="en-AU"/>
    </w:rPr>
  </w:style>
  <w:style w:type="character" w:styleId="CommentReference">
    <w:name w:val="annotation reference"/>
    <w:basedOn w:val="DefaultParagraphFont"/>
    <w:uiPriority w:val="99"/>
    <w:semiHidden/>
    <w:unhideWhenUsed/>
    <w:rsid w:val="00A51789"/>
    <w:rPr>
      <w:sz w:val="16"/>
      <w:szCs w:val="16"/>
    </w:rPr>
  </w:style>
  <w:style w:type="paragraph" w:styleId="CommentText">
    <w:name w:val="annotation text"/>
    <w:basedOn w:val="Normal"/>
    <w:link w:val="CommentTextChar"/>
    <w:uiPriority w:val="99"/>
    <w:semiHidden/>
    <w:unhideWhenUsed/>
    <w:rsid w:val="00A51789"/>
    <w:pPr>
      <w:spacing w:line="240" w:lineRule="auto"/>
    </w:pPr>
    <w:rPr>
      <w:sz w:val="20"/>
      <w:szCs w:val="20"/>
    </w:rPr>
  </w:style>
  <w:style w:type="character" w:customStyle="1" w:styleId="CommentTextChar">
    <w:name w:val="Comment Text Char"/>
    <w:basedOn w:val="DefaultParagraphFont"/>
    <w:link w:val="CommentText"/>
    <w:uiPriority w:val="99"/>
    <w:semiHidden/>
    <w:rsid w:val="00A5178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A51789"/>
    <w:rPr>
      <w:b/>
      <w:bCs/>
    </w:rPr>
  </w:style>
  <w:style w:type="character" w:customStyle="1" w:styleId="CommentSubjectChar">
    <w:name w:val="Comment Subject Char"/>
    <w:basedOn w:val="CommentTextChar"/>
    <w:link w:val="CommentSubject"/>
    <w:uiPriority w:val="99"/>
    <w:semiHidden/>
    <w:rsid w:val="00A51789"/>
    <w:rPr>
      <w:b/>
      <w:bCs/>
      <w:color w:val="495965" w:themeColor="text2"/>
      <w:sz w:val="20"/>
      <w:szCs w:val="20"/>
      <w:lang w:val="en-GB"/>
    </w:rPr>
  </w:style>
  <w:style w:type="numbering" w:customStyle="1" w:styleId="Headings">
    <w:name w:val="Headings"/>
    <w:basedOn w:val="NoList"/>
    <w:uiPriority w:val="99"/>
    <w:rsid w:val="00F755F4"/>
    <w:pPr>
      <w:numPr>
        <w:numId w:val="17"/>
      </w:numPr>
    </w:pPr>
  </w:style>
  <w:style w:type="character" w:customStyle="1" w:styleId="UnresolvedMention2">
    <w:name w:val="Unresolved Mention2"/>
    <w:basedOn w:val="DefaultParagraphFont"/>
    <w:uiPriority w:val="99"/>
    <w:semiHidden/>
    <w:unhideWhenUsed/>
    <w:rsid w:val="00DC06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07880">
      <w:bodyDiv w:val="1"/>
      <w:marLeft w:val="0"/>
      <w:marRight w:val="0"/>
      <w:marTop w:val="0"/>
      <w:marBottom w:val="0"/>
      <w:divBdr>
        <w:top w:val="none" w:sz="0" w:space="0" w:color="auto"/>
        <w:left w:val="none" w:sz="0" w:space="0" w:color="auto"/>
        <w:bottom w:val="none" w:sz="0" w:space="0" w:color="auto"/>
        <w:right w:val="none" w:sz="0" w:space="0" w:color="auto"/>
      </w:divBdr>
    </w:div>
    <w:div w:id="230042844">
      <w:bodyDiv w:val="1"/>
      <w:marLeft w:val="0"/>
      <w:marRight w:val="0"/>
      <w:marTop w:val="0"/>
      <w:marBottom w:val="0"/>
      <w:divBdr>
        <w:top w:val="none" w:sz="0" w:space="0" w:color="auto"/>
        <w:left w:val="none" w:sz="0" w:space="0" w:color="auto"/>
        <w:bottom w:val="none" w:sz="0" w:space="0" w:color="auto"/>
        <w:right w:val="none" w:sz="0" w:space="0" w:color="auto"/>
      </w:divBdr>
    </w:div>
    <w:div w:id="374820496">
      <w:bodyDiv w:val="1"/>
      <w:marLeft w:val="0"/>
      <w:marRight w:val="0"/>
      <w:marTop w:val="0"/>
      <w:marBottom w:val="0"/>
      <w:divBdr>
        <w:top w:val="none" w:sz="0" w:space="0" w:color="auto"/>
        <w:left w:val="none" w:sz="0" w:space="0" w:color="auto"/>
        <w:bottom w:val="none" w:sz="0" w:space="0" w:color="auto"/>
        <w:right w:val="none" w:sz="0" w:space="0" w:color="auto"/>
      </w:divBdr>
    </w:div>
    <w:div w:id="445659196">
      <w:bodyDiv w:val="1"/>
      <w:marLeft w:val="0"/>
      <w:marRight w:val="0"/>
      <w:marTop w:val="0"/>
      <w:marBottom w:val="0"/>
      <w:divBdr>
        <w:top w:val="none" w:sz="0" w:space="0" w:color="auto"/>
        <w:left w:val="none" w:sz="0" w:space="0" w:color="auto"/>
        <w:bottom w:val="none" w:sz="0" w:space="0" w:color="auto"/>
        <w:right w:val="none" w:sz="0" w:space="0" w:color="auto"/>
      </w:divBdr>
    </w:div>
    <w:div w:id="766001286">
      <w:bodyDiv w:val="1"/>
      <w:marLeft w:val="0"/>
      <w:marRight w:val="0"/>
      <w:marTop w:val="0"/>
      <w:marBottom w:val="0"/>
      <w:divBdr>
        <w:top w:val="none" w:sz="0" w:space="0" w:color="auto"/>
        <w:left w:val="none" w:sz="0" w:space="0" w:color="auto"/>
        <w:bottom w:val="none" w:sz="0" w:space="0" w:color="auto"/>
        <w:right w:val="none" w:sz="0" w:space="0" w:color="auto"/>
      </w:divBdr>
    </w:div>
    <w:div w:id="792672484">
      <w:bodyDiv w:val="1"/>
      <w:marLeft w:val="0"/>
      <w:marRight w:val="0"/>
      <w:marTop w:val="0"/>
      <w:marBottom w:val="0"/>
      <w:divBdr>
        <w:top w:val="none" w:sz="0" w:space="0" w:color="auto"/>
        <w:left w:val="none" w:sz="0" w:space="0" w:color="auto"/>
        <w:bottom w:val="none" w:sz="0" w:space="0" w:color="auto"/>
        <w:right w:val="none" w:sz="0" w:space="0" w:color="auto"/>
      </w:divBdr>
    </w:div>
    <w:div w:id="911894329">
      <w:bodyDiv w:val="1"/>
      <w:marLeft w:val="0"/>
      <w:marRight w:val="0"/>
      <w:marTop w:val="0"/>
      <w:marBottom w:val="0"/>
      <w:divBdr>
        <w:top w:val="none" w:sz="0" w:space="0" w:color="auto"/>
        <w:left w:val="none" w:sz="0" w:space="0" w:color="auto"/>
        <w:bottom w:val="none" w:sz="0" w:space="0" w:color="auto"/>
        <w:right w:val="none" w:sz="0" w:space="0" w:color="auto"/>
      </w:divBdr>
    </w:div>
    <w:div w:id="1097824233">
      <w:bodyDiv w:val="1"/>
      <w:marLeft w:val="0"/>
      <w:marRight w:val="0"/>
      <w:marTop w:val="0"/>
      <w:marBottom w:val="0"/>
      <w:divBdr>
        <w:top w:val="none" w:sz="0" w:space="0" w:color="auto"/>
        <w:left w:val="none" w:sz="0" w:space="0" w:color="auto"/>
        <w:bottom w:val="none" w:sz="0" w:space="0" w:color="auto"/>
        <w:right w:val="none" w:sz="0" w:space="0" w:color="auto"/>
      </w:divBdr>
    </w:div>
    <w:div w:id="1117213795">
      <w:bodyDiv w:val="1"/>
      <w:marLeft w:val="0"/>
      <w:marRight w:val="0"/>
      <w:marTop w:val="0"/>
      <w:marBottom w:val="0"/>
      <w:divBdr>
        <w:top w:val="none" w:sz="0" w:space="0" w:color="auto"/>
        <w:left w:val="none" w:sz="0" w:space="0" w:color="auto"/>
        <w:bottom w:val="none" w:sz="0" w:space="0" w:color="auto"/>
        <w:right w:val="none" w:sz="0" w:space="0" w:color="auto"/>
      </w:divBdr>
    </w:div>
    <w:div w:id="1457026032">
      <w:bodyDiv w:val="1"/>
      <w:marLeft w:val="0"/>
      <w:marRight w:val="0"/>
      <w:marTop w:val="0"/>
      <w:marBottom w:val="0"/>
      <w:divBdr>
        <w:top w:val="none" w:sz="0" w:space="0" w:color="auto"/>
        <w:left w:val="none" w:sz="0" w:space="0" w:color="auto"/>
        <w:bottom w:val="none" w:sz="0" w:space="0" w:color="auto"/>
        <w:right w:val="none" w:sz="0" w:space="0" w:color="auto"/>
      </w:divBdr>
    </w:div>
    <w:div w:id="1530265913">
      <w:bodyDiv w:val="1"/>
      <w:marLeft w:val="0"/>
      <w:marRight w:val="0"/>
      <w:marTop w:val="0"/>
      <w:marBottom w:val="0"/>
      <w:divBdr>
        <w:top w:val="none" w:sz="0" w:space="0" w:color="auto"/>
        <w:left w:val="none" w:sz="0" w:space="0" w:color="auto"/>
        <w:bottom w:val="none" w:sz="0" w:space="0" w:color="auto"/>
        <w:right w:val="none" w:sz="0" w:space="0" w:color="auto"/>
      </w:divBdr>
    </w:div>
    <w:div w:id="1594361062">
      <w:bodyDiv w:val="1"/>
      <w:marLeft w:val="0"/>
      <w:marRight w:val="0"/>
      <w:marTop w:val="0"/>
      <w:marBottom w:val="0"/>
      <w:divBdr>
        <w:top w:val="none" w:sz="0" w:space="0" w:color="auto"/>
        <w:left w:val="none" w:sz="0" w:space="0" w:color="auto"/>
        <w:bottom w:val="none" w:sz="0" w:space="0" w:color="auto"/>
        <w:right w:val="none" w:sz="0" w:space="0" w:color="auto"/>
      </w:divBdr>
    </w:div>
    <w:div w:id="1636829775">
      <w:bodyDiv w:val="1"/>
      <w:marLeft w:val="0"/>
      <w:marRight w:val="0"/>
      <w:marTop w:val="0"/>
      <w:marBottom w:val="0"/>
      <w:divBdr>
        <w:top w:val="none" w:sz="0" w:space="0" w:color="auto"/>
        <w:left w:val="none" w:sz="0" w:space="0" w:color="auto"/>
        <w:bottom w:val="none" w:sz="0" w:space="0" w:color="auto"/>
        <w:right w:val="none" w:sz="0" w:space="0" w:color="auto"/>
      </w:divBdr>
    </w:div>
    <w:div w:id="1640914412">
      <w:bodyDiv w:val="1"/>
      <w:marLeft w:val="0"/>
      <w:marRight w:val="0"/>
      <w:marTop w:val="0"/>
      <w:marBottom w:val="0"/>
      <w:divBdr>
        <w:top w:val="none" w:sz="0" w:space="0" w:color="auto"/>
        <w:left w:val="none" w:sz="0" w:space="0" w:color="auto"/>
        <w:bottom w:val="none" w:sz="0" w:space="0" w:color="auto"/>
        <w:right w:val="none" w:sz="0" w:space="0" w:color="auto"/>
      </w:divBdr>
    </w:div>
    <w:div w:id="1723286445">
      <w:bodyDiv w:val="1"/>
      <w:marLeft w:val="0"/>
      <w:marRight w:val="0"/>
      <w:marTop w:val="0"/>
      <w:marBottom w:val="0"/>
      <w:divBdr>
        <w:top w:val="none" w:sz="0" w:space="0" w:color="auto"/>
        <w:left w:val="none" w:sz="0" w:space="0" w:color="auto"/>
        <w:bottom w:val="none" w:sz="0" w:space="0" w:color="auto"/>
        <w:right w:val="none" w:sz="0" w:space="0" w:color="auto"/>
      </w:divBdr>
    </w:div>
    <w:div w:id="1726564346">
      <w:bodyDiv w:val="1"/>
      <w:marLeft w:val="0"/>
      <w:marRight w:val="0"/>
      <w:marTop w:val="0"/>
      <w:marBottom w:val="0"/>
      <w:divBdr>
        <w:top w:val="none" w:sz="0" w:space="0" w:color="auto"/>
        <w:left w:val="none" w:sz="0" w:space="0" w:color="auto"/>
        <w:bottom w:val="none" w:sz="0" w:space="0" w:color="auto"/>
        <w:right w:val="none" w:sz="0" w:space="0" w:color="auto"/>
      </w:divBdr>
    </w:div>
    <w:div w:id="1825663694">
      <w:bodyDiv w:val="1"/>
      <w:marLeft w:val="0"/>
      <w:marRight w:val="0"/>
      <w:marTop w:val="0"/>
      <w:marBottom w:val="0"/>
      <w:divBdr>
        <w:top w:val="none" w:sz="0" w:space="0" w:color="auto"/>
        <w:left w:val="none" w:sz="0" w:space="0" w:color="auto"/>
        <w:bottom w:val="none" w:sz="0" w:space="0" w:color="auto"/>
        <w:right w:val="none" w:sz="0" w:space="0" w:color="auto"/>
      </w:divBdr>
    </w:div>
    <w:div w:id="1865708727">
      <w:bodyDiv w:val="1"/>
      <w:marLeft w:val="0"/>
      <w:marRight w:val="0"/>
      <w:marTop w:val="0"/>
      <w:marBottom w:val="0"/>
      <w:divBdr>
        <w:top w:val="none" w:sz="0" w:space="0" w:color="auto"/>
        <w:left w:val="none" w:sz="0" w:space="0" w:color="auto"/>
        <w:bottom w:val="none" w:sz="0" w:space="0" w:color="auto"/>
        <w:right w:val="none" w:sz="0" w:space="0" w:color="auto"/>
      </w:divBdr>
    </w:div>
    <w:div w:id="2064523503">
      <w:bodyDiv w:val="1"/>
      <w:marLeft w:val="0"/>
      <w:marRight w:val="0"/>
      <w:marTop w:val="0"/>
      <w:marBottom w:val="0"/>
      <w:divBdr>
        <w:top w:val="none" w:sz="0" w:space="0" w:color="auto"/>
        <w:left w:val="none" w:sz="0" w:space="0" w:color="auto"/>
        <w:bottom w:val="none" w:sz="0" w:space="0" w:color="auto"/>
        <w:right w:val="none" w:sz="0" w:space="0" w:color="auto"/>
      </w:divBdr>
    </w:div>
    <w:div w:id="2081101956">
      <w:bodyDiv w:val="1"/>
      <w:marLeft w:val="0"/>
      <w:marRight w:val="0"/>
      <w:marTop w:val="0"/>
      <w:marBottom w:val="0"/>
      <w:divBdr>
        <w:top w:val="none" w:sz="0" w:space="0" w:color="auto"/>
        <w:left w:val="none" w:sz="0" w:space="0" w:color="auto"/>
        <w:bottom w:val="none" w:sz="0" w:space="0" w:color="auto"/>
        <w:right w:val="none" w:sz="0" w:space="0" w:color="auto"/>
      </w:divBdr>
    </w:div>
    <w:div w:id="212789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image" Target="media/image7.png"/><Relationship Id="rId39" Type="http://schemas.openxmlformats.org/officeDocument/2006/relationships/header" Target="header7.xml"/><Relationship Id="rId21" Type="http://schemas.openxmlformats.org/officeDocument/2006/relationships/image" Target="media/image5.jpeg"/><Relationship Id="rId34" Type="http://schemas.openxmlformats.org/officeDocument/2006/relationships/chart" Target="charts/chart9.xml"/><Relationship Id="rId42" Type="http://schemas.openxmlformats.org/officeDocument/2006/relationships/header" Target="header9.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7.xml"/><Relationship Id="rId32" Type="http://schemas.openxmlformats.org/officeDocument/2006/relationships/image" Target="media/image12.png"/><Relationship Id="rId37" Type="http://schemas.openxmlformats.org/officeDocument/2006/relationships/header" Target="header6.xml"/><Relationship Id="rId40" Type="http://schemas.openxmlformats.org/officeDocument/2006/relationships/header" Target="header8.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image" Target="media/image8.pn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image" Target="media/image10.png"/><Relationship Id="rId35" Type="http://schemas.openxmlformats.org/officeDocument/2006/relationships/header" Target="header4.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6.jpg"/><Relationship Id="rId33" Type="http://schemas.openxmlformats.org/officeDocument/2006/relationships/image" Target="media/image13.png"/><Relationship Id="rId38" Type="http://schemas.openxmlformats.org/officeDocument/2006/relationships/footer" Target="footer4.xml"/><Relationship Id="rId46" Type="http://schemas.openxmlformats.org/officeDocument/2006/relationships/customXml" Target="../customXml/item3.xml"/><Relationship Id="rId20" Type="http://schemas.openxmlformats.org/officeDocument/2006/relationships/image" Target="media/image4.wmf"/><Relationship Id="rId41" Type="http://schemas.openxmlformats.org/officeDocument/2006/relationships/hyperlink" Target="https://dfat.gov.au/about-us/publications/Pages/australia-awards-statistical-profile.aspx"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globalalumni.gov.au/Australia-Awards/Alumni-Stories/Details/ArticleId/3155" TargetMode="External"/><Relationship Id="rId2" Type="http://schemas.openxmlformats.org/officeDocument/2006/relationships/hyperlink" Target="https://dfat.gov.au/about-us/publications/Pages/australia-awards-statistical-profile.aspx" TargetMode="External"/><Relationship Id="rId1" Type="http://schemas.openxmlformats.org/officeDocument/2006/relationships/hyperlink" Target="https://dfat.gov.au/about-us/publications/Pages/australia-global-alumni-engagement-strategy-2016-2020.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elenmcd55\Documents\DFAT%202019\AQC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helenmcd55\Documents\DFAT%202019\AQCs.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elenmcd55\Documents\DFAT%202019\AQCs.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elenmcd55\AppData\Local\Microsoft\Windows\INetCache\Content.Outlook\C9E9ORS1\Yr%203%20Tracery%20Survey%20-%20Preliminary%20Outcomes%20findings.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elenmcd55\AppData\Local\Microsoft\Windows\INetCache\Content.Outlook\C9E9ORS1\Yr%203%20Tracery%20Survey%20-%20Preliminary%20Outcomes%20finding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elenmcd55\AppData\Local\Microsoft\Windows\INetCache\Content.Outlook\C9E9ORS1\Yr%203%20Tracery%20Survey%20-%20Preliminary%20Outcomes%20findings.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AU" sz="800"/>
              <a:t>Australia Awards 2019 intake* - regional focus</a:t>
            </a:r>
          </a:p>
        </c:rich>
      </c:tx>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82F-4A88-9F99-55A80A06976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82F-4A88-9F99-55A80A06976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82F-4A88-9F99-55A80A06976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82F-4A88-9F99-55A80A06976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82F-4A88-9F99-55A80A06976D}"/>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282F-4A88-9F99-55A80A06976D}"/>
              </c:ext>
            </c:extLst>
          </c:dPt>
          <c:dLbls>
            <c:dLbl>
              <c:idx val="0"/>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FC72F27B-411E-44EC-BA95-AF377A34A831}" type="CATEGORYNAME">
                      <a:rPr lang="en-US" sz="600" kern="0" baseline="0"/>
                      <a:pPr>
                        <a:defRPr sz="1000" b="1" i="0" u="none" strike="noStrike" kern="1200" spc="0" baseline="0">
                          <a:solidFill>
                            <a:schemeClr val="accent1"/>
                          </a:solidFill>
                          <a:latin typeface="+mn-lt"/>
                          <a:ea typeface="+mn-ea"/>
                          <a:cs typeface="+mn-cs"/>
                        </a:defRPr>
                      </a:pPr>
                      <a:t>[CATEGORY NAME]</a:t>
                    </a:fld>
                    <a:r>
                      <a:rPr lang="en-US" kern="0" baseline="0"/>
                      <a:t>
</a:t>
                    </a:r>
                    <a:fld id="{245DC21D-6A5D-4AD8-A09B-71EB178EE087}" type="PERCENTAGE">
                      <a:rPr lang="en-US" sz="600" kern="0" baseline="0"/>
                      <a:pPr>
                        <a:defRPr sz="1000" b="1" i="0" u="none" strike="noStrike" kern="1200" spc="0" baseline="0">
                          <a:solidFill>
                            <a:schemeClr val="accent1"/>
                          </a:solidFill>
                          <a:latin typeface="+mn-lt"/>
                          <a:ea typeface="+mn-ea"/>
                          <a:cs typeface="+mn-cs"/>
                        </a:defRPr>
                      </a:pPr>
                      <a:t>[PERCENTAGE]</a:t>
                    </a:fld>
                    <a:endParaRPr lang="en-US" kern="0" baseline="0"/>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15:dlblFieldTable/>
                  <c15:showDataLabelsRange val="0"/>
                </c:ext>
                <c:ext xmlns:c16="http://schemas.microsoft.com/office/drawing/2014/chart" uri="{C3380CC4-5D6E-409C-BE32-E72D297353CC}">
                  <c16:uniqueId val="{00000001-282F-4A88-9F99-55A80A06976D}"/>
                </c:ext>
              </c:extLst>
            </c:dLbl>
            <c:dLbl>
              <c:idx val="1"/>
              <c:layout>
                <c:manualLayout>
                  <c:x val="0.24256292906178481"/>
                  <c:y val="-5.9826503140891418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756C0F70-77F1-494D-9741-7CA12ECA0EB4}" type="CATEGORYNAME">
                      <a:rPr lang="en-US" sz="600"/>
                      <a:pPr>
                        <a:defRPr sz="1000" b="1" i="0" u="none" strike="noStrike" kern="1200" spc="0" baseline="0">
                          <a:solidFill>
                            <a:schemeClr val="accent1"/>
                          </a:solidFill>
                          <a:latin typeface="+mn-lt"/>
                          <a:ea typeface="+mn-ea"/>
                          <a:cs typeface="+mn-cs"/>
                        </a:defRPr>
                      </a:pPr>
                      <a:t>[CATEGORY NAME]</a:t>
                    </a:fld>
                    <a:r>
                      <a:rPr lang="en-US" sz="600" baseline="0"/>
                      <a:t>
</a:t>
                    </a:r>
                    <a:fld id="{D569D9B2-663E-43C2-B859-D7483C1E4D06}" type="PERCENTAGE">
                      <a:rPr lang="en-US" sz="600" baseline="0"/>
                      <a:pPr>
                        <a:defRPr sz="1000" b="1" i="0" u="none" strike="noStrike" kern="1200" spc="0" baseline="0">
                          <a:solidFill>
                            <a:schemeClr val="accent1"/>
                          </a:solidFill>
                          <a:latin typeface="+mn-lt"/>
                          <a:ea typeface="+mn-ea"/>
                          <a:cs typeface="+mn-cs"/>
                        </a:defRPr>
                      </a:pPr>
                      <a:t>[PERCENTAGE]</a:t>
                    </a:fld>
                    <a:endParaRPr lang="en-US" sz="600"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282F-4A88-9F99-55A80A06976D}"/>
                </c:ext>
              </c:extLst>
            </c:dLbl>
            <c:dLbl>
              <c:idx val="2"/>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4A0CEE7-29FA-4898-AD7E-85742733E72A}" type="CATEGORYNAME">
                      <a:rPr lang="en-US" sz="600"/>
                      <a:pPr>
                        <a:defRPr sz="1000" b="1" i="0" u="none" strike="noStrike" kern="1200" spc="0" baseline="0">
                          <a:solidFill>
                            <a:schemeClr val="accent1"/>
                          </a:solidFill>
                          <a:latin typeface="+mn-lt"/>
                          <a:ea typeface="+mn-ea"/>
                          <a:cs typeface="+mn-cs"/>
                        </a:defRPr>
                      </a:pPr>
                      <a:t>[CATEGORY NAME]</a:t>
                    </a:fld>
                    <a:r>
                      <a:rPr lang="en-US" baseline="0"/>
                      <a:t>
</a:t>
                    </a:r>
                    <a:fld id="{C6C22E49-0D0E-4F0E-9E22-F90903F4F2B9}" type="PERCENTAGE">
                      <a:rPr lang="en-US" sz="600" baseline="0"/>
                      <a:pPr>
                        <a:defRPr sz="1000" b="1" i="0" u="none" strike="noStrike" kern="1200" spc="0" baseline="0">
                          <a:solidFill>
                            <a:schemeClr val="accent1"/>
                          </a:solidFill>
                          <a:latin typeface="+mn-lt"/>
                          <a:ea typeface="+mn-ea"/>
                          <a:cs typeface="+mn-cs"/>
                        </a:defRPr>
                      </a:pPr>
                      <a:t>[PERCENTAGE]</a:t>
                    </a:fld>
                    <a:endParaRPr lang="en-US" baseline="0"/>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282F-4A88-9F99-55A80A06976D}"/>
                </c:ext>
              </c:extLst>
            </c:dLbl>
            <c:dLbl>
              <c:idx val="3"/>
              <c:layout/>
              <c:tx>
                <c:rich>
                  <a:bodyPr rot="0" spcFirstLastPara="1" vertOverflow="ellipsis" horzOverflow="clip"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989DCD59-6DB4-4572-AA2A-39475033E6DC}" type="CATEGORYNAME">
                      <a:rPr lang="en-US" sz="600"/>
                      <a:pPr>
                        <a:defRPr sz="1000" b="1" i="0" u="none" strike="noStrike" kern="1200" spc="0" baseline="0">
                          <a:solidFill>
                            <a:schemeClr val="accent1"/>
                          </a:solidFill>
                          <a:latin typeface="+mn-lt"/>
                          <a:ea typeface="+mn-ea"/>
                          <a:cs typeface="+mn-cs"/>
                        </a:defRPr>
                      </a:pPr>
                      <a:t>[CATEGORY NAME]</a:t>
                    </a:fld>
                    <a:r>
                      <a:rPr lang="en-US" sz="600" baseline="0"/>
                      <a:t>
</a:t>
                    </a:r>
                    <a:fld id="{D2710A29-6726-4AC3-8C04-CBEBDF3E2F0A}" type="PERCENTAGE">
                      <a:rPr lang="en-US" sz="600" baseline="0"/>
                      <a:pPr>
                        <a:defRPr sz="1000" b="1" i="0" u="none" strike="noStrike" kern="1200" spc="0" baseline="0">
                          <a:solidFill>
                            <a:schemeClr val="accent1"/>
                          </a:solidFill>
                          <a:latin typeface="+mn-lt"/>
                          <a:ea typeface="+mn-ea"/>
                          <a:cs typeface="+mn-cs"/>
                        </a:defRPr>
                      </a:pPr>
                      <a:t>[PERCENTAGE]</a:t>
                    </a:fld>
                    <a:endParaRPr lang="en-US" sz="600" baseline="0"/>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15:dlblFieldTable/>
                  <c15:showDataLabelsRange val="0"/>
                </c:ext>
                <c:ext xmlns:c16="http://schemas.microsoft.com/office/drawing/2014/chart" uri="{C3380CC4-5D6E-409C-BE32-E72D297353CC}">
                  <c16:uniqueId val="{00000007-282F-4A88-9F99-55A80A06976D}"/>
                </c:ext>
              </c:extLst>
            </c:dLbl>
            <c:dLbl>
              <c:idx val="4"/>
              <c:layout>
                <c:manualLayout>
                  <c:x val="-1.1931205967675051E-2"/>
                  <c:y val="4.949583216546032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FDF3D1F-46C9-4D29-8FED-2EC055D9BEDD}" type="CATEGORYNAME">
                      <a:rPr lang="en-US" sz="600"/>
                      <a:pPr>
                        <a:defRPr sz="1000" b="1" i="0" u="none" strike="noStrike" kern="1200" spc="0" baseline="0">
                          <a:solidFill>
                            <a:schemeClr val="accent1"/>
                          </a:solidFill>
                          <a:latin typeface="+mn-lt"/>
                          <a:ea typeface="+mn-ea"/>
                          <a:cs typeface="+mn-cs"/>
                        </a:defRPr>
                      </a:pPr>
                      <a:t>[CATEGORY NAME]</a:t>
                    </a:fld>
                    <a:r>
                      <a:rPr lang="en-US" baseline="0"/>
                      <a:t>
</a:t>
                    </a:r>
                    <a:fld id="{8197853E-45B2-4F37-ADEA-7A542656CAE0}" type="PERCENTAGE">
                      <a:rPr lang="en-US" sz="600" baseline="0"/>
                      <a:pPr>
                        <a:defRPr sz="1000" b="1" i="0" u="none" strike="noStrike" kern="1200" spc="0" baseline="0">
                          <a:solidFill>
                            <a:schemeClr val="accent1"/>
                          </a:solidFill>
                          <a:latin typeface="+mn-lt"/>
                          <a:ea typeface="+mn-ea"/>
                          <a:cs typeface="+mn-cs"/>
                        </a:defRPr>
                      </a:pPr>
                      <a:t>[PERCENTAGE]</a:t>
                    </a:fld>
                    <a:endParaRPr lang="en-US"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39572965278653671"/>
                      <c:h val="0.14651887479066614"/>
                    </c:manualLayout>
                  </c15:layout>
                  <c15:dlblFieldTable/>
                  <c15:showDataLabelsRange val="0"/>
                </c:ext>
                <c:ext xmlns:c16="http://schemas.microsoft.com/office/drawing/2014/chart" uri="{C3380CC4-5D6E-409C-BE32-E72D297353CC}">
                  <c16:uniqueId val="{00000009-282F-4A88-9F99-55A80A06976D}"/>
                </c:ext>
              </c:extLst>
            </c:dLbl>
            <c:dLbl>
              <c:idx val="5"/>
              <c:layout>
                <c:manualLayout>
                  <c:x val="0.17845182420704275"/>
                  <c:y val="3.160011526198183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B21828A1-D609-439F-A8DD-E8AAA9917671}" type="CATEGORYNAME">
                      <a:rPr lang="en-US" sz="600"/>
                      <a:pPr>
                        <a:defRPr sz="1000" b="1" i="0" u="none" strike="noStrike" kern="1200" spc="0" baseline="0">
                          <a:solidFill>
                            <a:schemeClr val="accent1"/>
                          </a:solidFill>
                          <a:latin typeface="+mn-lt"/>
                          <a:ea typeface="+mn-ea"/>
                          <a:cs typeface="+mn-cs"/>
                        </a:defRPr>
                      </a:pPr>
                      <a:t>[CATEGORY NAME]</a:t>
                    </a:fld>
                    <a:r>
                      <a:rPr lang="en-US" sz="600" baseline="0"/>
                      <a:t>
</a:t>
                    </a:r>
                    <a:fld id="{B6F801D5-FE00-4994-8D60-CA7B2E76A7BE}" type="PERCENTAGE">
                      <a:rPr lang="en-US" sz="600" baseline="0"/>
                      <a:pPr>
                        <a:defRPr sz="1000" b="1" i="0" u="none" strike="noStrike" kern="1200" spc="0" baseline="0">
                          <a:solidFill>
                            <a:schemeClr val="accent1"/>
                          </a:solidFill>
                          <a:latin typeface="+mn-lt"/>
                          <a:ea typeface="+mn-ea"/>
                          <a:cs typeface="+mn-cs"/>
                        </a:defRPr>
                      </a:pPr>
                      <a:t>[PERCENTAGE]</a:t>
                    </a:fld>
                    <a:endParaRPr lang="en-US" sz="600"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42654209985765507"/>
                      <c:h val="0.11355635585934648"/>
                    </c:manualLayout>
                  </c15:layout>
                  <c15:dlblFieldTable/>
                  <c15:showDataLabelsRange val="0"/>
                </c:ext>
                <c:ext xmlns:c16="http://schemas.microsoft.com/office/drawing/2014/chart" uri="{C3380CC4-5D6E-409C-BE32-E72D297353CC}">
                  <c16:uniqueId val="{0000000B-282F-4A88-9F99-55A80A06976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Sheet2!$B$7:$B$12</c:f>
              <c:strCache>
                <c:ptCount val="6"/>
                <c:pt idx="0">
                  <c:v>South East and East Asia</c:v>
                </c:pt>
                <c:pt idx="1">
                  <c:v>South Asia</c:v>
                </c:pt>
                <c:pt idx="2">
                  <c:v>Pacific Island Countries</c:v>
                </c:pt>
                <c:pt idx="3">
                  <c:v>Papua New Guinea</c:v>
                </c:pt>
                <c:pt idx="4">
                  <c:v>Sub-Saharan Africa</c:v>
                </c:pt>
                <c:pt idx="5">
                  <c:v>North Africa &amp; the Middle East</c:v>
                </c:pt>
              </c:strCache>
            </c:strRef>
          </c:cat>
          <c:val>
            <c:numRef>
              <c:f>Sheet2!$C$7:$C$12</c:f>
              <c:numCache>
                <c:formatCode>0%</c:formatCode>
                <c:ptCount val="6"/>
                <c:pt idx="0">
                  <c:v>0.44090474673462887</c:v>
                </c:pt>
                <c:pt idx="1">
                  <c:v>0.18763937559732399</c:v>
                </c:pt>
                <c:pt idx="2">
                  <c:v>9.9394711691621535E-2</c:v>
                </c:pt>
                <c:pt idx="3">
                  <c:v>0.14017202930869704</c:v>
                </c:pt>
                <c:pt idx="4">
                  <c:v>0.12806626314112773</c:v>
                </c:pt>
                <c:pt idx="5">
                  <c:v>0.01</c:v>
                </c:pt>
              </c:numCache>
            </c:numRef>
          </c:val>
          <c:extLst>
            <c:ext xmlns:c16="http://schemas.microsoft.com/office/drawing/2014/chart" uri="{C3380CC4-5D6E-409C-BE32-E72D297353CC}">
              <c16:uniqueId val="{0000000C-282F-4A88-9F99-55A80A06976D}"/>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AU" sz="800"/>
              <a:t>current</a:t>
            </a:r>
            <a:r>
              <a:rPr lang="en-AU" sz="800" baseline="0"/>
              <a:t> </a:t>
            </a:r>
            <a:r>
              <a:rPr lang="en-AU" sz="800"/>
              <a:t>Australia</a:t>
            </a:r>
            <a:r>
              <a:rPr lang="en-AU" sz="800" baseline="0"/>
              <a:t> Awards scholarships by sector as at 31 January 2019 </a:t>
            </a:r>
          </a:p>
        </c:rich>
      </c:tx>
      <c:layout>
        <c:manualLayout>
          <c:xMode val="edge"/>
          <c:yMode val="edge"/>
          <c:x val="9.9088952463619207E-2"/>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8A0-40AF-B525-FA5DCF5B90B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8A0-40AF-B525-FA5DCF5B90B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8A0-40AF-B525-FA5DCF5B90B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8A0-40AF-B525-FA5DCF5B90B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8A0-40AF-B525-FA5DCF5B90B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C8A0-40AF-B525-FA5DCF5B90B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C8A0-40AF-B525-FA5DCF5B90B3}"/>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0CBA0A3-EF06-4635-8111-38ADB512885E}" type="CATEGORYNAME">
                      <a:rPr lang="en-US" sz="600"/>
                      <a:pPr>
                        <a:defRPr/>
                      </a:pPr>
                      <a:t>[CATEGORY NAME]</a:t>
                    </a:fld>
                    <a:r>
                      <a:rPr lang="en-US" sz="600" baseline="0"/>
                      <a:t>
</a:t>
                    </a:r>
                    <a:fld id="{A79942ED-1315-48AE-9133-0354A632DA2D}" type="PERCENTAGE">
                      <a:rPr lang="en-US" sz="600" baseline="0"/>
                      <a:pPr>
                        <a:defRPr/>
                      </a:pPr>
                      <a:t>[PERCENTAGE]</a:t>
                    </a:fld>
                    <a:endParaRPr lang="en-US" sz="6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C8A0-40AF-B525-FA5DCF5B90B3}"/>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73096CD-1B7E-48BC-A89B-D15AF910A173}" type="CATEGORYNAME">
                      <a:rPr lang="en-US" sz="600"/>
                      <a:pPr>
                        <a:defRPr>
                          <a:solidFill>
                            <a:schemeClr val="accent1"/>
                          </a:solidFill>
                        </a:defRPr>
                      </a:pPr>
                      <a:t>[CATEGORY NAME]</a:t>
                    </a:fld>
                    <a:r>
                      <a:rPr lang="en-US" sz="600" baseline="0"/>
                      <a:t>
</a:t>
                    </a:r>
                    <a:fld id="{F325E33E-3AFA-4317-A882-A8DAF095893E}" type="PERCENTAGE">
                      <a:rPr lang="en-US" sz="600" baseline="0"/>
                      <a:pPr>
                        <a:defRPr>
                          <a:solidFill>
                            <a:schemeClr val="accent1"/>
                          </a:solidFill>
                        </a:defRPr>
                      </a:pPr>
                      <a:t>[PERCENTAGE]</a:t>
                    </a:fld>
                    <a:endParaRPr lang="en-US" sz="6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C8A0-40AF-B525-FA5DCF5B90B3}"/>
                </c:ext>
              </c:extLst>
            </c:dLbl>
            <c:dLbl>
              <c:idx val="2"/>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AF7101D-E1E0-434F-A064-202CAEEB6006}" type="CATEGORYNAME">
                      <a:rPr lang="en-US" sz="600"/>
                      <a:pPr>
                        <a:defRPr>
                          <a:solidFill>
                            <a:schemeClr val="accent1"/>
                          </a:solidFill>
                        </a:defRPr>
                      </a:pPr>
                      <a:t>[CATEGORY NAME]</a:t>
                    </a:fld>
                    <a:r>
                      <a:rPr lang="en-US" sz="600" baseline="0"/>
                      <a:t>
</a:t>
                    </a:r>
                    <a:fld id="{A188106F-8C0C-471D-B9B8-D43BF9326333}" type="PERCENTAGE">
                      <a:rPr lang="en-US" sz="600" baseline="0"/>
                      <a:pPr>
                        <a:defRPr>
                          <a:solidFill>
                            <a:schemeClr val="accent1"/>
                          </a:solidFill>
                        </a:defRPr>
                      </a:pPr>
                      <a:t>[PERCENTAGE]</a:t>
                    </a:fld>
                    <a:endParaRPr lang="en-US" sz="6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C8A0-40AF-B525-FA5DCF5B90B3}"/>
                </c:ext>
              </c:extLst>
            </c:dLbl>
            <c:dLbl>
              <c:idx val="3"/>
              <c:layout>
                <c:manualLayout>
                  <c:x val="1.5531660692951029E-2"/>
                  <c:y val="0.12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E991948-5704-497D-B0B0-4BE385551A3B}" type="CATEGORYNAME">
                      <a:rPr lang="en-US" sz="600"/>
                      <a:pPr>
                        <a:defRPr>
                          <a:solidFill>
                            <a:schemeClr val="accent1"/>
                          </a:solidFill>
                        </a:defRPr>
                      </a:pPr>
                      <a:t>[CATEGORY NAME]</a:t>
                    </a:fld>
                    <a:r>
                      <a:rPr lang="en-US" sz="600" baseline="0"/>
                      <a:t>
</a:t>
                    </a:r>
                    <a:fld id="{CDF66608-791B-4769-80CC-CE18F39D6A85}" type="PERCENTAGE">
                      <a:rPr lang="en-US" sz="600" baseline="0"/>
                      <a:pPr>
                        <a:defRPr>
                          <a:solidFill>
                            <a:schemeClr val="accent1"/>
                          </a:solidFill>
                        </a:defRPr>
                      </a:pPr>
                      <a:t>[PERCENTAGE]</a:t>
                    </a:fld>
                    <a:endParaRPr lang="en-US" sz="6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56151986378047"/>
                      <c:h val="0.18340296004666085"/>
                    </c:manualLayout>
                  </c15:layout>
                  <c15:dlblFieldTable/>
                  <c15:showDataLabelsRange val="0"/>
                </c:ext>
                <c:ext xmlns:c16="http://schemas.microsoft.com/office/drawing/2014/chart" uri="{C3380CC4-5D6E-409C-BE32-E72D297353CC}">
                  <c16:uniqueId val="{00000007-C8A0-40AF-B525-FA5DCF5B90B3}"/>
                </c:ext>
              </c:extLst>
            </c:dLbl>
            <c:dLbl>
              <c:idx val="4"/>
              <c:layout>
                <c:manualLayout>
                  <c:x val="-5.4958183990442076E-2"/>
                  <c:y val="0.1111111111111110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FC8620D-236D-46CE-B5FF-173E0EE3AFE1}" type="CATEGORYNAME">
                      <a:rPr lang="en-US" sz="600"/>
                      <a:pPr>
                        <a:defRPr>
                          <a:solidFill>
                            <a:schemeClr val="accent1"/>
                          </a:solidFill>
                        </a:defRPr>
                      </a:pPr>
                      <a:t>[CATEGORY NAME]</a:t>
                    </a:fld>
                    <a:r>
                      <a:rPr lang="en-US" sz="600" baseline="0"/>
                      <a:t>
</a:t>
                    </a:r>
                    <a:fld id="{B3FA36CD-0DDC-4844-9F3F-2D1C05EE92E8}" type="PERCENTAGE">
                      <a:rPr lang="en-US" sz="600" baseline="0"/>
                      <a:pPr>
                        <a:defRPr>
                          <a:solidFill>
                            <a:schemeClr val="accent1"/>
                          </a:solidFill>
                        </a:defRPr>
                      </a:pPr>
                      <a:t>[PERCENTAGE]</a:t>
                    </a:fld>
                    <a:endParaRPr lang="en-US" sz="6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C8A0-40AF-B525-FA5DCF5B90B3}"/>
                </c:ext>
              </c:extLst>
            </c:dLbl>
            <c:dLbl>
              <c:idx val="5"/>
              <c:layout>
                <c:manualLayout>
                  <c:x val="7.92620234010043E-2"/>
                  <c:y val="6.481473072355024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4BE9EDD-0559-4E61-A59A-B833CB32AD3B}" type="CATEGORYNAME">
                      <a:rPr lang="en-US" sz="700"/>
                      <a:pPr>
                        <a:defRPr>
                          <a:solidFill>
                            <a:schemeClr val="accent1"/>
                          </a:solidFill>
                        </a:defRPr>
                      </a:pPr>
                      <a:t>[CATEGORY NAME]</a:t>
                    </a:fld>
                    <a:r>
                      <a:rPr lang="en-US" sz="700" baseline="0"/>
                      <a:t>
</a:t>
                    </a:r>
                    <a:fld id="{744CB052-952C-4412-9356-C0E44BDFDC1C}" type="PERCENTAGE">
                      <a:rPr lang="en-US" sz="700" baseline="0"/>
                      <a:pPr>
                        <a:defRPr>
                          <a:solidFill>
                            <a:schemeClr val="accent1"/>
                          </a:solidFill>
                        </a:defRPr>
                      </a:pPr>
                      <a:t>[PERCENTAGE]</a:t>
                    </a:fld>
                    <a:endParaRPr lang="en-US" sz="7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5380471736334973"/>
                      <c:h val="0.18340279186413172"/>
                    </c:manualLayout>
                  </c15:layout>
                  <c15:dlblFieldTable/>
                  <c15:showDataLabelsRange val="0"/>
                </c:ext>
                <c:ext xmlns:c16="http://schemas.microsoft.com/office/drawing/2014/chart" uri="{C3380CC4-5D6E-409C-BE32-E72D297353CC}">
                  <c16:uniqueId val="{0000000B-C8A0-40AF-B525-FA5DCF5B90B3}"/>
                </c:ext>
              </c:extLst>
            </c:dLbl>
            <c:dLbl>
              <c:idx val="6"/>
              <c:layout>
                <c:manualLayout>
                  <c:x val="6.9295101553165983E-2"/>
                  <c:y val="4.6296296296296086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49D2D4A-1EBB-4B8D-A545-BA3614C36DD7}" type="CATEGORYNAME">
                      <a:rPr lang="en-US" sz="600"/>
                      <a:pPr>
                        <a:defRPr>
                          <a:solidFill>
                            <a:schemeClr val="accent1"/>
                          </a:solidFill>
                        </a:defRPr>
                      </a:pPr>
                      <a:t>[CATEGORY NAME]</a:t>
                    </a:fld>
                    <a:r>
                      <a:rPr lang="en-US" sz="600" baseline="0"/>
                      <a:t>
</a:t>
                    </a:r>
                    <a:fld id="{32F96308-C434-4A52-8E4E-D4FACA6A3CD7}" type="PERCENTAGE">
                      <a:rPr lang="en-US" sz="600" baseline="0"/>
                      <a:pPr>
                        <a:defRPr>
                          <a:solidFill>
                            <a:schemeClr val="accent1"/>
                          </a:solidFill>
                        </a:defRPr>
                      </a:pPr>
                      <a:t>[PERCENTAGE]</a:t>
                    </a:fld>
                    <a:endParaRPr lang="en-US" sz="6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C8A0-40AF-B525-FA5DCF5B90B3}"/>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Sheet2!$B$42:$B$48</c:f>
              <c:strCache>
                <c:ptCount val="7"/>
                <c:pt idx="0">
                  <c:v>Education</c:v>
                </c:pt>
                <c:pt idx="1">
                  <c:v>Governance</c:v>
                </c:pt>
                <c:pt idx="2">
                  <c:v>Health</c:v>
                </c:pt>
                <c:pt idx="3">
                  <c:v>Rural Development &amp; Food Security</c:v>
                </c:pt>
                <c:pt idx="4">
                  <c:v>Infrastructure</c:v>
                </c:pt>
                <c:pt idx="5">
                  <c:v>Environment and Natural Resource Mgt</c:v>
                </c:pt>
                <c:pt idx="6">
                  <c:v>Other</c:v>
                </c:pt>
              </c:strCache>
            </c:strRef>
          </c:cat>
          <c:val>
            <c:numRef>
              <c:f>Sheet2!$C$42:$C$48</c:f>
              <c:numCache>
                <c:formatCode>General</c:formatCode>
                <c:ptCount val="7"/>
                <c:pt idx="0">
                  <c:v>600</c:v>
                </c:pt>
                <c:pt idx="1">
                  <c:v>241</c:v>
                </c:pt>
                <c:pt idx="2">
                  <c:v>233</c:v>
                </c:pt>
                <c:pt idx="3">
                  <c:v>105</c:v>
                </c:pt>
                <c:pt idx="4">
                  <c:v>67</c:v>
                </c:pt>
                <c:pt idx="5">
                  <c:v>81</c:v>
                </c:pt>
                <c:pt idx="6">
                  <c:v>59</c:v>
                </c:pt>
              </c:numCache>
            </c:numRef>
          </c:val>
          <c:extLst>
            <c:ext xmlns:c16="http://schemas.microsoft.com/office/drawing/2014/chart" uri="{C3380CC4-5D6E-409C-BE32-E72D297353CC}">
              <c16:uniqueId val="{0000000E-C8A0-40AF-B525-FA5DCF5B90B3}"/>
            </c:ext>
          </c:extLst>
        </c:ser>
        <c:ser>
          <c:idx val="1"/>
          <c:order val="1"/>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C8A0-40AF-B525-FA5DCF5B90B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C8A0-40AF-B525-FA5DCF5B90B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C8A0-40AF-B525-FA5DCF5B90B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C8A0-40AF-B525-FA5DCF5B90B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C8A0-40AF-B525-FA5DCF5B90B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C8A0-40AF-B525-FA5DCF5B90B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C8A0-40AF-B525-FA5DCF5B90B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0-C8A0-40AF-B525-FA5DCF5B90B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2-C8A0-40AF-B525-FA5DCF5B90B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4-C8A0-40AF-B525-FA5DCF5B90B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6-C8A0-40AF-B525-FA5DCF5B90B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8-C8A0-40AF-B525-FA5DCF5B90B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A-C8A0-40AF-B525-FA5DCF5B90B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C-C8A0-40AF-B525-FA5DCF5B90B3}"/>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Sheet2!$B$42:$B$48</c:f>
              <c:strCache>
                <c:ptCount val="7"/>
                <c:pt idx="0">
                  <c:v>Education</c:v>
                </c:pt>
                <c:pt idx="1">
                  <c:v>Governance</c:v>
                </c:pt>
                <c:pt idx="2">
                  <c:v>Health</c:v>
                </c:pt>
                <c:pt idx="3">
                  <c:v>Rural Development &amp; Food Security</c:v>
                </c:pt>
                <c:pt idx="4">
                  <c:v>Infrastructure</c:v>
                </c:pt>
                <c:pt idx="5">
                  <c:v>Environment and Natural Resource Mgt</c:v>
                </c:pt>
                <c:pt idx="6">
                  <c:v>Other</c:v>
                </c:pt>
              </c:strCache>
            </c:strRef>
          </c:cat>
          <c:val>
            <c:numRef>
              <c:f>Sheet2!$D$42:$D$48</c:f>
              <c:numCache>
                <c:formatCode>General</c:formatCode>
                <c:ptCount val="7"/>
                <c:pt idx="0">
                  <c:v>536</c:v>
                </c:pt>
                <c:pt idx="1">
                  <c:v>221</c:v>
                </c:pt>
                <c:pt idx="2">
                  <c:v>118</c:v>
                </c:pt>
                <c:pt idx="3">
                  <c:v>108</c:v>
                </c:pt>
                <c:pt idx="4">
                  <c:v>125</c:v>
                </c:pt>
                <c:pt idx="5">
                  <c:v>55</c:v>
                </c:pt>
                <c:pt idx="6">
                  <c:v>120</c:v>
                </c:pt>
              </c:numCache>
            </c:numRef>
          </c:val>
          <c:extLst>
            <c:ext xmlns:c16="http://schemas.microsoft.com/office/drawing/2014/chart" uri="{C3380CC4-5D6E-409C-BE32-E72D297353CC}">
              <c16:uniqueId val="{0000001D-C8A0-40AF-B525-FA5DCF5B90B3}"/>
            </c:ext>
          </c:extLst>
        </c:ser>
        <c:ser>
          <c:idx val="2"/>
          <c:order val="2"/>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A0-40AF-B525-FA5DCF5B90B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A0-40AF-B525-FA5DCF5B90B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A0-40AF-B525-FA5DCF5B90B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C8A0-40AF-B525-FA5DCF5B90B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C8A0-40AF-B525-FA5DCF5B90B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9-C8A0-40AF-B525-FA5DCF5B90B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B-C8A0-40AF-B525-FA5DCF5B90B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F-C8A0-40AF-B525-FA5DCF5B90B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21-C8A0-40AF-B525-FA5DCF5B90B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23-C8A0-40AF-B525-FA5DCF5B90B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25-C8A0-40AF-B525-FA5DCF5B90B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27-C8A0-40AF-B525-FA5DCF5B90B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29-C8A0-40AF-B525-FA5DCF5B90B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2B-C8A0-40AF-B525-FA5DCF5B90B3}"/>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Sheet2!$B$42:$B$48</c:f>
              <c:strCache>
                <c:ptCount val="7"/>
                <c:pt idx="0">
                  <c:v>Education</c:v>
                </c:pt>
                <c:pt idx="1">
                  <c:v>Governance</c:v>
                </c:pt>
                <c:pt idx="2">
                  <c:v>Health</c:v>
                </c:pt>
                <c:pt idx="3">
                  <c:v>Rural Development &amp; Food Security</c:v>
                </c:pt>
                <c:pt idx="4">
                  <c:v>Infrastructure</c:v>
                </c:pt>
                <c:pt idx="5">
                  <c:v>Environment and Natural Resource Mgt</c:v>
                </c:pt>
                <c:pt idx="6">
                  <c:v>Other</c:v>
                </c:pt>
              </c:strCache>
            </c:strRef>
          </c:cat>
          <c:val>
            <c:numRef>
              <c:f>Sheet2!$E$42:$E$48</c:f>
              <c:numCache>
                <c:formatCode>General</c:formatCode>
                <c:ptCount val="7"/>
                <c:pt idx="0">
                  <c:v>43</c:v>
                </c:pt>
                <c:pt idx="1">
                  <c:v>17</c:v>
                </c:pt>
                <c:pt idx="2">
                  <c:v>13</c:v>
                </c:pt>
                <c:pt idx="3">
                  <c:v>8</c:v>
                </c:pt>
                <c:pt idx="4">
                  <c:v>7</c:v>
                </c:pt>
                <c:pt idx="5">
                  <c:v>5</c:v>
                </c:pt>
                <c:pt idx="6">
                  <c:v>6</c:v>
                </c:pt>
              </c:numCache>
            </c:numRef>
          </c:val>
          <c:extLst>
            <c:ext xmlns:c16="http://schemas.microsoft.com/office/drawing/2014/chart" uri="{C3380CC4-5D6E-409C-BE32-E72D297353CC}">
              <c16:uniqueId val="{0000002C-C8A0-40AF-B525-FA5DCF5B90B3}"/>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Australia Awards by Regions</a:t>
            </a:r>
            <a:r>
              <a:rPr lang="en-US" baseline="0"/>
              <a:t> and Type - 2019 Intake</a:t>
            </a:r>
            <a:endParaRPr lang="en-US"/>
          </a:p>
        </c:rich>
      </c:tx>
      <c:layout>
        <c:manualLayout>
          <c:xMode val="edge"/>
          <c:yMode val="edge"/>
          <c:x val="0.15462355630593613"/>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Sheet2!$C$81</c:f>
              <c:strCache>
                <c:ptCount val="1"/>
                <c:pt idx="0">
                  <c:v>Long-Term</c:v>
                </c:pt>
              </c:strCache>
            </c:strRef>
          </c:tx>
          <c:spPr>
            <a:solidFill>
              <a:schemeClr val="accent1"/>
            </a:solidFill>
            <a:ln>
              <a:noFill/>
            </a:ln>
            <a:effectLst/>
          </c:spPr>
          <c:invertIfNegative val="0"/>
          <c:cat>
            <c:strRef>
              <c:f>Sheet2!$B$82:$B$87</c:f>
              <c:strCache>
                <c:ptCount val="6"/>
                <c:pt idx="0">
                  <c:v>South East and East Asia</c:v>
                </c:pt>
                <c:pt idx="1">
                  <c:v>South Asia</c:v>
                </c:pt>
                <c:pt idx="2">
                  <c:v>Pacific Island Countries</c:v>
                </c:pt>
                <c:pt idx="3">
                  <c:v>Papua New Guinea</c:v>
                </c:pt>
                <c:pt idx="4">
                  <c:v>Sub-Saharan Africa</c:v>
                </c:pt>
                <c:pt idx="5">
                  <c:v>North Africa &amp; the Middle East</c:v>
                </c:pt>
              </c:strCache>
            </c:strRef>
          </c:cat>
          <c:val>
            <c:numRef>
              <c:f>Sheet2!$C$82:$C$87</c:f>
              <c:numCache>
                <c:formatCode>General</c:formatCode>
                <c:ptCount val="6"/>
                <c:pt idx="0">
                  <c:v>539</c:v>
                </c:pt>
                <c:pt idx="1">
                  <c:v>209</c:v>
                </c:pt>
                <c:pt idx="2">
                  <c:v>312</c:v>
                </c:pt>
                <c:pt idx="3">
                  <c:v>290</c:v>
                </c:pt>
                <c:pt idx="4">
                  <c:v>162</c:v>
                </c:pt>
                <c:pt idx="5">
                  <c:v>12</c:v>
                </c:pt>
              </c:numCache>
            </c:numRef>
          </c:val>
          <c:extLst>
            <c:ext xmlns:c16="http://schemas.microsoft.com/office/drawing/2014/chart" uri="{C3380CC4-5D6E-409C-BE32-E72D297353CC}">
              <c16:uniqueId val="{00000000-FCB0-4937-83A9-6695573CF156}"/>
            </c:ext>
          </c:extLst>
        </c:ser>
        <c:ser>
          <c:idx val="1"/>
          <c:order val="1"/>
          <c:tx>
            <c:strRef>
              <c:f>Sheet2!$D$81</c:f>
              <c:strCache>
                <c:ptCount val="1"/>
                <c:pt idx="0">
                  <c:v>Short Term</c:v>
                </c:pt>
              </c:strCache>
            </c:strRef>
          </c:tx>
          <c:spPr>
            <a:solidFill>
              <a:schemeClr val="accent2"/>
            </a:solidFill>
            <a:ln>
              <a:noFill/>
            </a:ln>
            <a:effectLst/>
          </c:spPr>
          <c:invertIfNegative val="0"/>
          <c:cat>
            <c:strRef>
              <c:f>Sheet2!$B$82:$B$87</c:f>
              <c:strCache>
                <c:ptCount val="6"/>
                <c:pt idx="0">
                  <c:v>South East and East Asia</c:v>
                </c:pt>
                <c:pt idx="1">
                  <c:v>South Asia</c:v>
                </c:pt>
                <c:pt idx="2">
                  <c:v>Pacific Island Countries</c:v>
                </c:pt>
                <c:pt idx="3">
                  <c:v>Papua New Guinea</c:v>
                </c:pt>
                <c:pt idx="4">
                  <c:v>Sub-Saharan Africa</c:v>
                </c:pt>
                <c:pt idx="5">
                  <c:v>North Africa &amp; the Middle East</c:v>
                </c:pt>
              </c:strCache>
            </c:strRef>
          </c:cat>
          <c:val>
            <c:numRef>
              <c:f>Sheet2!$D$82:$D$87</c:f>
              <c:numCache>
                <c:formatCode>General</c:formatCode>
                <c:ptCount val="6"/>
                <c:pt idx="0">
                  <c:v>845</c:v>
                </c:pt>
                <c:pt idx="1">
                  <c:v>380</c:v>
                </c:pt>
                <c:pt idx="2">
                  <c:v>0</c:v>
                </c:pt>
                <c:pt idx="3">
                  <c:v>150</c:v>
                </c:pt>
                <c:pt idx="4">
                  <c:v>240</c:v>
                </c:pt>
              </c:numCache>
            </c:numRef>
          </c:val>
          <c:extLst>
            <c:ext xmlns:c16="http://schemas.microsoft.com/office/drawing/2014/chart" uri="{C3380CC4-5D6E-409C-BE32-E72D297353CC}">
              <c16:uniqueId val="{00000001-FCB0-4937-83A9-6695573CF156}"/>
            </c:ext>
          </c:extLst>
        </c:ser>
        <c:dLbls>
          <c:showLegendKey val="0"/>
          <c:showVal val="0"/>
          <c:showCatName val="0"/>
          <c:showSerName val="0"/>
          <c:showPercent val="0"/>
          <c:showBubbleSize val="0"/>
        </c:dLbls>
        <c:gapWidth val="150"/>
        <c:overlap val="100"/>
        <c:axId val="494250632"/>
        <c:axId val="494249976"/>
      </c:barChart>
      <c:catAx>
        <c:axId val="494250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94249976"/>
        <c:crosses val="autoZero"/>
        <c:auto val="0"/>
        <c:lblAlgn val="ctr"/>
        <c:lblOffset val="100"/>
        <c:noMultiLvlLbl val="0"/>
      </c:catAx>
      <c:valAx>
        <c:axId val="494249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250632"/>
        <c:crosses val="autoZero"/>
        <c:crossBetween val="between"/>
      </c:valAx>
      <c:spPr>
        <a:noFill/>
        <a:ln>
          <a:noFill/>
        </a:ln>
        <a:effectLst/>
      </c:spPr>
    </c:plotArea>
    <c:legend>
      <c:legendPos val="b"/>
      <c:layout>
        <c:manualLayout>
          <c:xMode val="edge"/>
          <c:yMode val="edge"/>
          <c:x val="0.33997844940492783"/>
          <c:y val="0.91444557366263968"/>
          <c:w val="0.51674540682414694"/>
          <c:h val="6.68851292518280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400" b="0" cap="none" baseline="0">
                <a:latin typeface="+mn-lt"/>
              </a:rPr>
              <a:t>Total Australia Awards Expenditure 2018-19</a:t>
            </a:r>
          </a:p>
        </c:rich>
      </c:tx>
      <c:layout>
        <c:manualLayout>
          <c:xMode val="edge"/>
          <c:yMode val="edge"/>
          <c:x val="0.26972171524917005"/>
          <c:y val="8.6298587676540434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399845923696397"/>
          <c:y val="0.29736426019036782"/>
          <c:w val="0.65116085745254537"/>
          <c:h val="0.57466906998071021"/>
        </c:manualLayout>
      </c:layout>
      <c:pieChart>
        <c:varyColors val="1"/>
        <c:ser>
          <c:idx val="0"/>
          <c:order val="0"/>
          <c:tx>
            <c:strRef>
              <c:f>'APPR Graph'!$F$3</c:f>
              <c:strCache>
                <c:ptCount val="1"/>
                <c:pt idx="0">
                  <c:v>Proportions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9CE-471A-87FD-C1D114926CE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9CE-471A-87FD-C1D114926CE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9CE-471A-87FD-C1D114926CE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9CE-471A-87FD-C1D114926CE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9CE-471A-87FD-C1D114926CE2}"/>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9CE-471A-87FD-C1D114926CE2}"/>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9CE-471A-87FD-C1D114926CE2}"/>
              </c:ext>
            </c:extLst>
          </c:dPt>
          <c:dLbls>
            <c:dLbl>
              <c:idx val="0"/>
              <c:layout>
                <c:manualLayout>
                  <c:x val="-6.6225165562914003E-3"/>
                  <c:y val="0.26190476190476186"/>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B644EA11-43DD-4186-9637-F9FE0B8858EB}" type="CATEGORYNAME">
                      <a:rPr lang="en-US" sz="700" b="0">
                        <a:solidFill>
                          <a:schemeClr val="accent1">
                            <a:lumMod val="75000"/>
                          </a:schemeClr>
                        </a:solidFill>
                      </a:rPr>
                      <a:pPr>
                        <a:defRPr/>
                      </a:pPr>
                      <a:t>[CATEGORY NAME]</a:t>
                    </a:fld>
                    <a:r>
                      <a:rPr lang="en-US" sz="700" b="0" baseline="0">
                        <a:solidFill>
                          <a:schemeClr val="accent1">
                            <a:lumMod val="75000"/>
                          </a:schemeClr>
                        </a:solidFill>
                      </a:rPr>
                      <a:t>
</a:t>
                    </a:r>
                    <a:fld id="{00BFE9C6-2A2C-44C8-9749-98657E1AFE9D}" type="PERCENTAGE">
                      <a:rPr lang="en-US" sz="700" b="0" baseline="0">
                        <a:solidFill>
                          <a:schemeClr val="accent1">
                            <a:lumMod val="75000"/>
                          </a:schemeClr>
                        </a:solidFill>
                      </a:rPr>
                      <a:pPr>
                        <a:defRPr/>
                      </a:pPr>
                      <a:t>[PERCENTAGE]</a:t>
                    </a:fld>
                    <a:endParaRPr lang="en-US" sz="700" b="0" baseline="0">
                      <a:solidFill>
                        <a:schemeClr val="accent1">
                          <a:lumMod val="75000"/>
                        </a:schemeClr>
                      </a:solidFill>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2933757452503867"/>
                      <c:h val="0.19299618797650289"/>
                    </c:manualLayout>
                  </c15:layout>
                  <c15:dlblFieldTable/>
                  <c15:showDataLabelsRange val="0"/>
                </c:ext>
                <c:ext xmlns:c16="http://schemas.microsoft.com/office/drawing/2014/chart" uri="{C3380CC4-5D6E-409C-BE32-E72D297353CC}">
                  <c16:uniqueId val="{00000001-59CE-471A-87FD-C1D114926CE2}"/>
                </c:ext>
              </c:extLst>
            </c:dLbl>
            <c:dLbl>
              <c:idx val="1"/>
              <c:layout>
                <c:manualLayout>
                  <c:x val="-8.8300220750551897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002FAB0-C4ED-4A8F-9ED7-F29FBCF188B9}" type="CATEGORYNAME">
                      <a:rPr lang="en-US" sz="700" b="0">
                        <a:solidFill>
                          <a:schemeClr val="accent1">
                            <a:lumMod val="75000"/>
                          </a:schemeClr>
                        </a:solidFill>
                      </a:rPr>
                      <a:pPr>
                        <a:defRPr>
                          <a:solidFill>
                            <a:schemeClr val="accent1"/>
                          </a:solidFill>
                        </a:defRPr>
                      </a:pPr>
                      <a:t>[CATEGORY NAME]</a:t>
                    </a:fld>
                    <a:r>
                      <a:rPr lang="en-US" sz="700" b="0">
                        <a:solidFill>
                          <a:schemeClr val="accent1">
                            <a:lumMod val="75000"/>
                          </a:schemeClr>
                        </a:solidFill>
                      </a:rPr>
                      <a:t>
</a:t>
                    </a:r>
                    <a:fld id="{9088B882-B7D8-4C90-BA72-78FA2843AC12}" type="PERCENTAGE">
                      <a:rPr lang="en-US" sz="700" b="0">
                        <a:solidFill>
                          <a:schemeClr val="accent1">
                            <a:lumMod val="75000"/>
                          </a:schemeClr>
                        </a:solidFill>
                      </a:rPr>
                      <a:pPr>
                        <a:defRPr>
                          <a:solidFill>
                            <a:schemeClr val="accent1"/>
                          </a:solidFill>
                        </a:defRPr>
                      </a:pPr>
                      <a:t>[PERCENTAGE]</a:t>
                    </a:fld>
                    <a:endParaRPr lang="en-US" sz="700" b="0">
                      <a:solidFill>
                        <a:schemeClr val="accent1">
                          <a:lumMod val="75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59CE-471A-87FD-C1D114926CE2}"/>
                </c:ext>
              </c:extLst>
            </c:dLbl>
            <c:dLbl>
              <c:idx val="2"/>
              <c:layout>
                <c:manualLayout>
                  <c:x val="0"/>
                  <c:y val="-1.19047619047620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F6FE78C-85FC-4B0A-8A76-66144E8B93EE}" type="CATEGORYNAME">
                      <a:rPr lang="en-US" sz="700">
                        <a:solidFill>
                          <a:schemeClr val="accent1">
                            <a:lumMod val="75000"/>
                          </a:schemeClr>
                        </a:solidFill>
                      </a:rPr>
                      <a:pPr>
                        <a:defRPr>
                          <a:solidFill>
                            <a:schemeClr val="accent1"/>
                          </a:solidFill>
                        </a:defRPr>
                      </a:pPr>
                      <a:t>[CATEGORY NAME]</a:t>
                    </a:fld>
                    <a:r>
                      <a:rPr lang="en-US" sz="700">
                        <a:solidFill>
                          <a:schemeClr val="accent1">
                            <a:lumMod val="75000"/>
                          </a:schemeClr>
                        </a:solidFill>
                      </a:rPr>
                      <a:t>
</a:t>
                    </a:r>
                    <a:fld id="{1FCC9544-CD86-4A4C-9817-68F4F48F8E66}" type="PERCENTAGE">
                      <a:rPr lang="en-US" sz="700">
                        <a:solidFill>
                          <a:schemeClr val="accent1">
                            <a:lumMod val="75000"/>
                          </a:schemeClr>
                        </a:solidFill>
                      </a:rPr>
                      <a:pPr>
                        <a:defRPr>
                          <a:solidFill>
                            <a:schemeClr val="accent1"/>
                          </a:solidFill>
                        </a:defRPr>
                      </a:pPr>
                      <a:t>[PERCENTAGE]</a:t>
                    </a:fld>
                    <a:endParaRPr lang="en-US" sz="700">
                      <a:solidFill>
                        <a:schemeClr val="accent1">
                          <a:lumMod val="75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59CE-471A-87FD-C1D114926CE2}"/>
                </c:ext>
              </c:extLst>
            </c:dLbl>
            <c:dLbl>
              <c:idx val="3"/>
              <c:layout>
                <c:manualLayout>
                  <c:x val="0"/>
                  <c:y val="-3.571428571428578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F089DC04-8677-4622-98FB-345A12902912}" type="CATEGORYNAME">
                      <a:rPr lang="en-US" sz="700">
                        <a:solidFill>
                          <a:schemeClr val="accent1">
                            <a:lumMod val="75000"/>
                          </a:schemeClr>
                        </a:solidFill>
                      </a:rPr>
                      <a:pPr>
                        <a:defRPr>
                          <a:solidFill>
                            <a:schemeClr val="accent1"/>
                          </a:solidFill>
                        </a:defRPr>
                      </a:pPr>
                      <a:t>[CATEGORY NAME]</a:t>
                    </a:fld>
                    <a:r>
                      <a:rPr lang="en-US" sz="700">
                        <a:solidFill>
                          <a:schemeClr val="accent1">
                            <a:lumMod val="75000"/>
                          </a:schemeClr>
                        </a:solidFill>
                      </a:rPr>
                      <a:t>
</a:t>
                    </a:r>
                    <a:fld id="{AD35C2A2-C4FE-4EBF-830E-608176CD8B0C}" type="PERCENTAGE">
                      <a:rPr lang="en-US" sz="700">
                        <a:solidFill>
                          <a:schemeClr val="accent1">
                            <a:lumMod val="75000"/>
                          </a:schemeClr>
                        </a:solidFill>
                      </a:rPr>
                      <a:pPr>
                        <a:defRPr>
                          <a:solidFill>
                            <a:schemeClr val="accent1"/>
                          </a:solidFill>
                        </a:defRPr>
                      </a:pPr>
                      <a:t>[PERCENTAGE]</a:t>
                    </a:fld>
                    <a:endParaRPr lang="en-US" sz="700">
                      <a:solidFill>
                        <a:schemeClr val="accent1">
                          <a:lumMod val="75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59CE-471A-87FD-C1D114926CE2}"/>
                </c:ext>
              </c:extLst>
            </c:dLbl>
            <c:dLbl>
              <c:idx val="4"/>
              <c:layout>
                <c:manualLayout>
                  <c:x val="-6.0764631242286767E-2"/>
                  <c:y val="7.9557867766529192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CCB09298-BF61-4EFA-87CC-32307AB88C2D}" type="CATEGORYNAME">
                      <a:rPr lang="en-US" sz="700" b="0">
                        <a:solidFill>
                          <a:schemeClr val="accent1">
                            <a:lumMod val="75000"/>
                          </a:schemeClr>
                        </a:solidFill>
                      </a:rPr>
                      <a:pPr>
                        <a:defRPr>
                          <a:solidFill>
                            <a:schemeClr val="accent1"/>
                          </a:solidFill>
                        </a:defRPr>
                      </a:pPr>
                      <a:t>[CATEGORY NAME]</a:t>
                    </a:fld>
                    <a:r>
                      <a:rPr lang="en-US" sz="700" b="0">
                        <a:solidFill>
                          <a:schemeClr val="accent1">
                            <a:lumMod val="75000"/>
                          </a:schemeClr>
                        </a:solidFill>
                      </a:rPr>
                      <a:t>
</a:t>
                    </a:r>
                    <a:fld id="{1FF5A7E2-159F-4DC3-804F-1FB94A2EB5E9}" type="PERCENTAGE">
                      <a:rPr lang="en-US" sz="700" b="0">
                        <a:solidFill>
                          <a:schemeClr val="accent1">
                            <a:lumMod val="75000"/>
                          </a:schemeClr>
                        </a:solidFill>
                      </a:rPr>
                      <a:pPr>
                        <a:defRPr>
                          <a:solidFill>
                            <a:schemeClr val="accent1"/>
                          </a:solidFill>
                        </a:defRPr>
                      </a:pPr>
                      <a:t>[PERCENTAGE]</a:t>
                    </a:fld>
                    <a:endParaRPr lang="en-US" sz="700" b="0">
                      <a:solidFill>
                        <a:schemeClr val="accent1">
                          <a:lumMod val="75000"/>
                        </a:schemeClr>
                      </a:solidFill>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8649006622516554"/>
                      <c:h val="0.12626984126984128"/>
                    </c:manualLayout>
                  </c15:layout>
                  <c15:dlblFieldTable/>
                  <c15:showDataLabelsRange val="0"/>
                </c:ext>
                <c:ext xmlns:c16="http://schemas.microsoft.com/office/drawing/2014/chart" uri="{C3380CC4-5D6E-409C-BE32-E72D297353CC}">
                  <c16:uniqueId val="{00000009-59CE-471A-87FD-C1D114926CE2}"/>
                </c:ext>
              </c:extLst>
            </c:dLbl>
            <c:dLbl>
              <c:idx val="5"/>
              <c:layout>
                <c:manualLayout>
                  <c:x val="-0.19646764353131355"/>
                  <c:y val="2.58897325334333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3D5897E-647C-4D0B-896D-F592242572A6}" type="CATEGORYNAME">
                      <a:rPr lang="en-US" sz="700">
                        <a:solidFill>
                          <a:schemeClr val="accent1">
                            <a:lumMod val="75000"/>
                          </a:schemeClr>
                        </a:solidFill>
                      </a:rPr>
                      <a:pPr>
                        <a:defRPr>
                          <a:solidFill>
                            <a:schemeClr val="accent1"/>
                          </a:solidFill>
                        </a:defRPr>
                      </a:pPr>
                      <a:t>[CATEGORY NAME]</a:t>
                    </a:fld>
                    <a:r>
                      <a:rPr lang="en-US" sz="700">
                        <a:solidFill>
                          <a:schemeClr val="accent1">
                            <a:lumMod val="75000"/>
                          </a:schemeClr>
                        </a:solidFill>
                      </a:rPr>
                      <a:t>
</a:t>
                    </a:r>
                    <a:fld id="{3A243D1D-A451-4460-9AF8-6FA5B55D9178}" type="PERCENTAGE">
                      <a:rPr lang="en-US" sz="700">
                        <a:solidFill>
                          <a:schemeClr val="accent1">
                            <a:lumMod val="75000"/>
                          </a:schemeClr>
                        </a:solidFill>
                      </a:rPr>
                      <a:pPr>
                        <a:defRPr>
                          <a:solidFill>
                            <a:schemeClr val="accent1"/>
                          </a:solidFill>
                        </a:defRPr>
                      </a:pPr>
                      <a:t>[PERCENTAGE]</a:t>
                    </a:fld>
                    <a:endParaRPr lang="en-US" sz="700">
                      <a:solidFill>
                        <a:schemeClr val="accent1">
                          <a:lumMod val="75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41637969094922739"/>
                      <c:h val="0.14753968253968253"/>
                    </c:manualLayout>
                  </c15:layout>
                  <c15:dlblFieldTable/>
                  <c15:showDataLabelsRange val="0"/>
                </c:ext>
                <c:ext xmlns:c16="http://schemas.microsoft.com/office/drawing/2014/chart" uri="{C3380CC4-5D6E-409C-BE32-E72D297353CC}">
                  <c16:uniqueId val="{0000000B-59CE-471A-87FD-C1D114926CE2}"/>
                </c:ext>
              </c:extLst>
            </c:dLbl>
            <c:dLbl>
              <c:idx val="6"/>
              <c:layout>
                <c:manualLayout>
                  <c:x val="0.37041438528793169"/>
                  <c:y val="8.6976002999625004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4ECD0665-5A0C-4E11-8758-F8E270D22ECC}" type="CATEGORYNAME">
                      <a:rPr lang="en-US" sz="700">
                        <a:solidFill>
                          <a:schemeClr val="accent1">
                            <a:lumMod val="75000"/>
                          </a:schemeClr>
                        </a:solidFill>
                      </a:rPr>
                      <a:pPr>
                        <a:defRPr>
                          <a:solidFill>
                            <a:schemeClr val="accent1"/>
                          </a:solidFill>
                        </a:defRPr>
                      </a:pPr>
                      <a:t>[CATEGORY NAME]</a:t>
                    </a:fld>
                    <a:r>
                      <a:rPr lang="en-US" sz="700">
                        <a:solidFill>
                          <a:schemeClr val="accent1">
                            <a:lumMod val="75000"/>
                          </a:schemeClr>
                        </a:solidFill>
                      </a:rPr>
                      <a:t>
</a:t>
                    </a:r>
                    <a:fld id="{1D109399-1871-4EA4-8128-73FAF16D03B9}" type="PERCENTAGE">
                      <a:rPr lang="en-US" sz="700">
                        <a:solidFill>
                          <a:schemeClr val="accent1">
                            <a:lumMod val="75000"/>
                          </a:schemeClr>
                        </a:solidFill>
                      </a:rPr>
                      <a:pPr>
                        <a:defRPr>
                          <a:solidFill>
                            <a:schemeClr val="accent1"/>
                          </a:solidFill>
                        </a:defRPr>
                      </a:pPr>
                      <a:t>[PERCENTAGE]</a:t>
                    </a:fld>
                    <a:endParaRPr lang="en-US" sz="700">
                      <a:solidFill>
                        <a:schemeClr val="accent1">
                          <a:lumMod val="75000"/>
                        </a:schemeClr>
                      </a:solidFill>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232118336201349"/>
                      <c:h val="0.14357142857142854"/>
                    </c:manualLayout>
                  </c15:layout>
                  <c15:dlblFieldTable/>
                  <c15:showDataLabelsRange val="0"/>
                </c:ext>
                <c:ext xmlns:c16="http://schemas.microsoft.com/office/drawing/2014/chart" uri="{C3380CC4-5D6E-409C-BE32-E72D297353CC}">
                  <c16:uniqueId val="{0000000D-59CE-471A-87FD-C1D114926CE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'APPR Graph'!$E$4:$E$10</c:f>
              <c:strCache>
                <c:ptCount val="7"/>
                <c:pt idx="0">
                  <c:v>South-East and East Asia</c:v>
                </c:pt>
                <c:pt idx="1">
                  <c:v>South Asia</c:v>
                </c:pt>
                <c:pt idx="2">
                  <c:v>Pacific Island Countries</c:v>
                </c:pt>
                <c:pt idx="3">
                  <c:v>Papua New Guinea</c:v>
                </c:pt>
                <c:pt idx="4">
                  <c:v>Sub-Saharan Africa</c:v>
                </c:pt>
                <c:pt idx="5">
                  <c:v>North Africa &amp; the Middle East</c:v>
                </c:pt>
                <c:pt idx="6">
                  <c:v>Latin America and Caribbean</c:v>
                </c:pt>
              </c:strCache>
            </c:strRef>
          </c:cat>
          <c:val>
            <c:numRef>
              <c:f>'APPR Graph'!$F$4:$F$10</c:f>
              <c:numCache>
                <c:formatCode>General</c:formatCode>
                <c:ptCount val="7"/>
                <c:pt idx="0">
                  <c:v>0.48736269706970636</c:v>
                </c:pt>
                <c:pt idx="1">
                  <c:v>0.12978894846304809</c:v>
                </c:pt>
                <c:pt idx="2">
                  <c:v>0.11191931420859159</c:v>
                </c:pt>
                <c:pt idx="3">
                  <c:v>0.13995821597774966</c:v>
                </c:pt>
                <c:pt idx="4">
                  <c:v>0.12641942856561444</c:v>
                </c:pt>
                <c:pt idx="5">
                  <c:v>3.8942710910371517E-3</c:v>
                </c:pt>
                <c:pt idx="6">
                  <c:v>6.57124624252571E-4</c:v>
                </c:pt>
              </c:numCache>
            </c:numRef>
          </c:val>
          <c:extLst>
            <c:ext xmlns:c16="http://schemas.microsoft.com/office/drawing/2014/chart" uri="{C3380CC4-5D6E-409C-BE32-E72D297353CC}">
              <c16:uniqueId val="{0000000E-59CE-471A-87FD-C1D114926CE2}"/>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Alumni</a:t>
            </a:r>
            <a:r>
              <a:rPr lang="en-US" sz="1200" b="1" baseline="0">
                <a:latin typeface="Arial" panose="020B0604020202020204" pitchFamily="34" charset="0"/>
                <a:cs typeface="Arial" panose="020B0604020202020204" pitchFamily="34" charset="0"/>
              </a:rPr>
              <a:t> of 2011 to 2016 report that as a result of their scholarship/award report they have</a:t>
            </a:r>
            <a:r>
              <a:rPr lang="en-US" sz="1000" baseline="0">
                <a:latin typeface="Arial" panose="020B0604020202020204" pitchFamily="34" charset="0"/>
                <a:cs typeface="Arial" panose="020B0604020202020204" pitchFamily="34" charset="0"/>
              </a:rPr>
              <a:t>:</a:t>
            </a:r>
            <a:endParaRPr lang="en-US"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'Outcome 1 - Cont. to Developmen'!$C$8</c:f>
              <c:strCache>
                <c:ptCount val="1"/>
                <c:pt idx="0">
                  <c:v>Strongly agree</c:v>
                </c:pt>
              </c:strCache>
            </c:strRef>
          </c:tx>
          <c:spPr>
            <a:solidFill>
              <a:schemeClr val="accent1"/>
            </a:solidFill>
            <a:ln>
              <a:noFill/>
            </a:ln>
            <a:effectLst/>
          </c:spPr>
          <c:invertIfNegative val="0"/>
          <c:cat>
            <c:multiLvlStrRef>
              <c:f>'Outcome 1 - Cont. to Developmen'!$A$9:$B$16</c:f>
              <c:multiLvlStrCache>
                <c:ptCount val="8"/>
                <c:lvl>
                  <c:pt idx="0">
                    <c:v>passed on my new skills and knowledge to others</c:v>
                  </c:pt>
                  <c:pt idx="1">
                    <c:v>introduced improved practices and innovations </c:v>
                  </c:pt>
                  <c:pt idx="2">
                    <c:v> built networks with Australians or Australian organisations</c:v>
                  </c:pt>
                  <c:pt idx="3">
                    <c:v>built networks with other awardees</c:v>
                  </c:pt>
                  <c:pt idx="4">
                    <c:v>passed on my new skills and knowledge to others</c:v>
                  </c:pt>
                  <c:pt idx="5">
                    <c:v>introduced improved practices and innovations </c:v>
                  </c:pt>
                  <c:pt idx="6">
                    <c:v> built networks with Australians or Australian organisations</c:v>
                  </c:pt>
                  <c:pt idx="7">
                    <c:v>built networks with other awardees</c:v>
                  </c:pt>
                </c:lvl>
                <c:lvl>
                  <c:pt idx="0">
                    <c:v>Fellowship</c:v>
                  </c:pt>
                  <c:pt idx="4">
                    <c:v>Scholarship</c:v>
                  </c:pt>
                </c:lvl>
              </c:multiLvlStrCache>
            </c:multiLvlStrRef>
          </c:cat>
          <c:val>
            <c:numRef>
              <c:f>'Outcome 1 - Cont. to Developmen'!$C$9:$C$16</c:f>
              <c:numCache>
                <c:formatCode>0.0%</c:formatCode>
                <c:ptCount val="8"/>
                <c:pt idx="0">
                  <c:v>0.63200000000000001</c:v>
                </c:pt>
                <c:pt idx="1">
                  <c:v>0.56100000000000005</c:v>
                </c:pt>
                <c:pt idx="2">
                  <c:v>0.19600000000000001</c:v>
                </c:pt>
                <c:pt idx="3">
                  <c:v>0.34</c:v>
                </c:pt>
                <c:pt idx="4">
                  <c:v>0.60499999999999998</c:v>
                </c:pt>
                <c:pt idx="5">
                  <c:v>0.53100000000000003</c:v>
                </c:pt>
                <c:pt idx="6">
                  <c:v>0.23599999999999999</c:v>
                </c:pt>
                <c:pt idx="7">
                  <c:v>0.48399999999999999</c:v>
                </c:pt>
              </c:numCache>
            </c:numRef>
          </c:val>
          <c:extLst>
            <c:ext xmlns:c16="http://schemas.microsoft.com/office/drawing/2014/chart" uri="{C3380CC4-5D6E-409C-BE32-E72D297353CC}">
              <c16:uniqueId val="{00000000-E083-43DC-A60D-BED29519A9E4}"/>
            </c:ext>
          </c:extLst>
        </c:ser>
        <c:ser>
          <c:idx val="1"/>
          <c:order val="1"/>
          <c:tx>
            <c:strRef>
              <c:f>'Outcome 1 - Cont. to Developmen'!$D$8</c:f>
              <c:strCache>
                <c:ptCount val="1"/>
                <c:pt idx="0">
                  <c:v>Agree</c:v>
                </c:pt>
              </c:strCache>
            </c:strRef>
          </c:tx>
          <c:spPr>
            <a:solidFill>
              <a:schemeClr val="accent2"/>
            </a:solidFill>
            <a:ln>
              <a:noFill/>
            </a:ln>
            <a:effectLst/>
          </c:spPr>
          <c:invertIfNegative val="0"/>
          <c:cat>
            <c:multiLvlStrRef>
              <c:f>'Outcome 1 - Cont. to Developmen'!$A$9:$B$16</c:f>
              <c:multiLvlStrCache>
                <c:ptCount val="8"/>
                <c:lvl>
                  <c:pt idx="0">
                    <c:v>passed on my new skills and knowledge to others</c:v>
                  </c:pt>
                  <c:pt idx="1">
                    <c:v>introduced improved practices and innovations </c:v>
                  </c:pt>
                  <c:pt idx="2">
                    <c:v> built networks with Australians or Australian organisations</c:v>
                  </c:pt>
                  <c:pt idx="3">
                    <c:v>built networks with other awardees</c:v>
                  </c:pt>
                  <c:pt idx="4">
                    <c:v>passed on my new skills and knowledge to others</c:v>
                  </c:pt>
                  <c:pt idx="5">
                    <c:v>introduced improved practices and innovations </c:v>
                  </c:pt>
                  <c:pt idx="6">
                    <c:v> built networks with Australians or Australian organisations</c:v>
                  </c:pt>
                  <c:pt idx="7">
                    <c:v>built networks with other awardees</c:v>
                  </c:pt>
                </c:lvl>
                <c:lvl>
                  <c:pt idx="0">
                    <c:v>Fellowship</c:v>
                  </c:pt>
                  <c:pt idx="4">
                    <c:v>Scholarship</c:v>
                  </c:pt>
                </c:lvl>
              </c:multiLvlStrCache>
            </c:multiLvlStrRef>
          </c:cat>
          <c:val>
            <c:numRef>
              <c:f>'Outcome 1 - Cont. to Developmen'!$D$9:$D$16</c:f>
              <c:numCache>
                <c:formatCode>0.0%</c:formatCode>
                <c:ptCount val="8"/>
                <c:pt idx="0">
                  <c:v>0.34599999999999997</c:v>
                </c:pt>
                <c:pt idx="1">
                  <c:v>0.40799999999999997</c:v>
                </c:pt>
                <c:pt idx="2">
                  <c:v>0.52800000000000002</c:v>
                </c:pt>
                <c:pt idx="3">
                  <c:v>0.49</c:v>
                </c:pt>
                <c:pt idx="4">
                  <c:v>0.36899999999999999</c:v>
                </c:pt>
                <c:pt idx="5">
                  <c:v>0.42099999999999999</c:v>
                </c:pt>
                <c:pt idx="6">
                  <c:v>0.496</c:v>
                </c:pt>
                <c:pt idx="7">
                  <c:v>0.45200000000000001</c:v>
                </c:pt>
              </c:numCache>
            </c:numRef>
          </c:val>
          <c:extLst>
            <c:ext xmlns:c16="http://schemas.microsoft.com/office/drawing/2014/chart" uri="{C3380CC4-5D6E-409C-BE32-E72D297353CC}">
              <c16:uniqueId val="{00000001-E083-43DC-A60D-BED29519A9E4}"/>
            </c:ext>
          </c:extLst>
        </c:ser>
        <c:ser>
          <c:idx val="2"/>
          <c:order val="2"/>
          <c:tx>
            <c:strRef>
              <c:f>'Outcome 1 - Cont. to Developmen'!$E$8</c:f>
              <c:strCache>
                <c:ptCount val="1"/>
                <c:pt idx="0">
                  <c:v>Disagree</c:v>
                </c:pt>
              </c:strCache>
            </c:strRef>
          </c:tx>
          <c:spPr>
            <a:solidFill>
              <a:schemeClr val="accent3"/>
            </a:solidFill>
            <a:ln>
              <a:noFill/>
            </a:ln>
            <a:effectLst/>
          </c:spPr>
          <c:invertIfNegative val="0"/>
          <c:cat>
            <c:multiLvlStrRef>
              <c:f>'Outcome 1 - Cont. to Developmen'!$A$9:$B$16</c:f>
              <c:multiLvlStrCache>
                <c:ptCount val="8"/>
                <c:lvl>
                  <c:pt idx="0">
                    <c:v>passed on my new skills and knowledge to others</c:v>
                  </c:pt>
                  <c:pt idx="1">
                    <c:v>introduced improved practices and innovations </c:v>
                  </c:pt>
                  <c:pt idx="2">
                    <c:v> built networks with Australians or Australian organisations</c:v>
                  </c:pt>
                  <c:pt idx="3">
                    <c:v>built networks with other awardees</c:v>
                  </c:pt>
                  <c:pt idx="4">
                    <c:v>passed on my new skills and knowledge to others</c:v>
                  </c:pt>
                  <c:pt idx="5">
                    <c:v>introduced improved practices and innovations </c:v>
                  </c:pt>
                  <c:pt idx="6">
                    <c:v> built networks with Australians or Australian organisations</c:v>
                  </c:pt>
                  <c:pt idx="7">
                    <c:v>built networks with other awardees</c:v>
                  </c:pt>
                </c:lvl>
                <c:lvl>
                  <c:pt idx="0">
                    <c:v>Fellowship</c:v>
                  </c:pt>
                  <c:pt idx="4">
                    <c:v>Scholarship</c:v>
                  </c:pt>
                </c:lvl>
              </c:multiLvlStrCache>
            </c:multiLvlStrRef>
          </c:cat>
          <c:val>
            <c:numRef>
              <c:f>'Outcome 1 - Cont. to Developmen'!$E$9:$E$16</c:f>
              <c:numCache>
                <c:formatCode>0.0%</c:formatCode>
                <c:ptCount val="8"/>
                <c:pt idx="0">
                  <c:v>1.2E-2</c:v>
                </c:pt>
                <c:pt idx="1">
                  <c:v>1.6E-2</c:v>
                </c:pt>
                <c:pt idx="2">
                  <c:v>0.19800000000000001</c:v>
                </c:pt>
                <c:pt idx="3">
                  <c:v>0.127</c:v>
                </c:pt>
                <c:pt idx="4">
                  <c:v>1.2E-2</c:v>
                </c:pt>
                <c:pt idx="5">
                  <c:v>1.9E-2</c:v>
                </c:pt>
                <c:pt idx="6">
                  <c:v>0.189</c:v>
                </c:pt>
                <c:pt idx="7">
                  <c:v>4.8000000000000001E-2</c:v>
                </c:pt>
              </c:numCache>
            </c:numRef>
          </c:val>
          <c:extLst>
            <c:ext xmlns:c16="http://schemas.microsoft.com/office/drawing/2014/chart" uri="{C3380CC4-5D6E-409C-BE32-E72D297353CC}">
              <c16:uniqueId val="{00000002-E083-43DC-A60D-BED29519A9E4}"/>
            </c:ext>
          </c:extLst>
        </c:ser>
        <c:ser>
          <c:idx val="3"/>
          <c:order val="3"/>
          <c:tx>
            <c:strRef>
              <c:f>'Outcome 1 - Cont. to Developmen'!$F$8</c:f>
              <c:strCache>
                <c:ptCount val="1"/>
                <c:pt idx="0">
                  <c:v>Strongly Disagree</c:v>
                </c:pt>
              </c:strCache>
            </c:strRef>
          </c:tx>
          <c:spPr>
            <a:solidFill>
              <a:schemeClr val="accent4"/>
            </a:solidFill>
            <a:ln>
              <a:noFill/>
            </a:ln>
            <a:effectLst/>
          </c:spPr>
          <c:invertIfNegative val="0"/>
          <c:cat>
            <c:multiLvlStrRef>
              <c:f>'Outcome 1 - Cont. to Developmen'!$A$9:$B$16</c:f>
              <c:multiLvlStrCache>
                <c:ptCount val="8"/>
                <c:lvl>
                  <c:pt idx="0">
                    <c:v>passed on my new skills and knowledge to others</c:v>
                  </c:pt>
                  <c:pt idx="1">
                    <c:v>introduced improved practices and innovations </c:v>
                  </c:pt>
                  <c:pt idx="2">
                    <c:v> built networks with Australians or Australian organisations</c:v>
                  </c:pt>
                  <c:pt idx="3">
                    <c:v>built networks with other awardees</c:v>
                  </c:pt>
                  <c:pt idx="4">
                    <c:v>passed on my new skills and knowledge to others</c:v>
                  </c:pt>
                  <c:pt idx="5">
                    <c:v>introduced improved practices and innovations </c:v>
                  </c:pt>
                  <c:pt idx="6">
                    <c:v> built networks with Australians or Australian organisations</c:v>
                  </c:pt>
                  <c:pt idx="7">
                    <c:v>built networks with other awardees</c:v>
                  </c:pt>
                </c:lvl>
                <c:lvl>
                  <c:pt idx="0">
                    <c:v>Fellowship</c:v>
                  </c:pt>
                  <c:pt idx="4">
                    <c:v>Scholarship</c:v>
                  </c:pt>
                </c:lvl>
              </c:multiLvlStrCache>
            </c:multiLvlStrRef>
          </c:cat>
          <c:val>
            <c:numRef>
              <c:f>'Outcome 1 - Cont. to Developmen'!$F$9:$F$16</c:f>
              <c:numCache>
                <c:formatCode>0.0%</c:formatCode>
                <c:ptCount val="8"/>
                <c:pt idx="0">
                  <c:v>2E-3</c:v>
                </c:pt>
                <c:pt idx="1">
                  <c:v>2E-3</c:v>
                </c:pt>
                <c:pt idx="2">
                  <c:v>1.4E-2</c:v>
                </c:pt>
                <c:pt idx="3">
                  <c:v>1.2E-2</c:v>
                </c:pt>
                <c:pt idx="4">
                  <c:v>4.0000000000000001E-3</c:v>
                </c:pt>
                <c:pt idx="5">
                  <c:v>4.0000000000000001E-3</c:v>
                </c:pt>
                <c:pt idx="6">
                  <c:v>1.9E-2</c:v>
                </c:pt>
                <c:pt idx="7">
                  <c:v>4.0000000000000001E-3</c:v>
                </c:pt>
              </c:numCache>
            </c:numRef>
          </c:val>
          <c:extLst>
            <c:ext xmlns:c16="http://schemas.microsoft.com/office/drawing/2014/chart" uri="{C3380CC4-5D6E-409C-BE32-E72D297353CC}">
              <c16:uniqueId val="{00000003-E083-43DC-A60D-BED29519A9E4}"/>
            </c:ext>
          </c:extLst>
        </c:ser>
        <c:ser>
          <c:idx val="4"/>
          <c:order val="4"/>
          <c:tx>
            <c:strRef>
              <c:f>'Outcome 1 - Cont. to Developmen'!$G$8</c:f>
              <c:strCache>
                <c:ptCount val="1"/>
                <c:pt idx="0">
                  <c:v>Don't know</c:v>
                </c:pt>
              </c:strCache>
            </c:strRef>
          </c:tx>
          <c:spPr>
            <a:solidFill>
              <a:schemeClr val="accent5"/>
            </a:solidFill>
            <a:ln>
              <a:noFill/>
            </a:ln>
            <a:effectLst/>
          </c:spPr>
          <c:invertIfNegative val="0"/>
          <c:cat>
            <c:multiLvlStrRef>
              <c:f>'Outcome 1 - Cont. to Developmen'!$A$9:$B$16</c:f>
              <c:multiLvlStrCache>
                <c:ptCount val="8"/>
                <c:lvl>
                  <c:pt idx="0">
                    <c:v>passed on my new skills and knowledge to others</c:v>
                  </c:pt>
                  <c:pt idx="1">
                    <c:v>introduced improved practices and innovations </c:v>
                  </c:pt>
                  <c:pt idx="2">
                    <c:v> built networks with Australians or Australian organisations</c:v>
                  </c:pt>
                  <c:pt idx="3">
                    <c:v>built networks with other awardees</c:v>
                  </c:pt>
                  <c:pt idx="4">
                    <c:v>passed on my new skills and knowledge to others</c:v>
                  </c:pt>
                  <c:pt idx="5">
                    <c:v>introduced improved practices and innovations </c:v>
                  </c:pt>
                  <c:pt idx="6">
                    <c:v> built networks with Australians or Australian organisations</c:v>
                  </c:pt>
                  <c:pt idx="7">
                    <c:v>built networks with other awardees</c:v>
                  </c:pt>
                </c:lvl>
                <c:lvl>
                  <c:pt idx="0">
                    <c:v>Fellowship</c:v>
                  </c:pt>
                  <c:pt idx="4">
                    <c:v>Scholarship</c:v>
                  </c:pt>
                </c:lvl>
              </c:multiLvlStrCache>
            </c:multiLvlStrRef>
          </c:cat>
          <c:val>
            <c:numRef>
              <c:f>'Outcome 1 - Cont. to Developmen'!$G$9:$G$16</c:f>
              <c:numCache>
                <c:formatCode>0.0%</c:formatCode>
                <c:ptCount val="8"/>
                <c:pt idx="0">
                  <c:v>8.9999999999999993E-3</c:v>
                </c:pt>
                <c:pt idx="1">
                  <c:v>1.2E-2</c:v>
                </c:pt>
                <c:pt idx="2">
                  <c:v>6.3E-2</c:v>
                </c:pt>
                <c:pt idx="3">
                  <c:v>3.2000000000000001E-2</c:v>
                </c:pt>
                <c:pt idx="4">
                  <c:v>1.0999999999999999E-2</c:v>
                </c:pt>
                <c:pt idx="5">
                  <c:v>2.5000000000000001E-2</c:v>
                </c:pt>
                <c:pt idx="6">
                  <c:v>5.8999999999999997E-2</c:v>
                </c:pt>
                <c:pt idx="7">
                  <c:v>1.2999999999999999E-2</c:v>
                </c:pt>
              </c:numCache>
            </c:numRef>
          </c:val>
          <c:extLst>
            <c:ext xmlns:c16="http://schemas.microsoft.com/office/drawing/2014/chart" uri="{C3380CC4-5D6E-409C-BE32-E72D297353CC}">
              <c16:uniqueId val="{00000004-E083-43DC-A60D-BED29519A9E4}"/>
            </c:ext>
          </c:extLst>
        </c:ser>
        <c:dLbls>
          <c:showLegendKey val="0"/>
          <c:showVal val="0"/>
          <c:showCatName val="0"/>
          <c:showSerName val="0"/>
          <c:showPercent val="0"/>
          <c:showBubbleSize val="0"/>
        </c:dLbls>
        <c:gapWidth val="150"/>
        <c:overlap val="100"/>
        <c:axId val="452164736"/>
        <c:axId val="4046288"/>
      </c:barChart>
      <c:catAx>
        <c:axId val="452164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46288"/>
        <c:crosses val="autoZero"/>
        <c:auto val="1"/>
        <c:lblAlgn val="ctr"/>
        <c:lblOffset val="100"/>
        <c:noMultiLvlLbl val="0"/>
      </c:catAx>
      <c:valAx>
        <c:axId val="40462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16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GB"/>
              <a:t>Type of Australian organisations with which alumni have established professional links</a:t>
            </a:r>
            <a:r>
              <a:rPr lang="en-AU"/>
              <a:t> </a:t>
            </a:r>
          </a:p>
        </c:rich>
      </c:tx>
      <c:layout>
        <c:manualLayout>
          <c:xMode val="edge"/>
          <c:yMode val="edge"/>
          <c:x val="0.10711161943401824"/>
          <c:y val="1.0328686230570858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DFB-4D0B-85C6-BB8A8237DBE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DFB-4D0B-85C6-BB8A8237DBE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DFB-4D0B-85C6-BB8A8237DBE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DFB-4D0B-85C6-BB8A8237DBE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ADFB-4D0B-85C6-BB8A8237DBE5}"/>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ADFB-4D0B-85C6-BB8A8237DBE5}"/>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ADFB-4D0B-85C6-BB8A8237DBE5}"/>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ADFB-4D0B-85C6-BB8A8237DBE5}"/>
              </c:ext>
            </c:extLst>
          </c:dPt>
          <c:dLbls>
            <c:dLbl>
              <c:idx val="0"/>
              <c:layout>
                <c:manualLayout>
                  <c:x val="0.3904399496531335"/>
                  <c:y val="8.0673802189433615E-1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3195796622076514"/>
                      <c:h val="0.35157333056140261"/>
                    </c:manualLayout>
                  </c15:layout>
                </c:ext>
                <c:ext xmlns:c16="http://schemas.microsoft.com/office/drawing/2014/chart" uri="{C3380CC4-5D6E-409C-BE32-E72D297353CC}">
                  <c16:uniqueId val="{00000001-ADFB-4D0B-85C6-BB8A8237DBE5}"/>
                </c:ext>
              </c:extLst>
            </c:dLbl>
            <c:dLbl>
              <c:idx val="1"/>
              <c:layout>
                <c:manualLayout>
                  <c:x val="1.9826517967781909E-2"/>
                  <c:y val="-4.4004400440044002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FB-4D0B-85C6-BB8A8237DBE5}"/>
                </c:ext>
              </c:extLst>
            </c:dLbl>
            <c:dLbl>
              <c:idx val="2"/>
              <c:layout>
                <c:manualLayout>
                  <c:x val="-2.4758169169374324E-2"/>
                  <c:y val="-6.6006600660066042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415779254359004"/>
                      <c:h val="0.10386978855365851"/>
                    </c:manualLayout>
                  </c15:layout>
                </c:ext>
                <c:ext xmlns:c16="http://schemas.microsoft.com/office/drawing/2014/chart" uri="{C3380CC4-5D6E-409C-BE32-E72D297353CC}">
                  <c16:uniqueId val="{00000005-ADFB-4D0B-85C6-BB8A8237DBE5}"/>
                </c:ext>
              </c:extLst>
            </c:dLbl>
            <c:dLbl>
              <c:idx val="3"/>
              <c:layout>
                <c:manualLayout>
                  <c:x val="-0.50149103407474183"/>
                  <c:y val="6.006608711993514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FB-4D0B-85C6-BB8A8237DBE5}"/>
                </c:ext>
              </c:extLst>
            </c:dLbl>
            <c:dLbl>
              <c:idx val="4"/>
              <c:layout>
                <c:manualLayout>
                  <c:x val="-8.6452963663999752E-2"/>
                  <c:y val="1.184678640416943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5074495799549218"/>
                      <c:h val="0.13022010862503572"/>
                    </c:manualLayout>
                  </c15:layout>
                </c:ext>
                <c:ext xmlns:c16="http://schemas.microsoft.com/office/drawing/2014/chart" uri="{C3380CC4-5D6E-409C-BE32-E72D297353CC}">
                  <c16:uniqueId val="{00000009-ADFB-4D0B-85C6-BB8A8237DBE5}"/>
                </c:ext>
              </c:extLst>
            </c:dLbl>
            <c:dLbl>
              <c:idx val="5"/>
              <c:layout>
                <c:manualLayout>
                  <c:x val="-3.0916418982687946E-2"/>
                  <c:y val="3.6009567713746665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2884432533701458"/>
                      <c:h val="0.12545645418176732"/>
                    </c:manualLayout>
                  </c15:layout>
                </c:ext>
                <c:ext xmlns:c16="http://schemas.microsoft.com/office/drawing/2014/chart" uri="{C3380CC4-5D6E-409C-BE32-E72D297353CC}">
                  <c16:uniqueId val="{0000000B-ADFB-4D0B-85C6-BB8A8237DBE5}"/>
                </c:ext>
              </c:extLst>
            </c:dLbl>
            <c:dLbl>
              <c:idx val="6"/>
              <c:layout>
                <c:manualLayout>
                  <c:x val="-5.0761716273894182E-3"/>
                  <c:y val="-1.020402275876229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DFB-4D0B-85C6-BB8A8237DBE5}"/>
                </c:ext>
              </c:extLst>
            </c:dLbl>
            <c:dLbl>
              <c:idx val="7"/>
              <c:layout>
                <c:manualLayout>
                  <c:x val="8.0345571973912192E-2"/>
                  <c:y val="2.595404453228952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DFB-4D0B-85C6-BB8A8237DB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'Outcome 4 - Views of Aus'!$B$57:$B$64</c:f>
              <c:strCache>
                <c:ptCount val="8"/>
                <c:pt idx="0">
                  <c:v>Australian Embasies/ Consulates &amp; Australian Government funded programs within their country</c:v>
                </c:pt>
                <c:pt idx="1">
                  <c:v>Other</c:v>
                </c:pt>
                <c:pt idx="2">
                  <c:v>None of the above</c:v>
                </c:pt>
                <c:pt idx="3">
                  <c:v>National/ State Government Departments &amp; Australian funded programs in Australia</c:v>
                </c:pt>
                <c:pt idx="4">
                  <c:v>Private sector businesses</c:v>
                </c:pt>
                <c:pt idx="5">
                  <c:v>Non-Government Organisations (NGOs)</c:v>
                </c:pt>
                <c:pt idx="6">
                  <c:v>Universities </c:v>
                </c:pt>
                <c:pt idx="7">
                  <c:v>Don't know</c:v>
                </c:pt>
              </c:strCache>
            </c:strRef>
          </c:cat>
          <c:val>
            <c:numRef>
              <c:f>'Outcome 4 - Views of Aus'!$C$57:$C$64</c:f>
              <c:numCache>
                <c:formatCode>0%</c:formatCode>
                <c:ptCount val="8"/>
                <c:pt idx="0">
                  <c:v>1.4999999999999999E-2</c:v>
                </c:pt>
                <c:pt idx="1">
                  <c:v>3.4000000000000002E-2</c:v>
                </c:pt>
                <c:pt idx="2">
                  <c:v>1.0999999999999999E-2</c:v>
                </c:pt>
                <c:pt idx="3">
                  <c:v>0.16200000000000001</c:v>
                </c:pt>
                <c:pt idx="4">
                  <c:v>0.105</c:v>
                </c:pt>
                <c:pt idx="5">
                  <c:v>0.17699999999999999</c:v>
                </c:pt>
                <c:pt idx="6">
                  <c:v>0.48899999999999999</c:v>
                </c:pt>
                <c:pt idx="7">
                  <c:v>8.0000000000000002E-3</c:v>
                </c:pt>
              </c:numCache>
            </c:numRef>
          </c:val>
          <c:extLst>
            <c:ext xmlns:c16="http://schemas.microsoft.com/office/drawing/2014/chart" uri="{C3380CC4-5D6E-409C-BE32-E72D297353CC}">
              <c16:uniqueId val="{00000010-ADFB-4D0B-85C6-BB8A8237DBE5}"/>
            </c:ext>
          </c:extLst>
        </c:ser>
        <c:dLbls>
          <c:dLblPos val="ctr"/>
          <c:showLegendKey val="0"/>
          <c:showVal val="0"/>
          <c:showCatName val="1"/>
          <c:showSerName val="0"/>
          <c:showPercent val="0"/>
          <c:showBubbleSize val="0"/>
          <c:showLeaderLines val="1"/>
        </c:dLbls>
        <c:firstSliceAng val="178"/>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AU" sz="1400"/>
              <a:t>alumni</a:t>
            </a:r>
            <a:r>
              <a:rPr lang="en-AU" sz="1400" baseline="0"/>
              <a:t>: built networks with australians or australian organisations</a:t>
            </a:r>
          </a:p>
          <a:p>
            <a:pPr>
              <a:defRPr/>
            </a:pPr>
            <a:r>
              <a:rPr lang="en-AU" sz="1400" baseline="0"/>
              <a:t>  </a:t>
            </a:r>
            <a:endParaRPr lang="en-AU" sz="1400"/>
          </a:p>
        </c:rich>
      </c:tx>
      <c:layout>
        <c:manualLayout>
          <c:xMode val="edge"/>
          <c:yMode val="edge"/>
          <c:x val="0.13858333333333334"/>
          <c:y val="3.2407267353358228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5CB-40D4-A6A2-DABF284C41F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5CB-40D4-A6A2-DABF284C41F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5CB-40D4-A6A2-DABF284C41F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5CB-40D4-A6A2-DABF284C41F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5CB-40D4-A6A2-DABF284C41F1}"/>
              </c:ext>
            </c:extLst>
          </c:dPt>
          <c:dLbls>
            <c:dLbl>
              <c:idx val="0"/>
              <c:layout>
                <c:manualLayout>
                  <c:x val="3.0555555555555555E-2"/>
                  <c:y val="0.1712962962962963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5CB-40D4-A6A2-DABF284C41F1}"/>
                </c:ext>
              </c:extLst>
            </c:dLbl>
            <c:dLbl>
              <c:idx val="1"/>
              <c:layout>
                <c:manualLayout>
                  <c:x val="0.10838059231253938"/>
                  <c:y val="-9.090909090909091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5CB-40D4-A6A2-DABF284C41F1}"/>
                </c:ext>
              </c:extLst>
            </c:dLbl>
            <c:dLbl>
              <c:idx val="2"/>
              <c:layout>
                <c:manualLayout>
                  <c:x val="-1.9444444444444445E-2"/>
                  <c:y val="0.1527777777777777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5CB-40D4-A6A2-DABF284C41F1}"/>
                </c:ext>
              </c:extLst>
            </c:dLbl>
            <c:dLbl>
              <c:idx val="3"/>
              <c:layout>
                <c:manualLayout>
                  <c:x val="-3.7075913956824864E-2"/>
                  <c:y val="5.474625112420387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5CB-40D4-A6A2-DABF284C41F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05CB-40D4-A6A2-DABF284C41F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'Outcome 1 - Cont. to Developmen'!$C$29:$G$29</c:f>
              <c:strCache>
                <c:ptCount val="5"/>
                <c:pt idx="0">
                  <c:v>Strongly agree</c:v>
                </c:pt>
                <c:pt idx="1">
                  <c:v>Agree</c:v>
                </c:pt>
                <c:pt idx="2">
                  <c:v>Disagree</c:v>
                </c:pt>
                <c:pt idx="3">
                  <c:v>Strongly Disagree</c:v>
                </c:pt>
                <c:pt idx="4">
                  <c:v>Don't know</c:v>
                </c:pt>
              </c:strCache>
            </c:strRef>
          </c:cat>
          <c:val>
            <c:numRef>
              <c:f>'Outcome 1 - Cont. to Developmen'!$C$30:$G$30</c:f>
              <c:numCache>
                <c:formatCode>0.0%</c:formatCode>
                <c:ptCount val="5"/>
                <c:pt idx="0">
                  <c:v>0.22600000000000001</c:v>
                </c:pt>
                <c:pt idx="1">
                  <c:v>0.504</c:v>
                </c:pt>
                <c:pt idx="2">
                  <c:v>0.192</c:v>
                </c:pt>
                <c:pt idx="3">
                  <c:v>1.7999999999999999E-2</c:v>
                </c:pt>
                <c:pt idx="4">
                  <c:v>0.06</c:v>
                </c:pt>
              </c:numCache>
            </c:numRef>
          </c:val>
          <c:extLst>
            <c:ext xmlns:c16="http://schemas.microsoft.com/office/drawing/2014/chart" uri="{C3380CC4-5D6E-409C-BE32-E72D297353CC}">
              <c16:uniqueId val="{0000000A-05CB-40D4-A6A2-DABF284C41F1}"/>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000"/>
              <a:t>Alumni's Australia Awards experience influenced their perception of:</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'Outcome 4 - Views of Aus'!$P$2</c:f>
              <c:strCache>
                <c:ptCount val="1"/>
                <c:pt idx="0">
                  <c:v>I became much more positive</c:v>
                </c:pt>
              </c:strCache>
            </c:strRef>
          </c:tx>
          <c:spPr>
            <a:solidFill>
              <a:schemeClr val="accent1"/>
            </a:solidFill>
            <a:ln>
              <a:noFill/>
            </a:ln>
            <a:effectLst/>
          </c:spPr>
          <c:invertIfNegative val="0"/>
          <c:cat>
            <c:strRef>
              <c:f>'Outcome 4 - Views of Aus'!$O$3:$O$5</c:f>
              <c:strCache>
                <c:ptCount val="3"/>
                <c:pt idx="0">
                  <c:v>Australia as a country</c:v>
                </c:pt>
                <c:pt idx="1">
                  <c:v>Australian people</c:v>
                </c:pt>
                <c:pt idx="2">
                  <c:v>Australian expertise</c:v>
                </c:pt>
              </c:strCache>
            </c:strRef>
          </c:cat>
          <c:val>
            <c:numRef>
              <c:f>'Outcome 4 - Views of Aus'!$P$3:$P$5</c:f>
              <c:numCache>
                <c:formatCode>0.00%</c:formatCode>
                <c:ptCount val="3"/>
                <c:pt idx="0">
                  <c:v>0.84599999999999997</c:v>
                </c:pt>
                <c:pt idx="1">
                  <c:v>0.748</c:v>
                </c:pt>
                <c:pt idx="2">
                  <c:v>0.75900000000000001</c:v>
                </c:pt>
              </c:numCache>
            </c:numRef>
          </c:val>
          <c:extLst>
            <c:ext xmlns:c16="http://schemas.microsoft.com/office/drawing/2014/chart" uri="{C3380CC4-5D6E-409C-BE32-E72D297353CC}">
              <c16:uniqueId val="{00000000-E9A4-4292-BD36-552914D9B737}"/>
            </c:ext>
          </c:extLst>
        </c:ser>
        <c:ser>
          <c:idx val="1"/>
          <c:order val="1"/>
          <c:tx>
            <c:strRef>
              <c:f>'Outcome 4 - Views of Aus'!$Q$2</c:f>
              <c:strCache>
                <c:ptCount val="1"/>
                <c:pt idx="0">
                  <c:v>I became slightly more positive</c:v>
                </c:pt>
              </c:strCache>
            </c:strRef>
          </c:tx>
          <c:spPr>
            <a:solidFill>
              <a:schemeClr val="accent2"/>
            </a:solidFill>
            <a:ln>
              <a:noFill/>
            </a:ln>
            <a:effectLst/>
          </c:spPr>
          <c:invertIfNegative val="0"/>
          <c:cat>
            <c:strRef>
              <c:f>'Outcome 4 - Views of Aus'!$O$3:$O$5</c:f>
              <c:strCache>
                <c:ptCount val="3"/>
                <c:pt idx="0">
                  <c:v>Australia as a country</c:v>
                </c:pt>
                <c:pt idx="1">
                  <c:v>Australian people</c:v>
                </c:pt>
                <c:pt idx="2">
                  <c:v>Australian expertise</c:v>
                </c:pt>
              </c:strCache>
            </c:strRef>
          </c:cat>
          <c:val>
            <c:numRef>
              <c:f>'Outcome 4 - Views of Aus'!$Q$3:$Q$5</c:f>
              <c:numCache>
                <c:formatCode>0.00%</c:formatCode>
                <c:ptCount val="3"/>
                <c:pt idx="0">
                  <c:v>0.122</c:v>
                </c:pt>
                <c:pt idx="1">
                  <c:v>0.187</c:v>
                </c:pt>
                <c:pt idx="2">
                  <c:v>0.192</c:v>
                </c:pt>
              </c:numCache>
            </c:numRef>
          </c:val>
          <c:extLst>
            <c:ext xmlns:c16="http://schemas.microsoft.com/office/drawing/2014/chart" uri="{C3380CC4-5D6E-409C-BE32-E72D297353CC}">
              <c16:uniqueId val="{00000001-E9A4-4292-BD36-552914D9B737}"/>
            </c:ext>
          </c:extLst>
        </c:ser>
        <c:ser>
          <c:idx val="2"/>
          <c:order val="2"/>
          <c:tx>
            <c:strRef>
              <c:f>'Outcome 4 - Views of Aus'!$R$2</c:f>
              <c:strCache>
                <c:ptCount val="1"/>
                <c:pt idx="0">
                  <c:v>No change</c:v>
                </c:pt>
              </c:strCache>
            </c:strRef>
          </c:tx>
          <c:spPr>
            <a:solidFill>
              <a:schemeClr val="accent3"/>
            </a:solidFill>
            <a:ln>
              <a:noFill/>
            </a:ln>
            <a:effectLst/>
          </c:spPr>
          <c:invertIfNegative val="0"/>
          <c:cat>
            <c:strRef>
              <c:f>'Outcome 4 - Views of Aus'!$O$3:$O$5</c:f>
              <c:strCache>
                <c:ptCount val="3"/>
                <c:pt idx="0">
                  <c:v>Australia as a country</c:v>
                </c:pt>
                <c:pt idx="1">
                  <c:v>Australian people</c:v>
                </c:pt>
                <c:pt idx="2">
                  <c:v>Australian expertise</c:v>
                </c:pt>
              </c:strCache>
            </c:strRef>
          </c:cat>
          <c:val>
            <c:numRef>
              <c:f>'Outcome 4 - Views of Aus'!$R$3:$R$5</c:f>
              <c:numCache>
                <c:formatCode>0.00%</c:formatCode>
                <c:ptCount val="3"/>
                <c:pt idx="0">
                  <c:v>2.5000000000000001E-2</c:v>
                </c:pt>
                <c:pt idx="1">
                  <c:v>4.5999999999999999E-2</c:v>
                </c:pt>
                <c:pt idx="2">
                  <c:v>3.5000000000000003E-2</c:v>
                </c:pt>
              </c:numCache>
            </c:numRef>
          </c:val>
          <c:extLst>
            <c:ext xmlns:c16="http://schemas.microsoft.com/office/drawing/2014/chart" uri="{C3380CC4-5D6E-409C-BE32-E72D297353CC}">
              <c16:uniqueId val="{00000002-E9A4-4292-BD36-552914D9B737}"/>
            </c:ext>
          </c:extLst>
        </c:ser>
        <c:ser>
          <c:idx val="3"/>
          <c:order val="3"/>
          <c:tx>
            <c:strRef>
              <c:f>'Outcome 4 - Views of Aus'!$S$2</c:f>
              <c:strCache>
                <c:ptCount val="1"/>
                <c:pt idx="0">
                  <c:v>I became slightly more negative</c:v>
                </c:pt>
              </c:strCache>
            </c:strRef>
          </c:tx>
          <c:spPr>
            <a:solidFill>
              <a:schemeClr val="accent4"/>
            </a:solidFill>
            <a:ln>
              <a:noFill/>
            </a:ln>
            <a:effectLst/>
          </c:spPr>
          <c:invertIfNegative val="0"/>
          <c:cat>
            <c:strRef>
              <c:f>'Outcome 4 - Views of Aus'!$O$3:$O$5</c:f>
              <c:strCache>
                <c:ptCount val="3"/>
                <c:pt idx="0">
                  <c:v>Australia as a country</c:v>
                </c:pt>
                <c:pt idx="1">
                  <c:v>Australian people</c:v>
                </c:pt>
                <c:pt idx="2">
                  <c:v>Australian expertise</c:v>
                </c:pt>
              </c:strCache>
            </c:strRef>
          </c:cat>
          <c:val>
            <c:numRef>
              <c:f>'Outcome 4 - Views of Aus'!$S$3:$S$5</c:f>
              <c:numCache>
                <c:formatCode>0.00%</c:formatCode>
                <c:ptCount val="3"/>
                <c:pt idx="0">
                  <c:v>4.0000000000000001E-3</c:v>
                </c:pt>
                <c:pt idx="1">
                  <c:v>1.0999999999999999E-2</c:v>
                </c:pt>
                <c:pt idx="2">
                  <c:v>6.0000000000000001E-3</c:v>
                </c:pt>
              </c:numCache>
            </c:numRef>
          </c:val>
          <c:extLst>
            <c:ext xmlns:c16="http://schemas.microsoft.com/office/drawing/2014/chart" uri="{C3380CC4-5D6E-409C-BE32-E72D297353CC}">
              <c16:uniqueId val="{00000003-E9A4-4292-BD36-552914D9B737}"/>
            </c:ext>
          </c:extLst>
        </c:ser>
        <c:ser>
          <c:idx val="4"/>
          <c:order val="4"/>
          <c:tx>
            <c:strRef>
              <c:f>'Outcome 4 - Views of Aus'!$T$2</c:f>
              <c:strCache>
                <c:ptCount val="1"/>
                <c:pt idx="0">
                  <c:v>I became much more negative</c:v>
                </c:pt>
              </c:strCache>
            </c:strRef>
          </c:tx>
          <c:spPr>
            <a:solidFill>
              <a:schemeClr val="accent5"/>
            </a:solidFill>
            <a:ln>
              <a:noFill/>
            </a:ln>
            <a:effectLst/>
          </c:spPr>
          <c:invertIfNegative val="0"/>
          <c:cat>
            <c:strRef>
              <c:f>'Outcome 4 - Views of Aus'!$O$3:$O$5</c:f>
              <c:strCache>
                <c:ptCount val="3"/>
                <c:pt idx="0">
                  <c:v>Australia as a country</c:v>
                </c:pt>
                <c:pt idx="1">
                  <c:v>Australian people</c:v>
                </c:pt>
                <c:pt idx="2">
                  <c:v>Australian expertise</c:v>
                </c:pt>
              </c:strCache>
            </c:strRef>
          </c:cat>
          <c:val>
            <c:numRef>
              <c:f>'Outcome 4 - Views of Aus'!$T$3:$T$5</c:f>
              <c:numCache>
                <c:formatCode>0.00%</c:formatCode>
                <c:ptCount val="3"/>
                <c:pt idx="0" formatCode="General">
                  <c:v>0</c:v>
                </c:pt>
                <c:pt idx="1">
                  <c:v>0</c:v>
                </c:pt>
                <c:pt idx="2">
                  <c:v>1E-3</c:v>
                </c:pt>
              </c:numCache>
            </c:numRef>
          </c:val>
          <c:extLst>
            <c:ext xmlns:c16="http://schemas.microsoft.com/office/drawing/2014/chart" uri="{C3380CC4-5D6E-409C-BE32-E72D297353CC}">
              <c16:uniqueId val="{00000004-E9A4-4292-BD36-552914D9B737}"/>
            </c:ext>
          </c:extLst>
        </c:ser>
        <c:ser>
          <c:idx val="5"/>
          <c:order val="5"/>
          <c:tx>
            <c:strRef>
              <c:f>'Outcome 4 - Views of Aus'!$U$2</c:f>
              <c:strCache>
                <c:ptCount val="1"/>
                <c:pt idx="0">
                  <c:v>Don't know</c:v>
                </c:pt>
              </c:strCache>
            </c:strRef>
          </c:tx>
          <c:spPr>
            <a:solidFill>
              <a:schemeClr val="accent6"/>
            </a:solidFill>
            <a:ln>
              <a:noFill/>
            </a:ln>
            <a:effectLst/>
          </c:spPr>
          <c:invertIfNegative val="0"/>
          <c:cat>
            <c:strRef>
              <c:f>'Outcome 4 - Views of Aus'!$O$3:$O$5</c:f>
              <c:strCache>
                <c:ptCount val="3"/>
                <c:pt idx="0">
                  <c:v>Australia as a country</c:v>
                </c:pt>
                <c:pt idx="1">
                  <c:v>Australian people</c:v>
                </c:pt>
                <c:pt idx="2">
                  <c:v>Australian expertise</c:v>
                </c:pt>
              </c:strCache>
            </c:strRef>
          </c:cat>
          <c:val>
            <c:numRef>
              <c:f>'Outcome 4 - Views of Aus'!$U$3:$U$5</c:f>
              <c:numCache>
                <c:formatCode>0.00%</c:formatCode>
                <c:ptCount val="3"/>
                <c:pt idx="0">
                  <c:v>4.0000000000000001E-3</c:v>
                </c:pt>
                <c:pt idx="1">
                  <c:v>8.0000000000000002E-3</c:v>
                </c:pt>
                <c:pt idx="2">
                  <c:v>7.0000000000000001E-3</c:v>
                </c:pt>
              </c:numCache>
            </c:numRef>
          </c:val>
          <c:extLst>
            <c:ext xmlns:c16="http://schemas.microsoft.com/office/drawing/2014/chart" uri="{C3380CC4-5D6E-409C-BE32-E72D297353CC}">
              <c16:uniqueId val="{00000005-E9A4-4292-BD36-552914D9B737}"/>
            </c:ext>
          </c:extLst>
        </c:ser>
        <c:dLbls>
          <c:showLegendKey val="0"/>
          <c:showVal val="0"/>
          <c:showCatName val="0"/>
          <c:showSerName val="0"/>
          <c:showPercent val="0"/>
          <c:showBubbleSize val="0"/>
        </c:dLbls>
        <c:gapWidth val="150"/>
        <c:overlap val="100"/>
        <c:axId val="309047928"/>
        <c:axId val="436776016"/>
      </c:barChart>
      <c:catAx>
        <c:axId val="309047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6776016"/>
        <c:crosses val="autoZero"/>
        <c:auto val="1"/>
        <c:lblAlgn val="ctr"/>
        <c:lblOffset val="100"/>
        <c:noMultiLvlLbl val="0"/>
      </c:catAx>
      <c:valAx>
        <c:axId val="436776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9047928"/>
        <c:crosses val="autoZero"/>
        <c:crossBetween val="between"/>
      </c:valAx>
      <c:spPr>
        <a:noFill/>
        <a:ln>
          <a:noFill/>
        </a:ln>
        <a:effectLst/>
      </c:spPr>
    </c:plotArea>
    <c:legend>
      <c:legendPos val="b"/>
      <c:layout>
        <c:manualLayout>
          <c:xMode val="edge"/>
          <c:yMode val="edge"/>
          <c:x val="3.6957680759388628E-2"/>
          <c:y val="0.77322084739407571"/>
          <c:w val="0.90399911278695799"/>
          <c:h val="0.165864766904136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Aid Quality Check - count of 2018 and 2019 assessment ratings</a:t>
            </a:r>
            <a:endParaRPr lang="en-US"/>
          </a:p>
        </c:rich>
      </c:tx>
      <c:layout>
        <c:manualLayout>
          <c:xMode val="edge"/>
          <c:yMode val="edge"/>
          <c:x val="0.11669948187375105"/>
          <c:y val="1.74978127734033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'2018-2019 comparison'!$C$28</c:f>
              <c:strCache>
                <c:ptCount val="1"/>
                <c:pt idx="0">
                  <c:v>1</c:v>
                </c:pt>
              </c:strCache>
            </c:strRef>
          </c:tx>
          <c:spPr>
            <a:solidFill>
              <a:schemeClr val="accent1"/>
            </a:solidFill>
            <a:ln>
              <a:noFill/>
            </a:ln>
            <a:effectLst/>
          </c:spPr>
          <c:invertIfNegative val="0"/>
          <c:cat>
            <c:multiLvlStrRef>
              <c:f>'2018-2019 comparison'!$D$26:$I$27</c:f>
              <c:multiLvlStrCache>
                <c:ptCount val="6"/>
                <c:lvl>
                  <c:pt idx="0">
                    <c:v>2018</c:v>
                  </c:pt>
                  <c:pt idx="1">
                    <c:v>2019</c:v>
                  </c:pt>
                  <c:pt idx="2">
                    <c:v>2018</c:v>
                  </c:pt>
                  <c:pt idx="3">
                    <c:v>2019</c:v>
                  </c:pt>
                  <c:pt idx="4">
                    <c:v>2018</c:v>
                  </c:pt>
                  <c:pt idx="5">
                    <c:v>2019</c:v>
                  </c:pt>
                </c:lvl>
                <c:lvl>
                  <c:pt idx="0">
                    <c:v>Effectiveness</c:v>
                  </c:pt>
                  <c:pt idx="2">
                    <c:v>Efficiency</c:v>
                  </c:pt>
                  <c:pt idx="4">
                    <c:v>Gender Equality </c:v>
                  </c:pt>
                </c:lvl>
              </c:multiLvlStrCache>
            </c:multiLvlStrRef>
          </c:cat>
          <c:val>
            <c:numRef>
              <c:f>'2018-2019 comparison'!$D$28:$I$28</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B398-4B54-A288-BF5AE5102A6A}"/>
            </c:ext>
          </c:extLst>
        </c:ser>
        <c:ser>
          <c:idx val="1"/>
          <c:order val="1"/>
          <c:tx>
            <c:strRef>
              <c:f>'2018-2019 comparison'!$C$29</c:f>
              <c:strCache>
                <c:ptCount val="1"/>
                <c:pt idx="0">
                  <c:v>2</c:v>
                </c:pt>
              </c:strCache>
            </c:strRef>
          </c:tx>
          <c:spPr>
            <a:solidFill>
              <a:schemeClr val="accent2"/>
            </a:solidFill>
            <a:ln>
              <a:noFill/>
            </a:ln>
            <a:effectLst/>
          </c:spPr>
          <c:invertIfNegative val="0"/>
          <c:cat>
            <c:multiLvlStrRef>
              <c:f>'2018-2019 comparison'!$D$26:$I$27</c:f>
              <c:multiLvlStrCache>
                <c:ptCount val="6"/>
                <c:lvl>
                  <c:pt idx="0">
                    <c:v>2018</c:v>
                  </c:pt>
                  <c:pt idx="1">
                    <c:v>2019</c:v>
                  </c:pt>
                  <c:pt idx="2">
                    <c:v>2018</c:v>
                  </c:pt>
                  <c:pt idx="3">
                    <c:v>2019</c:v>
                  </c:pt>
                  <c:pt idx="4">
                    <c:v>2018</c:v>
                  </c:pt>
                  <c:pt idx="5">
                    <c:v>2019</c:v>
                  </c:pt>
                </c:lvl>
                <c:lvl>
                  <c:pt idx="0">
                    <c:v>Effectiveness</c:v>
                  </c:pt>
                  <c:pt idx="2">
                    <c:v>Efficiency</c:v>
                  </c:pt>
                  <c:pt idx="4">
                    <c:v>Gender Equality </c:v>
                  </c:pt>
                </c:lvl>
              </c:multiLvlStrCache>
            </c:multiLvlStrRef>
          </c:cat>
          <c:val>
            <c:numRef>
              <c:f>'2018-2019 comparison'!$D$29:$I$29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B398-4B54-A288-BF5AE5102A6A}"/>
            </c:ext>
          </c:extLst>
        </c:ser>
        <c:ser>
          <c:idx val="2"/>
          <c:order val="2"/>
          <c:tx>
            <c:strRef>
              <c:f>'2018-2019 comparison'!$C$30</c:f>
              <c:strCache>
                <c:ptCount val="1"/>
                <c:pt idx="0">
                  <c:v>3</c:v>
                </c:pt>
              </c:strCache>
            </c:strRef>
          </c:tx>
          <c:spPr>
            <a:solidFill>
              <a:schemeClr val="accent3"/>
            </a:solidFill>
            <a:ln>
              <a:noFill/>
            </a:ln>
            <a:effectLst/>
          </c:spPr>
          <c:invertIfNegative val="0"/>
          <c:dLbls>
            <c:dLbl>
              <c:idx val="0"/>
              <c:layout>
                <c:manualLayout>
                  <c:x val="4.7727744345299854E-2"/>
                  <c:y val="-2.0997375328083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98-4B54-A288-BF5AE5102A6A}"/>
                </c:ext>
              </c:extLst>
            </c:dLbl>
            <c:dLbl>
              <c:idx val="1"/>
              <c:layout>
                <c:manualLayout>
                  <c:x val="3.7352147748495573E-2"/>
                  <c:y val="-2.4496937882764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98-4B54-A288-BF5AE5102A6A}"/>
                </c:ext>
              </c:extLst>
            </c:dLbl>
            <c:dLbl>
              <c:idx val="2"/>
              <c:layout>
                <c:manualLayout>
                  <c:x val="3.9427267067856403E-2"/>
                  <c:y val="1.7497812773403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98-4B54-A288-BF5AE5102A6A}"/>
                </c:ext>
              </c:extLst>
            </c:dLbl>
            <c:dLbl>
              <c:idx val="3"/>
              <c:layout>
                <c:manualLayout>
                  <c:x val="3.94272670678563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98-4B54-A288-BF5AE5102A6A}"/>
                </c:ext>
              </c:extLst>
            </c:dLbl>
            <c:dLbl>
              <c:idx val="4"/>
              <c:layout>
                <c:manualLayout>
                  <c:x val="4.3577505706577979E-2"/>
                  <c:y val="-2.0997375328083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98-4B54-A288-BF5AE5102A6A}"/>
                </c:ext>
              </c:extLst>
            </c:dLbl>
            <c:dLbl>
              <c:idx val="5"/>
              <c:layout>
                <c:manualLayout>
                  <c:x val="4.15023863872172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98-4B54-A288-BF5AE5102A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'2018-2019 comparison'!$D$26:$I$27</c:f>
              <c:multiLvlStrCache>
                <c:ptCount val="6"/>
                <c:lvl>
                  <c:pt idx="0">
                    <c:v>2018</c:v>
                  </c:pt>
                  <c:pt idx="1">
                    <c:v>2019</c:v>
                  </c:pt>
                  <c:pt idx="2">
                    <c:v>2018</c:v>
                  </c:pt>
                  <c:pt idx="3">
                    <c:v>2019</c:v>
                  </c:pt>
                  <c:pt idx="4">
                    <c:v>2018</c:v>
                  </c:pt>
                  <c:pt idx="5">
                    <c:v>2019</c:v>
                  </c:pt>
                </c:lvl>
                <c:lvl>
                  <c:pt idx="0">
                    <c:v>Effectiveness</c:v>
                  </c:pt>
                  <c:pt idx="2">
                    <c:v>Efficiency</c:v>
                  </c:pt>
                  <c:pt idx="4">
                    <c:v>Gender Equality </c:v>
                  </c:pt>
                </c:lvl>
              </c:multiLvlStrCache>
            </c:multiLvlStrRef>
          </c:cat>
          <c:val>
            <c:numRef>
              <c:f>'2018-2019 comparison'!$D$30:$I$30</c:f>
              <c:numCache>
                <c:formatCode>General</c:formatCode>
                <c:ptCount val="6"/>
                <c:pt idx="0">
                  <c:v>0</c:v>
                </c:pt>
                <c:pt idx="1">
                  <c:v>0</c:v>
                </c:pt>
                <c:pt idx="2">
                  <c:v>2</c:v>
                </c:pt>
                <c:pt idx="3">
                  <c:v>1</c:v>
                </c:pt>
                <c:pt idx="4">
                  <c:v>0</c:v>
                </c:pt>
                <c:pt idx="5">
                  <c:v>1</c:v>
                </c:pt>
              </c:numCache>
            </c:numRef>
          </c:val>
          <c:extLst>
            <c:ext xmlns:c16="http://schemas.microsoft.com/office/drawing/2014/chart" uri="{C3380CC4-5D6E-409C-BE32-E72D297353CC}">
              <c16:uniqueId val="{00000008-B398-4B54-A288-BF5AE5102A6A}"/>
            </c:ext>
          </c:extLst>
        </c:ser>
        <c:ser>
          <c:idx val="3"/>
          <c:order val="3"/>
          <c:tx>
            <c:strRef>
              <c:f>'2018-2019 comparison'!$C$31</c:f>
              <c:strCache>
                <c:ptCount val="1"/>
                <c:pt idx="0">
                  <c:v>4</c:v>
                </c:pt>
              </c:strCache>
            </c:strRef>
          </c:tx>
          <c:spPr>
            <a:solidFill>
              <a:schemeClr val="accent4"/>
            </a:solidFill>
            <a:ln>
              <a:noFill/>
            </a:ln>
            <a:effectLst/>
          </c:spPr>
          <c:invertIfNegative val="0"/>
          <c:dLbls>
            <c:dLbl>
              <c:idx val="0"/>
              <c:layout>
                <c:manualLayout>
                  <c:x val="3.9427267067856403E-2"/>
                  <c:y val="-1.399825021872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98-4B54-A288-BF5AE5102A6A}"/>
                </c:ext>
              </c:extLst>
            </c:dLbl>
            <c:dLbl>
              <c:idx val="1"/>
              <c:layout>
                <c:manualLayout>
                  <c:x val="3.7352147748495573E-2"/>
                  <c:y val="-2.0997375328083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398-4B54-A288-BF5AE5102A6A}"/>
                </c:ext>
              </c:extLst>
            </c:dLbl>
            <c:dLbl>
              <c:idx val="2"/>
              <c:layout>
                <c:manualLayout>
                  <c:x val="3.9427267067856403E-2"/>
                  <c:y val="-1.74978127734033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398-4B54-A288-BF5AE5102A6A}"/>
                </c:ext>
              </c:extLst>
            </c:dLbl>
            <c:dLbl>
              <c:idx val="3"/>
              <c:layout>
                <c:manualLayout>
                  <c:x val="4.3577505706578055E-2"/>
                  <c:y val="-2.0997375328084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398-4B54-A288-BF5AE5102A6A}"/>
                </c:ext>
              </c:extLst>
            </c:dLbl>
            <c:dLbl>
              <c:idx val="4"/>
              <c:layout>
                <c:manualLayout>
                  <c:x val="3.7352147748495539E-2"/>
                  <c:y val="-2.0997375328084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398-4B54-A288-BF5AE5102A6A}"/>
                </c:ext>
              </c:extLst>
            </c:dLbl>
            <c:dLbl>
              <c:idx val="5"/>
              <c:layout>
                <c:manualLayout>
                  <c:x val="3.7352147748495539E-2"/>
                  <c:y val="-1.7497812773403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398-4B54-A288-BF5AE5102A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'2018-2019 comparison'!$D$26:$I$27</c:f>
              <c:multiLvlStrCache>
                <c:ptCount val="6"/>
                <c:lvl>
                  <c:pt idx="0">
                    <c:v>2018</c:v>
                  </c:pt>
                  <c:pt idx="1">
                    <c:v>2019</c:v>
                  </c:pt>
                  <c:pt idx="2">
                    <c:v>2018</c:v>
                  </c:pt>
                  <c:pt idx="3">
                    <c:v>2019</c:v>
                  </c:pt>
                  <c:pt idx="4">
                    <c:v>2018</c:v>
                  </c:pt>
                  <c:pt idx="5">
                    <c:v>2019</c:v>
                  </c:pt>
                </c:lvl>
                <c:lvl>
                  <c:pt idx="0">
                    <c:v>Effectiveness</c:v>
                  </c:pt>
                  <c:pt idx="2">
                    <c:v>Efficiency</c:v>
                  </c:pt>
                  <c:pt idx="4">
                    <c:v>Gender Equality </c:v>
                  </c:pt>
                </c:lvl>
              </c:multiLvlStrCache>
            </c:multiLvlStrRef>
          </c:cat>
          <c:val>
            <c:numRef>
              <c:f>'2018-2019 comparison'!$D$31:$I$31</c:f>
              <c:numCache>
                <c:formatCode>General</c:formatCode>
                <c:ptCount val="6"/>
                <c:pt idx="0">
                  <c:v>8</c:v>
                </c:pt>
                <c:pt idx="1">
                  <c:v>4</c:v>
                </c:pt>
                <c:pt idx="2">
                  <c:v>4</c:v>
                </c:pt>
                <c:pt idx="3">
                  <c:v>6</c:v>
                </c:pt>
                <c:pt idx="4">
                  <c:v>8</c:v>
                </c:pt>
                <c:pt idx="5">
                  <c:v>4</c:v>
                </c:pt>
              </c:numCache>
            </c:numRef>
          </c:val>
          <c:extLst>
            <c:ext xmlns:c16="http://schemas.microsoft.com/office/drawing/2014/chart" uri="{C3380CC4-5D6E-409C-BE32-E72D297353CC}">
              <c16:uniqueId val="{0000000F-B398-4B54-A288-BF5AE5102A6A}"/>
            </c:ext>
          </c:extLst>
        </c:ser>
        <c:ser>
          <c:idx val="4"/>
          <c:order val="4"/>
          <c:tx>
            <c:strRef>
              <c:f>'2018-2019 comparison'!$C$32</c:f>
              <c:strCache>
                <c:ptCount val="1"/>
                <c:pt idx="0">
                  <c:v>5</c:v>
                </c:pt>
              </c:strCache>
            </c:strRef>
          </c:tx>
          <c:spPr>
            <a:solidFill>
              <a:schemeClr val="accent5"/>
            </a:solidFill>
            <a:ln>
              <a:noFill/>
            </a:ln>
            <a:effectLst/>
          </c:spPr>
          <c:invertIfNegative val="0"/>
          <c:dLbls>
            <c:dLbl>
              <c:idx val="0"/>
              <c:layout>
                <c:manualLayout>
                  <c:x val="3.7352147748495539E-2"/>
                  <c:y val="-1.7497812773403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398-4B54-A288-BF5AE5102A6A}"/>
                </c:ext>
              </c:extLst>
            </c:dLbl>
            <c:dLbl>
              <c:idx val="1"/>
              <c:layout>
                <c:manualLayout>
                  <c:x val="3.7352147748495573E-2"/>
                  <c:y val="-4.1994750656167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398-4B54-A288-BF5AE5102A6A}"/>
                </c:ext>
              </c:extLst>
            </c:dLbl>
            <c:dLbl>
              <c:idx val="2"/>
              <c:layout>
                <c:manualLayout>
                  <c:x val="4.1502386387217267E-2"/>
                  <c:y val="-2.0997375328083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398-4B54-A288-BF5AE5102A6A}"/>
                </c:ext>
              </c:extLst>
            </c:dLbl>
            <c:dLbl>
              <c:idx val="3"/>
              <c:layout>
                <c:manualLayout>
                  <c:x val="3.9427267067856327E-2"/>
                  <c:y val="-1.399825021872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398-4B54-A288-BF5AE5102A6A}"/>
                </c:ext>
              </c:extLst>
            </c:dLbl>
            <c:dLbl>
              <c:idx val="4"/>
              <c:layout>
                <c:manualLayout>
                  <c:x val="4.3577505706577979E-2"/>
                  <c:y val="2.0997375328083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398-4B54-A288-BF5AE5102A6A}"/>
                </c:ext>
              </c:extLst>
            </c:dLbl>
            <c:dLbl>
              <c:idx val="5"/>
              <c:layout>
                <c:manualLayout>
                  <c:x val="3.735214774849553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398-4B54-A288-BF5AE5102A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'2018-2019 comparison'!$D$26:$I$27</c:f>
              <c:multiLvlStrCache>
                <c:ptCount val="6"/>
                <c:lvl>
                  <c:pt idx="0">
                    <c:v>2018</c:v>
                  </c:pt>
                  <c:pt idx="1">
                    <c:v>2019</c:v>
                  </c:pt>
                  <c:pt idx="2">
                    <c:v>2018</c:v>
                  </c:pt>
                  <c:pt idx="3">
                    <c:v>2019</c:v>
                  </c:pt>
                  <c:pt idx="4">
                    <c:v>2018</c:v>
                  </c:pt>
                  <c:pt idx="5">
                    <c:v>2019</c:v>
                  </c:pt>
                </c:lvl>
                <c:lvl>
                  <c:pt idx="0">
                    <c:v>Effectiveness</c:v>
                  </c:pt>
                  <c:pt idx="2">
                    <c:v>Efficiency</c:v>
                  </c:pt>
                  <c:pt idx="4">
                    <c:v>Gender Equality </c:v>
                  </c:pt>
                </c:lvl>
              </c:multiLvlStrCache>
            </c:multiLvlStrRef>
          </c:cat>
          <c:val>
            <c:numRef>
              <c:f>'2018-2019 comparison'!$D$32:$I$32</c:f>
              <c:numCache>
                <c:formatCode>General</c:formatCode>
                <c:ptCount val="6"/>
                <c:pt idx="0">
                  <c:v>6</c:v>
                </c:pt>
                <c:pt idx="1">
                  <c:v>9</c:v>
                </c:pt>
                <c:pt idx="2">
                  <c:v>8</c:v>
                </c:pt>
                <c:pt idx="3">
                  <c:v>6</c:v>
                </c:pt>
                <c:pt idx="4">
                  <c:v>6</c:v>
                </c:pt>
                <c:pt idx="5">
                  <c:v>9</c:v>
                </c:pt>
              </c:numCache>
            </c:numRef>
          </c:val>
          <c:extLst>
            <c:ext xmlns:c16="http://schemas.microsoft.com/office/drawing/2014/chart" uri="{C3380CC4-5D6E-409C-BE32-E72D297353CC}">
              <c16:uniqueId val="{00000016-B398-4B54-A288-BF5AE5102A6A}"/>
            </c:ext>
          </c:extLst>
        </c:ser>
        <c:ser>
          <c:idx val="5"/>
          <c:order val="5"/>
          <c:tx>
            <c:strRef>
              <c:f>'2018-2019 comparison'!$C$33</c:f>
              <c:strCache>
                <c:ptCount val="1"/>
                <c:pt idx="0">
                  <c:v>6</c:v>
                </c:pt>
              </c:strCache>
            </c:strRef>
          </c:tx>
          <c:spPr>
            <a:solidFill>
              <a:schemeClr val="accent6"/>
            </a:solidFill>
            <a:ln>
              <a:noFill/>
            </a:ln>
            <a:effectLst/>
          </c:spPr>
          <c:invertIfNegative val="0"/>
          <c:dLbls>
            <c:dLbl>
              <c:idx val="0"/>
              <c:layout>
                <c:manualLayout>
                  <c:x val="3.7352147748495539E-2"/>
                  <c:y val="1.399825021872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398-4B54-A288-BF5AE5102A6A}"/>
                </c:ext>
              </c:extLst>
            </c:dLbl>
            <c:dLbl>
              <c:idx val="1"/>
              <c:layout>
                <c:manualLayout>
                  <c:x val="4.35775057065781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398-4B54-A288-BF5AE5102A6A}"/>
                </c:ext>
              </c:extLst>
            </c:dLbl>
            <c:dLbl>
              <c:idx val="2"/>
              <c:layout>
                <c:manualLayout>
                  <c:x val="3.9427267067856403E-2"/>
                  <c:y val="1.399825021872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398-4B54-A288-BF5AE5102A6A}"/>
                </c:ext>
              </c:extLst>
            </c:dLbl>
            <c:dLbl>
              <c:idx val="3"/>
              <c:layout>
                <c:manualLayout>
                  <c:x val="4.35775057065780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398-4B54-A288-BF5AE5102A6A}"/>
                </c:ext>
              </c:extLst>
            </c:dLbl>
            <c:dLbl>
              <c:idx val="4"/>
              <c:layout>
                <c:manualLayout>
                  <c:x val="3.942726706785625E-2"/>
                  <c:y val="1.399825021872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398-4B54-A288-BF5AE5102A6A}"/>
                </c:ext>
              </c:extLst>
            </c:dLbl>
            <c:dLbl>
              <c:idx val="5"/>
              <c:layout>
                <c:manualLayout>
                  <c:x val="3.942726706785625E-2"/>
                  <c:y val="1.0498687664041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398-4B54-A288-BF5AE5102A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'2018-2019 comparison'!$D$26:$I$27</c:f>
              <c:multiLvlStrCache>
                <c:ptCount val="6"/>
                <c:lvl>
                  <c:pt idx="0">
                    <c:v>2018</c:v>
                  </c:pt>
                  <c:pt idx="1">
                    <c:v>2019</c:v>
                  </c:pt>
                  <c:pt idx="2">
                    <c:v>2018</c:v>
                  </c:pt>
                  <c:pt idx="3">
                    <c:v>2019</c:v>
                  </c:pt>
                  <c:pt idx="4">
                    <c:v>2018</c:v>
                  </c:pt>
                  <c:pt idx="5">
                    <c:v>2019</c:v>
                  </c:pt>
                </c:lvl>
                <c:lvl>
                  <c:pt idx="0">
                    <c:v>Effectiveness</c:v>
                  </c:pt>
                  <c:pt idx="2">
                    <c:v>Efficiency</c:v>
                  </c:pt>
                  <c:pt idx="4">
                    <c:v>Gender Equality </c:v>
                  </c:pt>
                </c:lvl>
              </c:multiLvlStrCache>
            </c:multiLvlStrRef>
          </c:cat>
          <c:val>
            <c:numRef>
              <c:f>'2018-2019 comparison'!$D$33:$I$33</c:f>
              <c:numCache>
                <c:formatCode>General</c:formatCode>
                <c:ptCount val="6"/>
                <c:pt idx="0">
                  <c:v>0</c:v>
                </c:pt>
                <c:pt idx="1">
                  <c:v>1</c:v>
                </c:pt>
                <c:pt idx="2">
                  <c:v>0</c:v>
                </c:pt>
                <c:pt idx="3">
                  <c:v>1</c:v>
                </c:pt>
                <c:pt idx="4">
                  <c:v>0</c:v>
                </c:pt>
                <c:pt idx="5">
                  <c:v>0</c:v>
                </c:pt>
              </c:numCache>
            </c:numRef>
          </c:val>
          <c:extLst>
            <c:ext xmlns:c16="http://schemas.microsoft.com/office/drawing/2014/chart" uri="{C3380CC4-5D6E-409C-BE32-E72D297353CC}">
              <c16:uniqueId val="{0000001D-B398-4B54-A288-BF5AE5102A6A}"/>
            </c:ext>
          </c:extLst>
        </c:ser>
        <c:dLbls>
          <c:showLegendKey val="0"/>
          <c:showVal val="0"/>
          <c:showCatName val="0"/>
          <c:showSerName val="0"/>
          <c:showPercent val="0"/>
          <c:showBubbleSize val="0"/>
        </c:dLbls>
        <c:gapWidth val="150"/>
        <c:overlap val="100"/>
        <c:axId val="438221128"/>
        <c:axId val="438218504"/>
      </c:barChart>
      <c:catAx>
        <c:axId val="438221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AQC Criteria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38218504"/>
        <c:crosses val="autoZero"/>
        <c:auto val="1"/>
        <c:lblAlgn val="ctr"/>
        <c:lblOffset val="100"/>
        <c:noMultiLvlLbl val="0"/>
      </c:catAx>
      <c:valAx>
        <c:axId val="438218504"/>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AQCs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21128"/>
        <c:crosses val="autoZero"/>
        <c:crossBetween val="between"/>
        <c:majorUnit val="1"/>
      </c:valAx>
      <c:spPr>
        <a:noFill/>
        <a:ln>
          <a:noFill/>
        </a:ln>
        <a:effectLst/>
      </c:spPr>
    </c:plotArea>
    <c:legend>
      <c:legendPos val="r"/>
      <c:layout>
        <c:manualLayout>
          <c:xMode val="edge"/>
          <c:yMode val="edge"/>
          <c:x val="0.92239416309751843"/>
          <c:y val="0.13128053193118186"/>
          <c:w val="3.8016637649977029E-2"/>
          <c:h val="0.747201302346762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0.49963</cdr:x>
      <cdr:y>0.82376</cdr:y>
    </cdr:from>
    <cdr:to>
      <cdr:x>0.77398</cdr:x>
      <cdr:y>0.91485</cdr:y>
    </cdr:to>
    <cdr:cxnSp macro="">
      <cdr:nvCxnSpPr>
        <cdr:cNvPr id="3" name="Straight Connector 2"/>
        <cdr:cNvCxnSpPr/>
      </cdr:nvCxnSpPr>
      <cdr:spPr>
        <a:xfrm xmlns:a="http://schemas.openxmlformats.org/drawingml/2006/main" flipV="1">
          <a:off x="2560320" y="2377440"/>
          <a:ext cx="1405890" cy="262890"/>
        </a:xfrm>
        <a:prstGeom xmlns:a="http://schemas.openxmlformats.org/drawingml/2006/main" prst="line">
          <a:avLst/>
        </a:prstGeom>
        <a:ln xmlns:a="http://schemas.openxmlformats.org/drawingml/2006/main">
          <a:solidFill>
            <a:schemeClr val="bg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965"/>
      </a:dk2>
      <a:lt2>
        <a:srgbClr val="D8DCDB"/>
      </a:lt2>
      <a:accent1>
        <a:srgbClr val="65C5B4"/>
      </a:accent1>
      <a:accent2>
        <a:srgbClr val="D3875F"/>
      </a:accent2>
      <a:accent3>
        <a:srgbClr val="ACD08C"/>
      </a:accent3>
      <a:accent4>
        <a:srgbClr val="007C89"/>
      </a:accent4>
      <a:accent5>
        <a:srgbClr val="C15A2D"/>
      </a:accent5>
      <a:accent6>
        <a:srgbClr val="7FB64E"/>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A0C63BD-575D-4ED2-B1D3-F435CADDF0B1}"/>
</file>

<file path=customXml/itemProps2.xml><?xml version="1.0" encoding="utf-8"?>
<ds:datastoreItem xmlns:ds="http://schemas.openxmlformats.org/officeDocument/2006/customXml" ds:itemID="{7486BD93-A12B-4E98-A38E-44903339F07B}"/>
</file>

<file path=customXml/itemProps3.xml><?xml version="1.0" encoding="utf-8"?>
<ds:datastoreItem xmlns:ds="http://schemas.openxmlformats.org/officeDocument/2006/customXml" ds:itemID="{8FDA7301-A8BD-4B2F-8F2F-5335B0F7B70F}"/>
</file>

<file path=customXml/itemProps4.xml><?xml version="1.0" encoding="utf-8"?>
<ds:datastoreItem xmlns:ds="http://schemas.openxmlformats.org/officeDocument/2006/customXml" ds:itemID="{DD18AEE1-FEDD-40A3-81A8-65D899CA304C}"/>
</file>

<file path=docProps/app.xml><?xml version="1.0" encoding="utf-8"?>
<Properties xmlns="http://schemas.openxmlformats.org/officeDocument/2006/extended-properties" xmlns:vt="http://schemas.openxmlformats.org/officeDocument/2006/docPropsVTypes">
  <Template>Normal.dotm</Template>
  <TotalTime>0</TotalTime>
  <Pages>30</Pages>
  <Words>10304</Words>
  <Characters>58738</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2019-09-20T00:04:00Z</dcterms:created>
  <dcterms:modified xsi:type="dcterms:W3CDTF">2019-09-20T00:04:00Z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eb05807e-1220-4e9a-bf8e-c77eba489a5e</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1262200</vt:r8>
  </property>
  <property fmtid="{D5CDD505-2E9C-101B-9397-08002B2CF9AE}" pid="7" name="TemplateUrl">
    <vt:lpwstr/>
  </property>
  <property fmtid="{D5CDD505-2E9C-101B-9397-08002B2CF9AE}" pid="8" name="_SourceUrl">
    <vt:lpwstr/>
  </property>
  <property fmtid="{D5CDD505-2E9C-101B-9397-08002B2CF9AE}" pid="9" name="_SharedFileIndex">
    <vt:lpwstr/>
  </property>
  <property fmtid="{D5CDD505-2E9C-101B-9397-08002B2CF9AE}" pid="10" name="xd_Signature">
    <vt:bool>false</vt:bool>
  </property>
  <property fmtid="{D5CDD505-2E9C-101B-9397-08002B2CF9AE}" pid="11" name="xd_ProgID">
    <vt:lpwstr/>
  </property>
</Properties>
</file>